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МЧС России от 24.04.2013 N 288</w:t>
              <w:br/>
              <w:t xml:space="preserve">(ред. от 15.06.2022)</w:t>
              <w:br/>
              <w:t xml:space="preserve">"Об утверждении свода правил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w:t>
              <w:br/>
              <w:t xml:space="preserve">(вместе с "СП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РОССИЙСКОЙ ФЕДЕРАЦИИ ПО ДЕЛАМ ГРАЖДАНСКОЙ</w:t>
      </w:r>
    </w:p>
    <w:p>
      <w:pPr>
        <w:pStyle w:val="2"/>
        <w:jc w:val="center"/>
      </w:pPr>
      <w:r>
        <w:rPr>
          <w:sz w:val="20"/>
        </w:rPr>
        <w:t xml:space="preserve">ОБОРОНЫ, ЧРЕЗВЫЧАЙНЫМ СИТУАЦИЯМ И ЛИКВИДАЦИИ</w:t>
      </w:r>
    </w:p>
    <w:p>
      <w:pPr>
        <w:pStyle w:val="2"/>
        <w:jc w:val="center"/>
      </w:pPr>
      <w:r>
        <w:rPr>
          <w:sz w:val="20"/>
        </w:rPr>
        <w:t xml:space="preserve">ПОСЛЕДСТВИЙ СТИХИЙНЫХ БЕДСТВИЙ</w:t>
      </w:r>
    </w:p>
    <w:p>
      <w:pPr>
        <w:pStyle w:val="2"/>
        <w:jc w:val="center"/>
      </w:pPr>
      <w:r>
        <w:rPr>
          <w:sz w:val="20"/>
        </w:rPr>
      </w:r>
    </w:p>
    <w:p>
      <w:pPr>
        <w:pStyle w:val="2"/>
        <w:jc w:val="center"/>
      </w:pPr>
      <w:r>
        <w:rPr>
          <w:sz w:val="20"/>
        </w:rPr>
        <w:t xml:space="preserve">ПРИКАЗ</w:t>
      </w:r>
    </w:p>
    <w:p>
      <w:pPr>
        <w:pStyle w:val="2"/>
        <w:jc w:val="center"/>
      </w:pPr>
      <w:r>
        <w:rPr>
          <w:sz w:val="20"/>
        </w:rPr>
        <w:t xml:space="preserve">от 24 апреля 2013 г. N 288</w:t>
      </w:r>
    </w:p>
    <w:p>
      <w:pPr>
        <w:pStyle w:val="2"/>
        <w:jc w:val="center"/>
      </w:pPr>
      <w:r>
        <w:rPr>
          <w:sz w:val="20"/>
        </w:rPr>
      </w:r>
    </w:p>
    <w:p>
      <w:pPr>
        <w:pStyle w:val="2"/>
        <w:jc w:val="center"/>
      </w:pPr>
      <w:r>
        <w:rPr>
          <w:sz w:val="20"/>
        </w:rPr>
        <w:t xml:space="preserve">ОБ УТВЕРЖДЕНИИ СВОДА ПРАВИЛ СП 4.13130</w:t>
      </w:r>
    </w:p>
    <w:p>
      <w:pPr>
        <w:pStyle w:val="2"/>
        <w:jc w:val="center"/>
      </w:pPr>
      <w:r>
        <w:rPr>
          <w:sz w:val="20"/>
        </w:rPr>
        <w:t xml:space="preserve">"СИСТЕМЫ ПРОТИВОПОЖАРНОЙ ЗАЩИТЫ. ОГРАНИЧЕНИЕ</w:t>
      </w:r>
    </w:p>
    <w:p>
      <w:pPr>
        <w:pStyle w:val="2"/>
        <w:jc w:val="center"/>
      </w:pPr>
      <w:r>
        <w:rPr>
          <w:sz w:val="20"/>
        </w:rPr>
        <w:t xml:space="preserve">РАСПРОСТРАНЕНИЯ ПОЖАРА НА ОБЪЕКТАХ ЗАЩИТЫ. ТРЕБОВАНИЯ</w:t>
      </w:r>
    </w:p>
    <w:p>
      <w:pPr>
        <w:pStyle w:val="2"/>
        <w:jc w:val="center"/>
      </w:pPr>
      <w:r>
        <w:rPr>
          <w:sz w:val="20"/>
        </w:rPr>
        <w:t xml:space="preserve">К ОБЪЕМНО-ПЛАНИРОВОЧНЫМ И КОНСТРУКТИВНЫМ РЕШЕНИЯМ"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МЧС России от 18.07.2013 </w:t>
            </w:r>
            <w:hyperlink w:history="0" r:id="rId7" w:tooltip="Приказ МЧС России от 18.07.2013 N 474 &quot;О внесении изменений в приказ МЧС России от 24.04.2013 N 288 &quot;Об утверждении свода правил СП 4.13130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N 474</w:t>
              </w:r>
            </w:hyperlink>
            <w:r>
              <w:rPr>
                <w:sz w:val="20"/>
                <w:color w:val="392c69"/>
              </w:rPr>
              <w:t xml:space="preserve">,</w:t>
            </w:r>
          </w:p>
          <w:p>
            <w:pPr>
              <w:pStyle w:val="0"/>
              <w:jc w:val="center"/>
            </w:pPr>
            <w:r>
              <w:rPr>
                <w:sz w:val="20"/>
                <w:color w:val="392c69"/>
              </w:rPr>
              <w:t xml:space="preserve">от 14.02.2020 </w:t>
            </w:r>
            <w:hyperlink w:history="0" r:id="rId8"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N 89</w:t>
              </w:r>
            </w:hyperlink>
            <w:r>
              <w:rPr>
                <w:sz w:val="20"/>
                <w:color w:val="392c69"/>
              </w:rPr>
              <w:t xml:space="preserve">, от 17.12.2021 </w:t>
            </w:r>
            <w:hyperlink w:history="0" r:id="rId9" w:tooltip="Приказ МЧС России от 17.12.2021 N 880 &quot;Об утверждении свода правил &quot;Стоянки автомобилей. Требования пожарной безопасности&quot; (вместе с &quot;СП 506.1311500.2021. Свод правил...&quot;) {КонсультантПлюс}">
              <w:r>
                <w:rPr>
                  <w:sz w:val="20"/>
                  <w:color w:val="0000ff"/>
                </w:rPr>
                <w:t xml:space="preserve">N 880</w:t>
              </w:r>
            </w:hyperlink>
            <w:r>
              <w:rPr>
                <w:sz w:val="20"/>
                <w:color w:val="392c69"/>
              </w:rPr>
              <w:t xml:space="preserve">, от 30.12.2021 </w:t>
            </w:r>
            <w:hyperlink w:history="0" r:id="rId10" w:tooltip="&quot;Изменение N 2 к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 и введено в действие приказом МЧС России от 30.12.2021 N 944) {КонсультантПлюс}">
              <w:r>
                <w:rPr>
                  <w:sz w:val="20"/>
                  <w:color w:val="0000ff"/>
                </w:rPr>
                <w:t xml:space="preserve">N 944</w:t>
              </w:r>
            </w:hyperlink>
            <w:r>
              <w:rPr>
                <w:sz w:val="20"/>
                <w:color w:val="392c69"/>
              </w:rPr>
              <w:t xml:space="preserve">,</w:t>
            </w:r>
          </w:p>
          <w:p>
            <w:pPr>
              <w:pStyle w:val="0"/>
              <w:jc w:val="center"/>
            </w:pPr>
            <w:r>
              <w:rPr>
                <w:sz w:val="20"/>
                <w:color w:val="392c69"/>
              </w:rPr>
              <w:t xml:space="preserve">от 15.06.2022 </w:t>
            </w:r>
            <w:hyperlink w:history="0" r:id="rId11"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N 610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Федеральным </w:t>
      </w:r>
      <w:hyperlink w:history="0" r:id="rId12"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22 июля 2008 г. N 123-ФЗ "Технический регламент о требованиях пожарной безопасности" &lt;1&gt;, </w:t>
      </w:r>
      <w:hyperlink w:history="0" r:id="rId13" w:tooltip="Указ Президента РФ от 11.07.2004 N 868 (ред. от 04.11.2022) &quot;Вопросы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Указом</w:t>
        </w:r>
      </w:hyperlink>
      <w:r>
        <w:rPr>
          <w:sz w:val="20"/>
        </w:rPr>
        <w:t xml:space="preserve">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&lt;2&gt;, </w:t>
      </w:r>
      <w:hyperlink w:history="0" r:id="rId14" w:tooltip="Постановление Правительства РФ от 19.11.2008 N 858 &quot;О порядке разработки и утверждения сводов правил&quot; (вместе с &quot;Правилами разработки и утверждения сводов правил&quot;)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19 ноября 2008 г. N 858 "О порядке разработки и утверждения сводов правил" &lt;3&gt; приказываю:</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2008, N 30 (ч. I), ст. 3579; 2012, N 29, ст. 3997.</w:t>
      </w:r>
    </w:p>
    <w:p>
      <w:pPr>
        <w:pStyle w:val="0"/>
        <w:spacing w:before="200" w:line-rule="auto"/>
        <w:ind w:firstLine="540"/>
        <w:jc w:val="both"/>
      </w:pPr>
      <w:r>
        <w:rPr>
          <w:sz w:val="20"/>
        </w:rPr>
        <w:t xml:space="preserve">&lt;2&gt; Собрание законодательства Российской Федерации, 2004, N 28, ст. 2882; 2005, N 43, ст. 4376; 2008, N 17, ст. 1814, N 43, ст. 4921, N 47, ст. 5431; 2009, N 22, ст. 2697, N 51, ст. 6285; 2010, N 19, ст. 2301, N 20, ст. 2435, N 51 (ч. III), ст. 6903; 2011, N 1, ст. 193, ст. 194, N 2, ст. 267, N 40, ст. 5532; 2012, N 2, ст. 243, N 6, ст. 643, N 19, ст. 2329, N 47, ст. 6455.</w:t>
      </w:r>
    </w:p>
    <w:p>
      <w:pPr>
        <w:pStyle w:val="0"/>
        <w:spacing w:before="200" w:line-rule="auto"/>
        <w:ind w:firstLine="540"/>
        <w:jc w:val="both"/>
      </w:pPr>
      <w:r>
        <w:rPr>
          <w:sz w:val="20"/>
        </w:rPr>
        <w:t xml:space="preserve">&lt;3&gt; Собрание законодательства Российской Федерации, 2008, N 48, ст. 5608.</w:t>
      </w:r>
    </w:p>
    <w:p>
      <w:pPr>
        <w:pStyle w:val="0"/>
        <w:ind w:firstLine="540"/>
        <w:jc w:val="both"/>
      </w:pPr>
      <w:r>
        <w:rPr>
          <w:sz w:val="20"/>
        </w:rPr>
      </w:r>
    </w:p>
    <w:p>
      <w:pPr>
        <w:pStyle w:val="0"/>
        <w:ind w:firstLine="540"/>
        <w:jc w:val="both"/>
      </w:pPr>
      <w:r>
        <w:rPr>
          <w:sz w:val="20"/>
        </w:rPr>
        <w:t xml:space="preserve">1. Утвердить и ввести в действие с 29 июля 2013 г. прилагаемый </w:t>
      </w:r>
      <w:hyperlink w:history="0" w:anchor="P32" w:tooltip="СВОД ПРАВИЛ">
        <w:r>
          <w:rPr>
            <w:sz w:val="20"/>
            <w:color w:val="0000ff"/>
          </w:rPr>
          <w:t xml:space="preserve">свод правил</w:t>
        </w:r>
      </w:hyperlink>
      <w:r>
        <w:rPr>
          <w:sz w:val="20"/>
        </w:rPr>
        <w:t xml:space="preserve">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pPr>
        <w:pStyle w:val="0"/>
        <w:jc w:val="both"/>
      </w:pPr>
      <w:r>
        <w:rPr>
          <w:sz w:val="20"/>
        </w:rPr>
        <w:t xml:space="preserve">(в ред. </w:t>
      </w:r>
      <w:hyperlink w:history="0" r:id="rId15" w:tooltip="Приказ МЧС России от 18.07.2013 N 474 &quot;О внесении изменений в приказ МЧС России от 24.04.2013 N 288 &quot;Об утверждении свода правил СП 4.13130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18.07.2013 N 474)</w:t>
      </w:r>
    </w:p>
    <w:p>
      <w:pPr>
        <w:pStyle w:val="0"/>
        <w:spacing w:before="200" w:line-rule="auto"/>
        <w:ind w:firstLine="540"/>
        <w:jc w:val="both"/>
      </w:pPr>
      <w:r>
        <w:rPr>
          <w:sz w:val="20"/>
        </w:rPr>
        <w:t xml:space="preserve">2. Признать утратившими силу с 29 июля 2013 г. приказы МЧС России от 25.03.2009 </w:t>
      </w:r>
      <w:hyperlink w:history="0" r:id="rId16" w:tooltip="&quot;СП 4.13130.2009.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 Приказом МЧС РФ от 25.03.2009 N 174) (ред. от 27.05.2011) ------------ Утратил силу или отменен {КонсультантПлюс}">
        <w:r>
          <w:rPr>
            <w:sz w:val="20"/>
            <w:color w:val="0000ff"/>
          </w:rPr>
          <w:t xml:space="preserve">N 174</w:t>
        </w:r>
      </w:hyperlink>
      <w:r>
        <w:rPr>
          <w:sz w:val="20"/>
        </w:rPr>
        <w:t xml:space="preserve"> "Об утверждении свода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 и от 27.05.2011 </w:t>
      </w:r>
      <w:hyperlink w:history="0" r:id="rId17" w:tooltip="Приказ МЧС РФ от 27.05.2011 N 266 &quot;Об утверждении изменения N 1 к своду правил СП 4.13130.2009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5.03.2009 N 174&quot; ------------ Утратил силу или отменен {КонсультантПлюс}">
        <w:r>
          <w:rPr>
            <w:sz w:val="20"/>
            <w:color w:val="0000ff"/>
          </w:rPr>
          <w:t xml:space="preserve">N 266</w:t>
        </w:r>
      </w:hyperlink>
      <w:r>
        <w:rPr>
          <w:sz w:val="20"/>
        </w:rPr>
        <w:t xml:space="preserve"> "Об утверждении изменения N 1 к своду правил СП 4.13130.2009 "Системы противопожарной защиты. Ограничение распространения пожара на объектах защиты. Требования к объемно-планировочным неконструктивным решениям", утвержденному приказом МЧС России от 25.03.2009 N 174.</w:t>
      </w:r>
    </w:p>
    <w:p>
      <w:pPr>
        <w:pStyle w:val="0"/>
        <w:jc w:val="both"/>
      </w:pPr>
      <w:r>
        <w:rPr>
          <w:sz w:val="20"/>
        </w:rPr>
        <w:t xml:space="preserve">(в ред. </w:t>
      </w:r>
      <w:hyperlink w:history="0" r:id="rId18" w:tooltip="Приказ МЧС России от 18.07.2013 N 474 &quot;О внесении изменений в приказ МЧС России от 24.04.2013 N 288 &quot;Об утверждении свода правил СП 4.13130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18.07.2013 N 474)</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bookmarkStart w:id="32" w:name="P32"/>
    <w:bookmarkEnd w:id="32"/>
    <w:p>
      <w:pPr>
        <w:pStyle w:val="2"/>
        <w:outlineLvl w:val="0"/>
        <w:jc w:val="center"/>
      </w:pPr>
      <w:r>
        <w:rPr>
          <w:sz w:val="20"/>
        </w:rPr>
        <w:t xml:space="preserve">СВОД ПРАВИЛ</w:t>
      </w:r>
    </w:p>
    <w:p>
      <w:pPr>
        <w:pStyle w:val="2"/>
        <w:jc w:val="center"/>
      </w:pPr>
      <w:r>
        <w:rPr>
          <w:sz w:val="20"/>
        </w:rPr>
      </w:r>
    </w:p>
    <w:p>
      <w:pPr>
        <w:pStyle w:val="2"/>
        <w:jc w:val="center"/>
      </w:pPr>
      <w:r>
        <w:rPr>
          <w:sz w:val="20"/>
        </w:rPr>
        <w:t xml:space="preserve">СП 4.13130.2013</w:t>
      </w:r>
    </w:p>
    <w:p>
      <w:pPr>
        <w:pStyle w:val="2"/>
        <w:jc w:val="center"/>
      </w:pPr>
      <w:r>
        <w:rPr>
          <w:sz w:val="20"/>
        </w:rPr>
      </w:r>
    </w:p>
    <w:p>
      <w:pPr>
        <w:pStyle w:val="2"/>
        <w:jc w:val="center"/>
      </w:pPr>
      <w:r>
        <w:rPr>
          <w:sz w:val="20"/>
        </w:rPr>
        <w:t xml:space="preserve">СИСТЕМЫ ПРОТИВОПОЖАРНОЙ ЗАЩИТЫ</w:t>
      </w:r>
    </w:p>
    <w:p>
      <w:pPr>
        <w:pStyle w:val="2"/>
        <w:jc w:val="center"/>
      </w:pPr>
      <w:r>
        <w:rPr>
          <w:sz w:val="20"/>
        </w:rPr>
      </w:r>
    </w:p>
    <w:p>
      <w:pPr>
        <w:pStyle w:val="2"/>
        <w:jc w:val="center"/>
      </w:pPr>
      <w:r>
        <w:rPr>
          <w:sz w:val="20"/>
        </w:rPr>
        <w:t xml:space="preserve">ОГРАНИЧЕНИЕ РАСПРОСТРАНЕНИЯ ПОЖАРА НА ОБЪЕКТАХ ЗАЩИТЫ</w:t>
      </w:r>
    </w:p>
    <w:p>
      <w:pPr>
        <w:pStyle w:val="2"/>
        <w:jc w:val="center"/>
      </w:pPr>
      <w:r>
        <w:rPr>
          <w:sz w:val="20"/>
        </w:rPr>
      </w:r>
    </w:p>
    <w:p>
      <w:pPr>
        <w:pStyle w:val="2"/>
        <w:jc w:val="center"/>
      </w:pPr>
      <w:r>
        <w:rPr>
          <w:sz w:val="20"/>
        </w:rPr>
        <w:t xml:space="preserve">ТРЕБОВАНИЯ</w:t>
      </w:r>
    </w:p>
    <w:p>
      <w:pPr>
        <w:pStyle w:val="2"/>
        <w:jc w:val="center"/>
      </w:pPr>
      <w:r>
        <w:rPr>
          <w:sz w:val="20"/>
        </w:rPr>
        <w:t xml:space="preserve">К ОБЪЕМНО-ПЛАНИРОВОЧНЫМ И КОНСТРУКТИВНЫМ РЕШЕНИЯМ</w:t>
      </w:r>
    </w:p>
    <w:p>
      <w:pPr>
        <w:pStyle w:val="2"/>
        <w:jc w:val="center"/>
      </w:pPr>
      <w:r>
        <w:rPr>
          <w:sz w:val="20"/>
        </w:rPr>
      </w:r>
    </w:p>
    <w:p>
      <w:pPr>
        <w:pStyle w:val="2"/>
        <w:jc w:val="center"/>
      </w:pPr>
      <w:r>
        <w:rPr>
          <w:sz w:val="20"/>
        </w:rPr>
        <w:t xml:space="preserve">Systems of fire protection.</w:t>
      </w:r>
    </w:p>
    <w:p>
      <w:pPr>
        <w:pStyle w:val="2"/>
        <w:jc w:val="center"/>
      </w:pPr>
      <w:r>
        <w:rPr>
          <w:sz w:val="20"/>
        </w:rPr>
        <w:t xml:space="preserve">Restriction of fire spread at object of defense.</w:t>
      </w:r>
    </w:p>
    <w:p>
      <w:pPr>
        <w:pStyle w:val="2"/>
        <w:jc w:val="center"/>
      </w:pPr>
      <w:r>
        <w:rPr>
          <w:sz w:val="20"/>
        </w:rPr>
        <w:t xml:space="preserve">Requirements to special layout and structural decisions</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МЧС России от 14.02.2020 </w:t>
            </w:r>
            <w:hyperlink w:history="0" r:id="rId19"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N 89</w:t>
              </w:r>
            </w:hyperlink>
            <w:r>
              <w:rPr>
                <w:sz w:val="20"/>
                <w:color w:val="392c69"/>
              </w:rPr>
              <w:t xml:space="preserve">,</w:t>
            </w:r>
          </w:p>
          <w:p>
            <w:pPr>
              <w:pStyle w:val="0"/>
              <w:jc w:val="center"/>
            </w:pPr>
            <w:r>
              <w:rPr>
                <w:sz w:val="20"/>
                <w:color w:val="392c69"/>
              </w:rPr>
              <w:t xml:space="preserve">от 17.12.2021 </w:t>
            </w:r>
            <w:hyperlink w:history="0" r:id="rId20" w:tooltip="Приказ МЧС России от 17.12.2021 N 880 &quot;Об утверждении свода правил &quot;Стоянки автомобилей. Требования пожарной безопасности&quot; (вместе с &quot;СП 506.1311500.2021. Свод правил...&quot;) {КонсультантПлюс}">
              <w:r>
                <w:rPr>
                  <w:sz w:val="20"/>
                  <w:color w:val="0000ff"/>
                </w:rPr>
                <w:t xml:space="preserve">N 880</w:t>
              </w:r>
            </w:hyperlink>
            <w:r>
              <w:rPr>
                <w:sz w:val="20"/>
                <w:color w:val="392c69"/>
              </w:rPr>
              <w:t xml:space="preserve">, от 30.12.2021 </w:t>
            </w:r>
            <w:hyperlink w:history="0" r:id="rId21" w:tooltip="&quot;Изменение N 2 к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 и введено в действие приказом МЧС России от 30.12.2021 N 944) {КонсультантПлюс}">
              <w:r>
                <w:rPr>
                  <w:sz w:val="20"/>
                  <w:color w:val="0000ff"/>
                </w:rPr>
                <w:t xml:space="preserve">N 944</w:t>
              </w:r>
            </w:hyperlink>
            <w:r>
              <w:rPr>
                <w:sz w:val="20"/>
                <w:color w:val="392c69"/>
              </w:rPr>
              <w:t xml:space="preserve">, от 15.06.2022 </w:t>
            </w:r>
            <w:hyperlink w:history="0" r:id="rId22"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N 610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jc w:val="right"/>
      </w:pPr>
      <w:r>
        <w:rPr>
          <w:sz w:val="20"/>
        </w:rPr>
        <w:t xml:space="preserve">Дата введения - 2013-06-24</w:t>
      </w:r>
    </w:p>
    <w:p>
      <w:pPr>
        <w:pStyle w:val="0"/>
        <w:ind w:firstLine="540"/>
        <w:jc w:val="both"/>
      </w:pPr>
      <w:r>
        <w:rPr>
          <w:sz w:val="20"/>
        </w:rPr>
      </w:r>
    </w:p>
    <w:p>
      <w:pPr>
        <w:pStyle w:val="2"/>
        <w:outlineLvl w:val="1"/>
        <w:jc w:val="center"/>
      </w:pPr>
      <w:r>
        <w:rPr>
          <w:sz w:val="20"/>
        </w:rPr>
        <w:t xml:space="preserve">Предисловие</w:t>
      </w:r>
    </w:p>
    <w:p>
      <w:pPr>
        <w:pStyle w:val="0"/>
        <w:jc w:val="center"/>
      </w:pPr>
      <w:r>
        <w:rPr>
          <w:sz w:val="20"/>
        </w:rPr>
      </w:r>
    </w:p>
    <w:p>
      <w:pPr>
        <w:pStyle w:val="0"/>
        <w:ind w:firstLine="540"/>
        <w:jc w:val="both"/>
      </w:pPr>
      <w:r>
        <w:rPr>
          <w:sz w:val="20"/>
        </w:rPr>
        <w:t xml:space="preserve">Цели и принципы стандартизации в Российской Федерации, правила применения сводов правил установлены Федеральным </w:t>
      </w:r>
      <w:hyperlink w:history="0" r:id="rId23"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от 27 декабря 2002 г. N 184-ФЗ "О техническом регулировании".</w:t>
      </w:r>
    </w:p>
    <w:p>
      <w:pPr>
        <w:pStyle w:val="0"/>
        <w:spacing w:before="200" w:line-rule="auto"/>
        <w:ind w:firstLine="540"/>
        <w:jc w:val="both"/>
      </w:pPr>
      <w:r>
        <w:rPr>
          <w:sz w:val="20"/>
        </w:rPr>
        <w:t xml:space="preserve">Применение настоящего свода правил обеспечивает соблюдение требований к объемно-планировочным и конструктивным решениям по ограничению распространения пожара в зданиях и сооружениях, установленных Федеральным </w:t>
      </w:r>
      <w:hyperlink w:history="0" r:id="rId24"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22 июля 2008 г. N 123-ФЗ "Технический регламент о требованиях пожарной безопасности".</w:t>
      </w:r>
    </w:p>
    <w:p>
      <w:pPr>
        <w:pStyle w:val="0"/>
        <w:ind w:firstLine="540"/>
        <w:jc w:val="both"/>
      </w:pPr>
      <w:r>
        <w:rPr>
          <w:sz w:val="20"/>
        </w:rPr>
      </w:r>
    </w:p>
    <w:p>
      <w:pPr>
        <w:pStyle w:val="2"/>
        <w:outlineLvl w:val="2"/>
        <w:jc w:val="center"/>
      </w:pPr>
      <w:r>
        <w:rPr>
          <w:sz w:val="20"/>
        </w:rPr>
        <w:t xml:space="preserve">Сведения о своде правил</w:t>
      </w:r>
    </w:p>
    <w:p>
      <w:pPr>
        <w:pStyle w:val="0"/>
        <w:ind w:firstLine="540"/>
        <w:jc w:val="both"/>
      </w:pPr>
      <w:r>
        <w:rPr>
          <w:sz w:val="20"/>
        </w:rPr>
      </w:r>
    </w:p>
    <w:p>
      <w:pPr>
        <w:pStyle w:val="0"/>
        <w:ind w:firstLine="540"/>
        <w:jc w:val="both"/>
      </w:pPr>
      <w:r>
        <w:rPr>
          <w:sz w:val="20"/>
        </w:rPr>
        <w:t xml:space="preserve">1. РАЗРАБОТАН И ВНЕСЕН Федеральным государственным бюджетным учреждением "Всероссийский ордена "Знак Почета" научно-исследовательский институт противопожарной обороны" (ФГБУ ВНИИПО МЧС России)</w:t>
      </w:r>
    </w:p>
    <w:p>
      <w:pPr>
        <w:pStyle w:val="0"/>
        <w:spacing w:before="200" w:line-rule="auto"/>
        <w:ind w:firstLine="540"/>
        <w:jc w:val="both"/>
      </w:pPr>
      <w:r>
        <w:rPr>
          <w:sz w:val="20"/>
        </w:rPr>
        <w:t xml:space="preserve">2. УТВЕРЖДЕН И ВВЕДЕН В ДЕЙСТВИЕ приказом Министерства Российской Федерации по делам гражданской обороны, чрезвычайным ситуациям и ликвидации последствий стихийных бедствий (МЧС России) от 24 апреля 2013 г. N 288</w:t>
      </w:r>
    </w:p>
    <w:p>
      <w:pPr>
        <w:pStyle w:val="0"/>
        <w:spacing w:before="200" w:line-rule="auto"/>
        <w:ind w:firstLine="540"/>
        <w:jc w:val="both"/>
      </w:pPr>
      <w:r>
        <w:rPr>
          <w:sz w:val="20"/>
        </w:rPr>
        <w:t xml:space="preserve">3. ЗАРЕГИСТРИРОВАН Федеральным агентством по техническому регулированию и метрологии 18 июня 2013 г.</w:t>
      </w:r>
    </w:p>
    <w:p>
      <w:pPr>
        <w:pStyle w:val="0"/>
        <w:spacing w:before="200" w:line-rule="auto"/>
        <w:ind w:firstLine="540"/>
        <w:jc w:val="both"/>
      </w:pPr>
      <w:r>
        <w:rPr>
          <w:sz w:val="20"/>
        </w:rPr>
        <w:t xml:space="preserve">4. ВЗАМЕН </w:t>
      </w:r>
      <w:hyperlink w:history="0" r:id="rId25" w:tooltip="&quot;СП 4.13130.2009.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 Приказом МЧС РФ от 25.03.2009 N 174) (ред. от 27.05.2011) ------------ Утратил силу или отменен {КонсультантПлюс}">
        <w:r>
          <w:rPr>
            <w:sz w:val="20"/>
            <w:color w:val="0000ff"/>
          </w:rPr>
          <w:t xml:space="preserve">СП 4.13130.2009</w:t>
        </w:r>
      </w:hyperlink>
    </w:p>
    <w:p>
      <w:pPr>
        <w:pStyle w:val="0"/>
        <w:ind w:firstLine="540"/>
        <w:jc w:val="both"/>
      </w:pPr>
      <w:r>
        <w:rPr>
          <w:sz w:val="20"/>
        </w:rPr>
      </w:r>
    </w:p>
    <w:p>
      <w:pPr>
        <w:pStyle w:val="0"/>
        <w:ind w:firstLine="540"/>
        <w:jc w:val="both"/>
      </w:pPr>
      <w:r>
        <w:rPr>
          <w:sz w:val="20"/>
        </w:rPr>
        <w:t xml:space="preserve">Информация об изменениях к настоящему своду правил публикуется разработчиком в его официальных печатных изданиях и размещается в информационной системе общего пользования в электронно-цифровой форме.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и уведомления размещаются также в информационной системе общего пользования - на официальном сайте национального органа Российской Федерации по стандартизации в сети Интернет.</w:t>
      </w:r>
    </w:p>
    <w:p>
      <w:pPr>
        <w:pStyle w:val="0"/>
        <w:spacing w:before="200" w:line-rule="auto"/>
        <w:ind w:firstLine="540"/>
        <w:jc w:val="both"/>
      </w:pPr>
      <w:r>
        <w:rPr>
          <w:sz w:val="20"/>
        </w:rPr>
        <w:t xml:space="preserve">Настоящий свод правил не может быть полностью или частично воспроизведен, тиражирован и распространен в качестве официального издания без разрешения МЧС России</w:t>
      </w:r>
    </w:p>
    <w:p>
      <w:pPr>
        <w:pStyle w:val="0"/>
        <w:ind w:firstLine="540"/>
        <w:jc w:val="both"/>
      </w:pPr>
      <w:r>
        <w:rPr>
          <w:sz w:val="20"/>
        </w:rPr>
      </w:r>
    </w:p>
    <w:p>
      <w:pPr>
        <w:pStyle w:val="2"/>
        <w:outlineLvl w:val="1"/>
        <w:ind w:firstLine="540"/>
        <w:jc w:val="both"/>
      </w:pPr>
      <w:r>
        <w:rPr>
          <w:sz w:val="20"/>
        </w:rPr>
        <w:t xml:space="preserve">1. Область применения</w:t>
      </w:r>
    </w:p>
    <w:p>
      <w:pPr>
        <w:pStyle w:val="0"/>
        <w:ind w:firstLine="540"/>
        <w:jc w:val="both"/>
      </w:pPr>
      <w:r>
        <w:rPr>
          <w:sz w:val="20"/>
        </w:rPr>
      </w:r>
    </w:p>
    <w:p>
      <w:pPr>
        <w:pStyle w:val="0"/>
        <w:ind w:firstLine="540"/>
        <w:jc w:val="both"/>
      </w:pPr>
      <w:r>
        <w:rPr>
          <w:sz w:val="20"/>
        </w:rPr>
        <w:t xml:space="preserve">1.1. Требования настоящего свода правил распространяются на объекты защиты при их проектировании, строительстве, изменении функционального назначения, а также при проведении работ по реконструкции, капитальном ремонте и техническом перевооружении в части, соответствующей объему указанных работ.</w:t>
      </w:r>
    </w:p>
    <w:p>
      <w:pPr>
        <w:pStyle w:val="0"/>
        <w:jc w:val="both"/>
      </w:pPr>
      <w:r>
        <w:rPr>
          <w:sz w:val="20"/>
        </w:rPr>
        <w:t xml:space="preserve">(п. 1.1 в ред. </w:t>
      </w:r>
      <w:hyperlink w:history="0" r:id="rId26"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1.2. Настоящий свод правил не распространяется на здания и сооружения класса функциональной пожарной опасности Ф1.3 высотой более 75 м и здания и сооружения других классов функциональной пожарной опасности высотой более 50 м, а также на объекты специального назначения (для производства и хранения взрывчатых веществ и средств взрывания, военного назначения, подземные сооружения метрополитенов, горных выработок), за исключением атомных электростанций и пунктов хранения ядерных материалов и радиоактивных веществ.</w:t>
      </w:r>
    </w:p>
    <w:p>
      <w:pPr>
        <w:pStyle w:val="0"/>
        <w:ind w:firstLine="540"/>
        <w:jc w:val="both"/>
      </w:pPr>
      <w:r>
        <w:rPr>
          <w:sz w:val="20"/>
        </w:rPr>
      </w:r>
    </w:p>
    <w:p>
      <w:pPr>
        <w:pStyle w:val="2"/>
        <w:outlineLvl w:val="1"/>
        <w:ind w:firstLine="540"/>
        <w:jc w:val="both"/>
      </w:pPr>
      <w:r>
        <w:rPr>
          <w:sz w:val="20"/>
        </w:rPr>
        <w:t xml:space="preserve">2. Нормативные ссылки</w:t>
      </w:r>
    </w:p>
    <w:p>
      <w:pPr>
        <w:pStyle w:val="0"/>
        <w:ind w:firstLine="540"/>
        <w:jc w:val="both"/>
      </w:pPr>
      <w:r>
        <w:rPr>
          <w:sz w:val="20"/>
        </w:rPr>
      </w:r>
    </w:p>
    <w:p>
      <w:pPr>
        <w:pStyle w:val="0"/>
        <w:ind w:firstLine="540"/>
        <w:jc w:val="both"/>
      </w:pPr>
      <w:r>
        <w:rPr>
          <w:sz w:val="20"/>
        </w:rPr>
        <w:t xml:space="preserve">В настоящем своде правил использованы нормативные ссылки на следующие национальные стандарты и своды правил:</w:t>
      </w:r>
    </w:p>
    <w:p>
      <w:pPr>
        <w:pStyle w:val="0"/>
        <w:spacing w:before="200" w:line-rule="auto"/>
        <w:ind w:firstLine="540"/>
        <w:jc w:val="both"/>
      </w:pPr>
      <w:hyperlink w:history="0" r:id="rId27" w:tooltip="&quot;ГОСТ Р 51115-97. Государственный стандарт Российской Федерации. Техника пожарная. Стволы пожарные лафетные. Общие технические требования. Методы испытаний&quot; (принят и введен в действие Постановлением Госстандарта РФ от 25.12.1997 N 425) (ред. от 09.12.2013) {КонсультантПлюс}">
        <w:r>
          <w:rPr>
            <w:sz w:val="20"/>
            <w:color w:val="0000ff"/>
          </w:rPr>
          <w:t xml:space="preserve">ГОСТ Р 51115-97</w:t>
        </w:r>
      </w:hyperlink>
      <w:r>
        <w:rPr>
          <w:sz w:val="20"/>
        </w:rPr>
        <w:t xml:space="preserve"> Техника пожарная. Стволы пожарные лафетные комбинированные. Общие технические требования. Методы испытаний</w:t>
      </w:r>
    </w:p>
    <w:p>
      <w:pPr>
        <w:pStyle w:val="0"/>
        <w:spacing w:before="200" w:line-rule="auto"/>
        <w:ind w:firstLine="540"/>
        <w:jc w:val="both"/>
      </w:pPr>
      <w:hyperlink w:history="0" r:id="rId28" w:tooltip="&quot;ГОСТ Р 53279-2009. Национальный стандарт Российской Федерации. Техника пожарная. Головки соединительные пожарные. Общие технические требования. Методы испытаний&quot; (утв. и введен Приказом Ростехрегулирования от 18.02.2009 N 51-ст) {КонсультантПлюс}">
        <w:r>
          <w:rPr>
            <w:sz w:val="20"/>
            <w:color w:val="0000ff"/>
          </w:rPr>
          <w:t xml:space="preserve">ГОСТ Р 53279-2009</w:t>
        </w:r>
      </w:hyperlink>
      <w:r>
        <w:rPr>
          <w:sz w:val="20"/>
        </w:rPr>
        <w:t xml:space="preserve"> Головки соединительные пожарные. Общие технические требования. Методы исследований</w:t>
      </w:r>
    </w:p>
    <w:p>
      <w:pPr>
        <w:pStyle w:val="0"/>
        <w:spacing w:before="200" w:line-rule="auto"/>
        <w:ind w:firstLine="540"/>
        <w:jc w:val="both"/>
      </w:pPr>
      <w:hyperlink w:history="0" r:id="rId29" w:tooltip="&quot;ГОСТ Р 53324-2009. Национальный стандарт Российской Федерации. Ограждения резервуаров. Требования пожарной безопасности&quot; (утв. Приказом Ростехрегулирования от 18.02.2009 N 100-ст) {КонсультантПлюс}">
        <w:r>
          <w:rPr>
            <w:sz w:val="20"/>
            <w:color w:val="0000ff"/>
          </w:rPr>
          <w:t xml:space="preserve">ГОСТ Р 53324-2009</w:t>
        </w:r>
      </w:hyperlink>
      <w:r>
        <w:rPr>
          <w:sz w:val="20"/>
        </w:rPr>
        <w:t xml:space="preserve"> Ограждение резервуаров. Требования пожарной безопасности</w:t>
      </w:r>
    </w:p>
    <w:p>
      <w:pPr>
        <w:pStyle w:val="0"/>
        <w:spacing w:before="200" w:line-rule="auto"/>
        <w:ind w:firstLine="540"/>
        <w:jc w:val="both"/>
      </w:pPr>
      <w:hyperlink w:history="0" r:id="rId30" w:tooltip="&quot;ГОСТ Р 54808-2011. Национальный стандарт Российской Федерации. Арматура трубопроводная. Нормы герметичности затворов&quot; (утв. и введен в действие Приказом Росстандарта от 13.11.2011 N 1172-ст) ------------ Утратил силу или отменен {КонсультантПлюс}">
        <w:r>
          <w:rPr>
            <w:sz w:val="20"/>
            <w:color w:val="0000ff"/>
          </w:rPr>
          <w:t xml:space="preserve">ГОСТ Р 54808-2011</w:t>
        </w:r>
      </w:hyperlink>
      <w:r>
        <w:rPr>
          <w:sz w:val="20"/>
        </w:rPr>
        <w:t xml:space="preserve"> Арматура трубопроводная запорная. Классы и нормы герметичности затворов</w:t>
      </w:r>
    </w:p>
    <w:p>
      <w:pPr>
        <w:pStyle w:val="0"/>
        <w:jc w:val="both"/>
      </w:pPr>
      <w:r>
        <w:rPr>
          <w:sz w:val="20"/>
        </w:rPr>
        <w:t xml:space="preserve">(в ред. </w:t>
      </w:r>
      <w:hyperlink w:history="0" r:id="rId31"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hyperlink w:history="0" r:id="rId32" w:tooltip="Приказ МЧС России от 12.03.2020 N 151 &quot;Об утверждении свода правил СП 2.13130 &quot;Системы противопожарной защиты. Обеспечение огнестойкости объектов защиты&quot; (вместе с &quot;СП 2.13130.2020. Свод правил. Системы противопожарной защиты. Обеспечение огнестойкости объектов защиты&quot;) {КонсультантПлюс}">
        <w:r>
          <w:rPr>
            <w:sz w:val="20"/>
            <w:color w:val="0000ff"/>
          </w:rPr>
          <w:t xml:space="preserve">СП 2.13130.2020</w:t>
        </w:r>
      </w:hyperlink>
      <w:r>
        <w:rPr>
          <w:sz w:val="20"/>
        </w:rPr>
        <w:t xml:space="preserve"> Системы противопожарной защиты. Обеспечение огнестойкости объектов защиты</w:t>
      </w:r>
    </w:p>
    <w:p>
      <w:pPr>
        <w:pStyle w:val="0"/>
        <w:jc w:val="both"/>
      </w:pPr>
      <w:r>
        <w:rPr>
          <w:sz w:val="20"/>
        </w:rPr>
        <w:t xml:space="preserve">(в ред. Приказов МЧС России от 14.02.2020 </w:t>
      </w:r>
      <w:hyperlink w:history="0" r:id="rId33"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N 89</w:t>
        </w:r>
      </w:hyperlink>
      <w:r>
        <w:rPr>
          <w:sz w:val="20"/>
        </w:rPr>
        <w:t xml:space="preserve">, от 15.06.2022 </w:t>
      </w:r>
      <w:hyperlink w:history="0" r:id="rId34"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N 610</w:t>
        </w:r>
      </w:hyperlink>
      <w:r>
        <w:rPr>
          <w:sz w:val="20"/>
        </w:rPr>
        <w:t xml:space="preserve">)</w:t>
      </w:r>
    </w:p>
    <w:p>
      <w:pPr>
        <w:pStyle w:val="0"/>
        <w:spacing w:before="200" w:line-rule="auto"/>
        <w:ind w:firstLine="540"/>
        <w:jc w:val="both"/>
      </w:pPr>
      <w:r>
        <w:rPr>
          <w:sz w:val="20"/>
        </w:rPr>
        <w:t xml:space="preserve">абзац исключен с 1 декабря 2022 года. - </w:t>
      </w:r>
      <w:hyperlink w:history="0" r:id="rId35"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w:t>
        </w:r>
      </w:hyperlink>
      <w:r>
        <w:rPr>
          <w:sz w:val="20"/>
        </w:rPr>
        <w:t xml:space="preserve"> МЧС России от 15.06.2022 N 610</w:t>
      </w:r>
    </w:p>
    <w:p>
      <w:pPr>
        <w:pStyle w:val="0"/>
        <w:spacing w:before="200" w:line-rule="auto"/>
        <w:ind w:firstLine="540"/>
        <w:jc w:val="both"/>
      </w:pPr>
      <w:hyperlink w:history="0" r:id="rId36" w:tooltip="Приказ МЧС России от 21.02.2013 N 116 (ред. от 12.03.2020) &quot;Об утверждении свода правил СП 7.13130 &quot;Отопление, вентиляция и кондиционирование. Требования пожарной безопасности&quot; {КонсультантПлюс}">
        <w:r>
          <w:rPr>
            <w:sz w:val="20"/>
            <w:color w:val="0000ff"/>
          </w:rPr>
          <w:t xml:space="preserve">СП 7.13130.2013</w:t>
        </w:r>
      </w:hyperlink>
      <w:r>
        <w:rPr>
          <w:sz w:val="20"/>
        </w:rPr>
        <w:t xml:space="preserve"> Отопление, вентиляция, кондиционирование. Требования пожарной безопасности</w:t>
      </w:r>
    </w:p>
    <w:p>
      <w:pPr>
        <w:pStyle w:val="0"/>
        <w:jc w:val="both"/>
      </w:pPr>
      <w:r>
        <w:rPr>
          <w:sz w:val="20"/>
        </w:rPr>
        <w:t xml:space="preserve">(в ред. </w:t>
      </w:r>
      <w:hyperlink w:history="0" r:id="rId37"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hyperlink w:history="0" r:id="rId38" w:tooltip="Приказ МЧС России от 30.03.2020 N 225 &quot;Об утверждении свода правил СП 8.13130 &quot;Системы противопожарной защиты. Наружное противопожарное водоснабжение. Требования пожарной безопасности&quot; {КонсультантПлюс}">
        <w:r>
          <w:rPr>
            <w:sz w:val="20"/>
            <w:color w:val="0000ff"/>
          </w:rPr>
          <w:t xml:space="preserve">СП 8.13130.2020</w:t>
        </w:r>
      </w:hyperlink>
      <w:r>
        <w:rPr>
          <w:sz w:val="20"/>
        </w:rPr>
        <w:t xml:space="preserve"> "Системы противопожарной защиты. Наружное противопожарное водоснабжение. Требования пожарной безопасности"</w:t>
      </w:r>
    </w:p>
    <w:p>
      <w:pPr>
        <w:pStyle w:val="0"/>
        <w:jc w:val="both"/>
      </w:pPr>
      <w:r>
        <w:rPr>
          <w:sz w:val="20"/>
        </w:rPr>
        <w:t xml:space="preserve">(в ред. </w:t>
      </w:r>
      <w:hyperlink w:history="0" r:id="rId39"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hyperlink w:history="0" r:id="rId40" w:tooltip="Приказ МЧС России от 27.07.2020 N 559 &quot;Об утверждении свода правил СП 10.13130 &quot;Системы противопожарной защиты. Внутренний противопожарный водопровод. Нормы и правила проектирования&quot; {КонсультантПлюс}">
        <w:r>
          <w:rPr>
            <w:sz w:val="20"/>
            <w:color w:val="0000ff"/>
          </w:rPr>
          <w:t xml:space="preserve">СП 10.13130.2020</w:t>
        </w:r>
      </w:hyperlink>
      <w:r>
        <w:rPr>
          <w:sz w:val="20"/>
        </w:rPr>
        <w:t xml:space="preserve"> "Системы противопожарной защиты. Внутренний противопожарный водопровод. Нормы и правила проектирования"</w:t>
      </w:r>
    </w:p>
    <w:p>
      <w:pPr>
        <w:pStyle w:val="0"/>
        <w:jc w:val="both"/>
      </w:pPr>
      <w:r>
        <w:rPr>
          <w:sz w:val="20"/>
        </w:rPr>
        <w:t xml:space="preserve">(в ред. </w:t>
      </w:r>
      <w:hyperlink w:history="0" r:id="rId41"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hyperlink w:history="0" r:id="rId42" w:tooltip="&quot;СП 11.13130.2009. Свод правил. Места дислокации подразделений пожарной охраны. Порядок и методика определения&quot; (утв. Приказом МЧС РФ от 25.03.2009 N 181) (ред. от 09.12.2010) {КонсультантПлюс}">
        <w:r>
          <w:rPr>
            <w:sz w:val="20"/>
            <w:color w:val="0000ff"/>
          </w:rPr>
          <w:t xml:space="preserve">СП 11.13130.2009</w:t>
        </w:r>
      </w:hyperlink>
      <w:r>
        <w:rPr>
          <w:sz w:val="20"/>
        </w:rPr>
        <w:t xml:space="preserve"> Места дислокации подразделений пожарной охраны. Порядок и методика определения</w:t>
      </w:r>
    </w:p>
    <w:p>
      <w:pPr>
        <w:pStyle w:val="0"/>
        <w:spacing w:before="200" w:line-rule="auto"/>
        <w:ind w:firstLine="540"/>
        <w:jc w:val="both"/>
      </w:pPr>
      <w:hyperlink w:history="0" r:id="rId43" w:tooltip="Приказ МЧС РФ от 25.03.2009 N 182 (ред. от 09.12.2010) &quot;Об утверждении свода правил &quot;Определение категорий помещений, зданий и наружных установок по взрывопожарной и пожарной опасности&quot; (вместе с &quot;СП 12.13130.2009...&quot;) {КонсультантПлюс}">
        <w:r>
          <w:rPr>
            <w:sz w:val="20"/>
            <w:color w:val="0000ff"/>
          </w:rPr>
          <w:t xml:space="preserve">СП 12.13130.2009</w:t>
        </w:r>
      </w:hyperlink>
      <w:r>
        <w:rPr>
          <w:sz w:val="20"/>
        </w:rPr>
        <w:t xml:space="preserve"> Определение категорий помещений, зданий и наружных установок по взрывопожарной и пожарной опасности</w:t>
      </w:r>
    </w:p>
    <w:p>
      <w:pPr>
        <w:pStyle w:val="0"/>
        <w:spacing w:before="200" w:line-rule="auto"/>
        <w:ind w:firstLine="540"/>
        <w:jc w:val="both"/>
      </w:pPr>
      <w:hyperlink w:history="0" r:id="rId44" w:tooltip="&quot;СП 17.13330.2017. Свод правил. Кровли. Актуализированная редакция СНиП II-26-76&quot; (утв. Приказом Минстроя России от 31.05.2017 N 827/пр) (ред. от 31.05.2022) {КонсультантПлюс}">
        <w:r>
          <w:rPr>
            <w:sz w:val="20"/>
            <w:color w:val="0000ff"/>
          </w:rPr>
          <w:t xml:space="preserve">СП 17.13330.2017</w:t>
        </w:r>
      </w:hyperlink>
      <w:r>
        <w:rPr>
          <w:sz w:val="20"/>
        </w:rPr>
        <w:t xml:space="preserve"> Кровли. Актуализированная редакция СНиП II-26-76</w:t>
      </w:r>
    </w:p>
    <w:p>
      <w:pPr>
        <w:pStyle w:val="0"/>
        <w:jc w:val="both"/>
      </w:pPr>
      <w:r>
        <w:rPr>
          <w:sz w:val="20"/>
        </w:rPr>
        <w:t xml:space="preserve">(абзац введен </w:t>
      </w:r>
      <w:hyperlink w:history="0" r:id="rId45"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Приказом</w:t>
        </w:r>
      </w:hyperlink>
      <w:r>
        <w:rPr>
          <w:sz w:val="20"/>
        </w:rPr>
        <w:t xml:space="preserve"> МЧС России от 14.02.2020 N 89)</w:t>
      </w:r>
    </w:p>
    <w:p>
      <w:pPr>
        <w:pStyle w:val="0"/>
        <w:spacing w:before="200" w:line-rule="auto"/>
        <w:ind w:firstLine="540"/>
        <w:jc w:val="both"/>
      </w:pPr>
      <w:hyperlink w:history="0" r:id="rId46" w:tooltip="&quot;СП 54.13330.2016. Свод правил. Здания жилые многоквартирные. Актуализированная редакция СНиП 31-01-2003&quot; (утв. Приказом Минстроя России от 03.12.2016 N 883/пр) (ред. от 19.12.2019) ------------ Утратил силу или отменен {КонсультантПлюс}">
        <w:r>
          <w:rPr>
            <w:sz w:val="20"/>
            <w:color w:val="0000ff"/>
          </w:rPr>
          <w:t xml:space="preserve">СП 54.13330.2016</w:t>
        </w:r>
      </w:hyperlink>
      <w:r>
        <w:rPr>
          <w:sz w:val="20"/>
        </w:rPr>
        <w:t xml:space="preserve"> Здания жилые многоквартирные. Актуализированная редакция СНиП 31-01-2003</w:t>
      </w:r>
    </w:p>
    <w:p>
      <w:pPr>
        <w:pStyle w:val="0"/>
        <w:jc w:val="both"/>
      </w:pPr>
      <w:r>
        <w:rPr>
          <w:sz w:val="20"/>
        </w:rPr>
        <w:t xml:space="preserve">(абзац введен </w:t>
      </w:r>
      <w:hyperlink w:history="0" r:id="rId47"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Приказом</w:t>
        </w:r>
      </w:hyperlink>
      <w:r>
        <w:rPr>
          <w:sz w:val="20"/>
        </w:rPr>
        <w:t xml:space="preserve"> МЧС России от 14.02.2020 N 89)</w:t>
      </w:r>
    </w:p>
    <w:p>
      <w:pPr>
        <w:pStyle w:val="0"/>
        <w:spacing w:before="200" w:line-rule="auto"/>
        <w:ind w:firstLine="540"/>
        <w:jc w:val="both"/>
      </w:pPr>
      <w:hyperlink w:history="0" r:id="rId48" w:tooltip="&quot;СП 108.13330.2012. Свод правил. Предприятия, здания и сооружения по хранению и переработке зерна. Актуализированная редакция СНиП 2.10.05-85&quot; (утв. Приказом Минрегиона России от 29.12.2011 N 635/3) (ред. от 30.05.2022) {КонсультантПлюс}">
        <w:r>
          <w:rPr>
            <w:sz w:val="20"/>
            <w:color w:val="0000ff"/>
          </w:rPr>
          <w:t xml:space="preserve">СП 108.13330.2012</w:t>
        </w:r>
      </w:hyperlink>
      <w:r>
        <w:rPr>
          <w:sz w:val="20"/>
        </w:rPr>
        <w:t xml:space="preserve"> Предприятия, здания и сооружения по хранению и переработке зерна. Актуализированная редакция СНиП 2.10.05-85</w:t>
      </w:r>
    </w:p>
    <w:p>
      <w:pPr>
        <w:pStyle w:val="0"/>
        <w:jc w:val="both"/>
      </w:pPr>
      <w:r>
        <w:rPr>
          <w:sz w:val="20"/>
        </w:rPr>
        <w:t xml:space="preserve">(абзац введен </w:t>
      </w:r>
      <w:hyperlink w:history="0" r:id="rId49"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Приказом</w:t>
        </w:r>
      </w:hyperlink>
      <w:r>
        <w:rPr>
          <w:sz w:val="20"/>
        </w:rPr>
        <w:t xml:space="preserve"> МЧС России от 14.02.2020 N 89)</w:t>
      </w:r>
    </w:p>
    <w:p>
      <w:pPr>
        <w:pStyle w:val="0"/>
        <w:spacing w:before="200" w:line-rule="auto"/>
        <w:ind w:firstLine="540"/>
        <w:jc w:val="both"/>
      </w:pPr>
      <w:hyperlink w:history="0" r:id="rId50" w:tooltip="&quot;СП 113.13330.2016. Свод правил. Стоянки автомобилей. Актуализированная редакция СНиП 21-02-99*&quot; (утв. Приказом Минстроя России от 07.11.2016 N 776/пр) (ред. от 17.09.2019) {КонсультантПлюс}">
        <w:r>
          <w:rPr>
            <w:sz w:val="20"/>
            <w:color w:val="0000ff"/>
          </w:rPr>
          <w:t xml:space="preserve">СП 113.13330.2016</w:t>
        </w:r>
      </w:hyperlink>
      <w:r>
        <w:rPr>
          <w:sz w:val="20"/>
        </w:rPr>
        <w:t xml:space="preserve"> Стоянки автомобилей. Актуализированная редакция СНиП 21-02-99*</w:t>
      </w:r>
    </w:p>
    <w:p>
      <w:pPr>
        <w:pStyle w:val="0"/>
        <w:jc w:val="both"/>
      </w:pPr>
      <w:r>
        <w:rPr>
          <w:sz w:val="20"/>
        </w:rPr>
        <w:t xml:space="preserve">(абзац введен </w:t>
      </w:r>
      <w:hyperlink w:history="0" r:id="rId51"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Приказом</w:t>
        </w:r>
      </w:hyperlink>
      <w:r>
        <w:rPr>
          <w:sz w:val="20"/>
        </w:rPr>
        <w:t xml:space="preserve"> МЧС России от 14.02.2020 N 89)</w:t>
      </w:r>
    </w:p>
    <w:p>
      <w:pPr>
        <w:pStyle w:val="0"/>
        <w:spacing w:before="200" w:line-rule="auto"/>
        <w:ind w:firstLine="540"/>
        <w:jc w:val="both"/>
      </w:pPr>
      <w:hyperlink w:history="0" r:id="rId52" w:tooltip="&quot;СП 118.13330.2012*. Свод правил. Общественные здания и сооружения. Актуализированная редакция СНиП 31-06-2009&quot; (утв. Приказом Минрегиона России от 29.12.2011 N 635/10) (ред. от 19.12.2019) ------------ Утратил силу или отменен {КонсультантПлюс}">
        <w:r>
          <w:rPr>
            <w:sz w:val="20"/>
            <w:color w:val="0000ff"/>
          </w:rPr>
          <w:t xml:space="preserve">СП 118.13330.2012*</w:t>
        </w:r>
      </w:hyperlink>
      <w:r>
        <w:rPr>
          <w:sz w:val="20"/>
        </w:rPr>
        <w:t xml:space="preserve"> Общественные здания и сооружения. Актуализированная редакция СНиП 31-06-2009</w:t>
      </w:r>
    </w:p>
    <w:p>
      <w:pPr>
        <w:pStyle w:val="0"/>
        <w:jc w:val="both"/>
      </w:pPr>
      <w:r>
        <w:rPr>
          <w:sz w:val="20"/>
        </w:rPr>
        <w:t xml:space="preserve">(абзац введен </w:t>
      </w:r>
      <w:hyperlink w:history="0" r:id="rId53"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Приказом</w:t>
        </w:r>
      </w:hyperlink>
      <w:r>
        <w:rPr>
          <w:sz w:val="20"/>
        </w:rPr>
        <w:t xml:space="preserve"> МЧС России от 14.02.2020 N 89)</w:t>
      </w:r>
    </w:p>
    <w:p>
      <w:pPr>
        <w:pStyle w:val="0"/>
        <w:spacing w:before="200" w:line-rule="auto"/>
        <w:ind w:firstLine="540"/>
        <w:jc w:val="both"/>
      </w:pPr>
      <w:hyperlink w:history="0" r:id="rId54" w:tooltip="Приказ МЧС России от 21.02.2013 N 117 &quot;Об утверждении свода правил &quot;Встроенные подземные автостоянки. Требования пожарной безопасности&quot; (вместе с &quot;СП 154.13130.2013. Свод правил...&quot;) ------------ Утратил силу или отменен {КонсультантПлюс}">
        <w:r>
          <w:rPr>
            <w:sz w:val="20"/>
            <w:color w:val="0000ff"/>
          </w:rPr>
          <w:t xml:space="preserve">СП 154.13130.2013</w:t>
        </w:r>
      </w:hyperlink>
      <w:r>
        <w:rPr>
          <w:sz w:val="20"/>
        </w:rPr>
        <w:t xml:space="preserve"> Встроенные подземные автостоянки. Требования пожарной безопасности</w:t>
      </w:r>
    </w:p>
    <w:p>
      <w:pPr>
        <w:pStyle w:val="0"/>
        <w:jc w:val="both"/>
      </w:pPr>
      <w:r>
        <w:rPr>
          <w:sz w:val="20"/>
        </w:rPr>
        <w:t xml:space="preserve">(абзац введен </w:t>
      </w:r>
      <w:hyperlink w:history="0" r:id="rId55"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Приказом</w:t>
        </w:r>
      </w:hyperlink>
      <w:r>
        <w:rPr>
          <w:sz w:val="20"/>
        </w:rPr>
        <w:t xml:space="preserve"> МЧС России от 14.02.2020 N 89)</w:t>
      </w:r>
    </w:p>
    <w:p>
      <w:pPr>
        <w:pStyle w:val="0"/>
        <w:spacing w:before="200" w:line-rule="auto"/>
        <w:ind w:firstLine="540"/>
        <w:jc w:val="both"/>
      </w:pPr>
      <w:hyperlink w:history="0" r:id="rId56" w:tooltip="Приказ МЧС России от 26.12.2013 N 837 (ред. от 09.03.2017) &quot;Об утверждении свода правил &quot;Склады нефти и нефтепродуктов. Требования пожарной безопасности&quot; (вместе с &quot;СП 155.13130.2014. Свод правил...&quot;) {КонсультантПлюс}">
        <w:r>
          <w:rPr>
            <w:sz w:val="20"/>
            <w:color w:val="0000ff"/>
          </w:rPr>
          <w:t xml:space="preserve">СП 155.13130.2014</w:t>
        </w:r>
      </w:hyperlink>
      <w:r>
        <w:rPr>
          <w:sz w:val="20"/>
        </w:rPr>
        <w:t xml:space="preserve"> Склады нефти и нефтепродуктов. Требования пожарной безопасности</w:t>
      </w:r>
    </w:p>
    <w:p>
      <w:pPr>
        <w:pStyle w:val="0"/>
        <w:jc w:val="both"/>
      </w:pPr>
      <w:r>
        <w:rPr>
          <w:sz w:val="20"/>
        </w:rPr>
        <w:t xml:space="preserve">(абзац введен </w:t>
      </w:r>
      <w:hyperlink w:history="0" r:id="rId57"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Приказом</w:t>
        </w:r>
      </w:hyperlink>
      <w:r>
        <w:rPr>
          <w:sz w:val="20"/>
        </w:rPr>
        <w:t xml:space="preserve"> МЧС России от 14.02.2020 N 89)</w:t>
      </w:r>
    </w:p>
    <w:p>
      <w:pPr>
        <w:pStyle w:val="0"/>
        <w:spacing w:before="200" w:line-rule="auto"/>
        <w:ind w:firstLine="540"/>
        <w:jc w:val="both"/>
      </w:pPr>
      <w:hyperlink w:history="0" r:id="rId58" w:tooltip="Приказ МЧС России от 23.11.2016 N 615 &quot;Об утверждении свода правил &quot;Объекты религиозного назначения. Требования пожарной безопасности&quot; {КонсультантПлюс}">
        <w:r>
          <w:rPr>
            <w:sz w:val="20"/>
            <w:color w:val="0000ff"/>
          </w:rPr>
          <w:t xml:space="preserve">СП 258.1311500.2016</w:t>
        </w:r>
      </w:hyperlink>
      <w:r>
        <w:rPr>
          <w:sz w:val="20"/>
        </w:rPr>
        <w:t xml:space="preserve"> Объекты религиозного назначения. Требования пожарной безопасности</w:t>
      </w:r>
    </w:p>
    <w:p>
      <w:pPr>
        <w:pStyle w:val="0"/>
        <w:jc w:val="both"/>
      </w:pPr>
      <w:r>
        <w:rPr>
          <w:sz w:val="20"/>
        </w:rPr>
        <w:t xml:space="preserve">(абзац введен </w:t>
      </w:r>
      <w:hyperlink w:history="0" r:id="rId59"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Приказом</w:t>
        </w:r>
      </w:hyperlink>
      <w:r>
        <w:rPr>
          <w:sz w:val="20"/>
        </w:rPr>
        <w:t xml:space="preserve"> МЧС России от 14.02.2020 N 89)</w:t>
      </w:r>
    </w:p>
    <w:p>
      <w:pPr>
        <w:pStyle w:val="0"/>
        <w:spacing w:before="200" w:line-rule="auto"/>
        <w:ind w:firstLine="540"/>
        <w:jc w:val="both"/>
      </w:pPr>
      <w:hyperlink w:history="0" r:id="rId60" w:tooltip="&quot;ГОСТ Р 53254-2009. Национальный стандарт Российской Федерации. Техника пожарная. Лестницы пожарные наружные стационарные. Ограждения кровли. Общие технические требования. Методы испытаний&quot; (утв. Приказом Ростехрегулирования от 18.02.2009 N 25-ст) {КонсультантПлюс}">
        <w:r>
          <w:rPr>
            <w:sz w:val="20"/>
            <w:color w:val="0000ff"/>
          </w:rPr>
          <w:t xml:space="preserve">ГОСТ Р 53254-2009</w:t>
        </w:r>
      </w:hyperlink>
      <w:r>
        <w:rPr>
          <w:sz w:val="20"/>
        </w:rPr>
        <w:t xml:space="preserve"> Техника пожарная. Лестницы пожарные наружные стационарные. Ограждения кровли. Общие технические требования. Методы испытаний</w:t>
      </w:r>
    </w:p>
    <w:p>
      <w:pPr>
        <w:pStyle w:val="0"/>
        <w:jc w:val="both"/>
      </w:pPr>
      <w:r>
        <w:rPr>
          <w:sz w:val="20"/>
        </w:rPr>
        <w:t xml:space="preserve">(абзац введен </w:t>
      </w:r>
      <w:hyperlink w:history="0" r:id="rId61"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Приказом</w:t>
        </w:r>
      </w:hyperlink>
      <w:r>
        <w:rPr>
          <w:sz w:val="20"/>
        </w:rPr>
        <w:t xml:space="preserve"> МЧС России от 14.02.2020 N 89)</w:t>
      </w:r>
    </w:p>
    <w:p>
      <w:pPr>
        <w:pStyle w:val="0"/>
        <w:spacing w:before="200" w:line-rule="auto"/>
        <w:ind w:firstLine="540"/>
        <w:jc w:val="both"/>
      </w:pPr>
      <w:hyperlink w:history="0" r:id="rId62" w:tooltip="&quot;ГОСТ 2226-2013. Межгосударственный стандарт. Мешки из бумаги и комбинированных материалов. Общие технические условия&quot; (введен в действие Приказом Росстандарта от 22.11.2013 N 1805-ст) {КонсультантПлюс}">
        <w:r>
          <w:rPr>
            <w:sz w:val="20"/>
            <w:color w:val="0000ff"/>
          </w:rPr>
          <w:t xml:space="preserve">ГОСТ 2226-2013</w:t>
        </w:r>
      </w:hyperlink>
      <w:r>
        <w:rPr>
          <w:sz w:val="20"/>
        </w:rPr>
        <w:t xml:space="preserve"> Мешки из бумаги и комбинированных материалов. Общие технические условия</w:t>
      </w:r>
    </w:p>
    <w:p>
      <w:pPr>
        <w:pStyle w:val="0"/>
        <w:jc w:val="both"/>
      </w:pPr>
      <w:r>
        <w:rPr>
          <w:sz w:val="20"/>
        </w:rPr>
        <w:t xml:space="preserve">(абзац введен </w:t>
      </w:r>
      <w:hyperlink w:history="0" r:id="rId63"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Приказом</w:t>
        </w:r>
      </w:hyperlink>
      <w:r>
        <w:rPr>
          <w:sz w:val="20"/>
        </w:rPr>
        <w:t xml:space="preserve"> МЧС России от 14.02.2020 N 89)</w:t>
      </w:r>
    </w:p>
    <w:p>
      <w:pPr>
        <w:pStyle w:val="0"/>
        <w:spacing w:before="200" w:line-rule="auto"/>
        <w:ind w:firstLine="540"/>
        <w:jc w:val="both"/>
      </w:pPr>
      <w:hyperlink w:history="0" r:id="rId64" w:tooltip="&quot;ГОСТ Р 53296-2009. Установка лифтов для пожарных в зданиях и сооружениях. Требования пожарной безопасности&quot; (утв. Приказом Ростехрегулирования от 18.02.2009 N 72-ст) {КонсультантПлюс}">
        <w:r>
          <w:rPr>
            <w:sz w:val="20"/>
            <w:color w:val="0000ff"/>
          </w:rPr>
          <w:t xml:space="preserve">ГОСТ Р 53296-2009</w:t>
        </w:r>
      </w:hyperlink>
      <w:r>
        <w:rPr>
          <w:sz w:val="20"/>
        </w:rPr>
        <w:t xml:space="preserve"> Установка лифтов для пожарных в зданиях и сооружениях. Требования пожарной безопасности</w:t>
      </w:r>
    </w:p>
    <w:p>
      <w:pPr>
        <w:pStyle w:val="0"/>
        <w:jc w:val="both"/>
      </w:pPr>
      <w:r>
        <w:rPr>
          <w:sz w:val="20"/>
        </w:rPr>
        <w:t xml:space="preserve">(абзац введен </w:t>
      </w:r>
      <w:hyperlink w:history="0" r:id="rId65"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Приказом</w:t>
        </w:r>
      </w:hyperlink>
      <w:r>
        <w:rPr>
          <w:sz w:val="20"/>
        </w:rPr>
        <w:t xml:space="preserve"> МЧС России от 14.02.2020 N 89)</w:t>
      </w:r>
    </w:p>
    <w:p>
      <w:pPr>
        <w:pStyle w:val="0"/>
        <w:spacing w:before="200" w:line-rule="auto"/>
        <w:ind w:firstLine="540"/>
        <w:jc w:val="both"/>
      </w:pPr>
      <w:hyperlink w:history="0" r:id="rId66" w:tooltip="&quot;ГОСТ 34305-2017 (EN 81-72:2015). Межгосударственный стандарт. Лифты пассажирские. Лифты для пожарных&quot; (введен в действие Приказом Росстандарта от 25.09.2018 N 649-ст) {КонсультантПлюс}">
        <w:r>
          <w:rPr>
            <w:sz w:val="20"/>
            <w:color w:val="0000ff"/>
          </w:rPr>
          <w:t xml:space="preserve">ГОСТ 34305-2017</w:t>
        </w:r>
      </w:hyperlink>
      <w:r>
        <w:rPr>
          <w:sz w:val="20"/>
        </w:rPr>
        <w:t xml:space="preserve"> (EN 81-72:2015) Лифты пассажирские. Лифты для пожарных</w:t>
      </w:r>
    </w:p>
    <w:p>
      <w:pPr>
        <w:pStyle w:val="0"/>
        <w:jc w:val="both"/>
      </w:pPr>
      <w:r>
        <w:rPr>
          <w:sz w:val="20"/>
        </w:rPr>
        <w:t xml:space="preserve">(абзац введен </w:t>
      </w:r>
      <w:hyperlink w:history="0" r:id="rId67"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Приказом</w:t>
        </w:r>
      </w:hyperlink>
      <w:r>
        <w:rPr>
          <w:sz w:val="20"/>
        </w:rPr>
        <w:t xml:space="preserve"> МЧС России от 14.02.2020 N 89)</w:t>
      </w:r>
    </w:p>
    <w:p>
      <w:pPr>
        <w:pStyle w:val="0"/>
        <w:spacing w:before="200" w:line-rule="auto"/>
        <w:ind w:firstLine="540"/>
        <w:jc w:val="both"/>
      </w:pPr>
      <w:hyperlink w:history="0" r:id="rId68" w:tooltip="&quot;ГОСТ Р 12.3.047-2012. Национальный стандарт Российской Федерации. Система стандартов безопасности труда. Пожарная безопасность технологических процессов. Общие требования. Методы контроля&quot; (утв. и введены в действие Приказом Росстандарта от 27.12.2012 N 1971-ст) {КонсультантПлюс}">
        <w:r>
          <w:rPr>
            <w:sz w:val="20"/>
            <w:color w:val="0000ff"/>
          </w:rPr>
          <w:t xml:space="preserve">ГОСТ Р 12.3.047-2012</w:t>
        </w:r>
      </w:hyperlink>
      <w:r>
        <w:rPr>
          <w:sz w:val="20"/>
        </w:rPr>
        <w:t xml:space="preserve"> "Система стандартов безопасности труда. Пожарная безопасность технологических процессов. Общие требования. Методы контроля"</w:t>
      </w:r>
    </w:p>
    <w:p>
      <w:pPr>
        <w:pStyle w:val="0"/>
        <w:jc w:val="both"/>
      </w:pPr>
      <w:r>
        <w:rPr>
          <w:sz w:val="20"/>
        </w:rPr>
        <w:t xml:space="preserve">(абзац введен </w:t>
      </w:r>
      <w:hyperlink w:history="0" r:id="rId69"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Приказом</w:t>
        </w:r>
      </w:hyperlink>
      <w:r>
        <w:rPr>
          <w:sz w:val="20"/>
        </w:rPr>
        <w:t xml:space="preserve"> МЧС России от 15.06.2022 N 610)</w:t>
      </w:r>
    </w:p>
    <w:p>
      <w:pPr>
        <w:pStyle w:val="0"/>
        <w:spacing w:before="200" w:line-rule="auto"/>
        <w:ind w:firstLine="540"/>
        <w:jc w:val="both"/>
      </w:pPr>
      <w:hyperlink w:history="0" r:id="rId70" w:tooltip="&quot;ГОСТ Р 59440-2021. Национальный стандарт Российской Федерации. Техника пожарная. Экраны теплозащитные стационарные. Общие технические требования. Методы испытаний&quot; (утв. и введен в действие Приказом Росстандарта от 21.04.2021 N 254-ст) {КонсультантПлюс}">
        <w:r>
          <w:rPr>
            <w:sz w:val="20"/>
            <w:color w:val="0000ff"/>
          </w:rPr>
          <w:t xml:space="preserve">ГОСТ Р 59440-2021</w:t>
        </w:r>
      </w:hyperlink>
      <w:r>
        <w:rPr>
          <w:sz w:val="20"/>
        </w:rPr>
        <w:t xml:space="preserve"> "Техника пожарная. Экраны теплозащитные стационарные. Общие технические требования. Методы испытаний"</w:t>
      </w:r>
    </w:p>
    <w:p>
      <w:pPr>
        <w:pStyle w:val="0"/>
        <w:jc w:val="both"/>
      </w:pPr>
      <w:r>
        <w:rPr>
          <w:sz w:val="20"/>
        </w:rPr>
        <w:t xml:space="preserve">(абзац введен </w:t>
      </w:r>
      <w:hyperlink w:history="0" r:id="rId71"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Приказом</w:t>
        </w:r>
      </w:hyperlink>
      <w:r>
        <w:rPr>
          <w:sz w:val="20"/>
        </w:rPr>
        <w:t xml:space="preserve"> МЧС России от 15.06.2022 N 610)</w:t>
      </w:r>
    </w:p>
    <w:p>
      <w:pPr>
        <w:pStyle w:val="0"/>
        <w:spacing w:before="200" w:line-rule="auto"/>
        <w:ind w:firstLine="540"/>
        <w:jc w:val="both"/>
      </w:pPr>
      <w:hyperlink w:history="0" r:id="rId72" w:tooltip="&quot;ГОСТ Р 54344-2011. Национальный стандарт Российской Федерации. Техника пожарная. Мобильные робототехнические комплексы для проведения аварийно-спасательных работ и пожаротушения. Классификация. Общие технические требования. Методы испытаний&quot; (утв. и введен в действие Приказом Росстандарта от 28.06.2011 N 158-ст) (ред. от 11.06.2014) {КонсультантПлюс}">
        <w:r>
          <w:rPr>
            <w:sz w:val="20"/>
            <w:color w:val="0000ff"/>
          </w:rPr>
          <w:t xml:space="preserve">ГОСТ Р 54344-2011</w:t>
        </w:r>
      </w:hyperlink>
      <w:r>
        <w:rPr>
          <w:sz w:val="20"/>
        </w:rPr>
        <w:t xml:space="preserve"> "Техника пожарная. Мобильные робототехнические комплексы для проведения аварийно-спасательных работ и пожаротушения. Классификация. Общие технические требования. Методы испытаний"</w:t>
      </w:r>
    </w:p>
    <w:p>
      <w:pPr>
        <w:pStyle w:val="0"/>
        <w:jc w:val="both"/>
      </w:pPr>
      <w:r>
        <w:rPr>
          <w:sz w:val="20"/>
        </w:rPr>
        <w:t xml:space="preserve">(абзац введен </w:t>
      </w:r>
      <w:hyperlink w:history="0" r:id="rId73"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Приказом</w:t>
        </w:r>
      </w:hyperlink>
      <w:r>
        <w:rPr>
          <w:sz w:val="20"/>
        </w:rPr>
        <w:t xml:space="preserve"> МЧС России от 15.06.2022 N 610)</w:t>
      </w:r>
    </w:p>
    <w:p>
      <w:pPr>
        <w:pStyle w:val="0"/>
        <w:spacing w:before="200" w:line-rule="auto"/>
        <w:ind w:firstLine="540"/>
        <w:jc w:val="both"/>
      </w:pPr>
      <w:hyperlink w:history="0" r:id="rId74" w:tooltip="&quot;СП 18.13330.2019. Свод правил. Производственные объекты. Планировочная организация земельного участка (СНиП II-89-80* &quot;Генеральные планы промышленных предприятий&quot;)&quot; (утв. Приказом Минстроя России от 17.09.2019 N 544/пр) (ред. от 16.12.2021) {КонсультантПлюс}">
        <w:r>
          <w:rPr>
            <w:sz w:val="20"/>
            <w:color w:val="0000ff"/>
          </w:rPr>
          <w:t xml:space="preserve">СП 18.13330.2019</w:t>
        </w:r>
      </w:hyperlink>
      <w:r>
        <w:rPr>
          <w:sz w:val="20"/>
        </w:rPr>
        <w:t xml:space="preserve"> "Производственные объекты. Планировочная организация земельного участка. (СНиП II-89-80* "Генеральные планы промышленных предприятий")"</w:t>
      </w:r>
    </w:p>
    <w:p>
      <w:pPr>
        <w:pStyle w:val="0"/>
        <w:jc w:val="both"/>
      </w:pPr>
      <w:r>
        <w:rPr>
          <w:sz w:val="20"/>
        </w:rPr>
        <w:t xml:space="preserve">(абзац введен </w:t>
      </w:r>
      <w:hyperlink w:history="0" r:id="rId75"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Приказом</w:t>
        </w:r>
      </w:hyperlink>
      <w:r>
        <w:rPr>
          <w:sz w:val="20"/>
        </w:rPr>
        <w:t xml:space="preserve"> МЧС России от 15.06.2022 N 610)</w:t>
      </w:r>
    </w:p>
    <w:p>
      <w:pPr>
        <w:pStyle w:val="0"/>
        <w:spacing w:before="200" w:line-rule="auto"/>
        <w:ind w:firstLine="540"/>
        <w:jc w:val="both"/>
      </w:pPr>
      <w:hyperlink w:history="0" r:id="rId76" w:tooltip="&quot;СП 56.13330.2021. Свод правил. Производственные здания. СНиП 31-03-2001&quot; (утв. Приказом Минстроя России от 27.12.2021 N 1024/пр) {КонсультантПлюс}">
        <w:r>
          <w:rPr>
            <w:sz w:val="20"/>
            <w:color w:val="0000ff"/>
          </w:rPr>
          <w:t xml:space="preserve">СП 56.13330.2021</w:t>
        </w:r>
      </w:hyperlink>
      <w:r>
        <w:rPr>
          <w:sz w:val="20"/>
        </w:rPr>
        <w:t xml:space="preserve"> "СНиП 31-03-2001 Производственные здания. Актуализированная редакция СНиП 31-03-2001"</w:t>
      </w:r>
    </w:p>
    <w:p>
      <w:pPr>
        <w:pStyle w:val="0"/>
        <w:jc w:val="both"/>
      </w:pPr>
      <w:r>
        <w:rPr>
          <w:sz w:val="20"/>
        </w:rPr>
        <w:t xml:space="preserve">(абзац введен </w:t>
      </w:r>
      <w:hyperlink w:history="0" r:id="rId77"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Приказом</w:t>
        </w:r>
      </w:hyperlink>
      <w:r>
        <w:rPr>
          <w:sz w:val="20"/>
        </w:rPr>
        <w:t xml:space="preserve"> МЧС России от 15.06.2022 N 610)</w:t>
      </w:r>
    </w:p>
    <w:p>
      <w:pPr>
        <w:pStyle w:val="0"/>
        <w:spacing w:before="200" w:line-rule="auto"/>
        <w:ind w:firstLine="540"/>
        <w:jc w:val="both"/>
      </w:pPr>
      <w:hyperlink w:history="0" r:id="rId78" w:tooltip="&quot;СП 89.13330.2016. Свод правил. Котельные установки. Актуализированная редакция СНиП II-35-76&quot; (утв. Приказом Минстроя России от 16.12.2016 N 944/пр) (ред. от 15.12.2021) {КонсультантПлюс}">
        <w:r>
          <w:rPr>
            <w:sz w:val="20"/>
            <w:color w:val="0000ff"/>
          </w:rPr>
          <w:t xml:space="preserve">СП 89.13330.2016</w:t>
        </w:r>
      </w:hyperlink>
      <w:r>
        <w:rPr>
          <w:sz w:val="20"/>
        </w:rPr>
        <w:t xml:space="preserve"> "Котельные установки. Актуализированная редакция СНиП II-35-76"</w:t>
      </w:r>
    </w:p>
    <w:p>
      <w:pPr>
        <w:pStyle w:val="0"/>
        <w:jc w:val="both"/>
      </w:pPr>
      <w:r>
        <w:rPr>
          <w:sz w:val="20"/>
        </w:rPr>
        <w:t xml:space="preserve">(абзац введен </w:t>
      </w:r>
      <w:hyperlink w:history="0" r:id="rId79"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Приказом</w:t>
        </w:r>
      </w:hyperlink>
      <w:r>
        <w:rPr>
          <w:sz w:val="20"/>
        </w:rPr>
        <w:t xml:space="preserve"> МЧС России от 15.06.2022 N 610)</w:t>
      </w:r>
    </w:p>
    <w:p>
      <w:pPr>
        <w:pStyle w:val="0"/>
        <w:spacing w:before="200" w:line-rule="auto"/>
        <w:ind w:firstLine="540"/>
        <w:jc w:val="both"/>
      </w:pPr>
      <w:hyperlink w:history="0" r:id="rId80" w:tooltip="Приказ МЧС России от 31.07.2020 N 582 &quot;Об утверждении свода правил &quot;Системы противопожарной защиты. Системы пожарной сигнализации и автоматизация систем противопожарной защиты. Нормы и правила проектирования&quot; (вместе с &quot;СП 484.1311500.2020. Свод правил. Системы противопожарной защиты. Системы пожарной сигнализации и автоматизация систем противопожарной защиты. Нормы и правила проектирования&quot;) {КонсультантПлюс}">
        <w:r>
          <w:rPr>
            <w:sz w:val="20"/>
            <w:color w:val="0000ff"/>
          </w:rPr>
          <w:t xml:space="preserve">СП 484.1311500.2020</w:t>
        </w:r>
      </w:hyperlink>
      <w:r>
        <w:rPr>
          <w:sz w:val="20"/>
        </w:rP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pPr>
        <w:pStyle w:val="0"/>
        <w:jc w:val="both"/>
      </w:pPr>
      <w:r>
        <w:rPr>
          <w:sz w:val="20"/>
        </w:rPr>
        <w:t xml:space="preserve">(абзац введен </w:t>
      </w:r>
      <w:hyperlink w:history="0" r:id="rId81"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Приказом</w:t>
        </w:r>
      </w:hyperlink>
      <w:r>
        <w:rPr>
          <w:sz w:val="20"/>
        </w:rPr>
        <w:t xml:space="preserve"> МЧС России от 15.06.2022 N 610)</w:t>
      </w:r>
    </w:p>
    <w:p>
      <w:pPr>
        <w:pStyle w:val="0"/>
        <w:spacing w:before="200" w:line-rule="auto"/>
        <w:ind w:firstLine="540"/>
        <w:jc w:val="both"/>
      </w:pPr>
      <w:hyperlink w:history="0" r:id="rId82" w:tooltip="Приказ МЧС России от 31.08.2020 N 628 &quot;Об утверждении свода правил &quot;Системы противопожарной защиты. Установки пожаротушения автоматические. Нормы и правила проектирования&quot; (вместе с &quot;СП 485.1311500.2020. Свод правил. Системы противопожарной защиты. Установки пожаротушения автоматические. Нормы и правила проектирования&quot;) {КонсультантПлюс}">
        <w:r>
          <w:rPr>
            <w:sz w:val="20"/>
            <w:color w:val="0000ff"/>
          </w:rPr>
          <w:t xml:space="preserve">СП 485.1311500.2020</w:t>
        </w:r>
      </w:hyperlink>
      <w:r>
        <w:rPr>
          <w:sz w:val="20"/>
        </w:rPr>
        <w:t xml:space="preserve"> "Системы противопожарной защиты. Установки пожаротушения автоматические. Нормы и правила проектирования"</w:t>
      </w:r>
    </w:p>
    <w:p>
      <w:pPr>
        <w:pStyle w:val="0"/>
        <w:jc w:val="both"/>
      </w:pPr>
      <w:r>
        <w:rPr>
          <w:sz w:val="20"/>
        </w:rPr>
        <w:t xml:space="preserve">(абзац введен </w:t>
      </w:r>
      <w:hyperlink w:history="0" r:id="rId83"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Приказом</w:t>
        </w:r>
      </w:hyperlink>
      <w:r>
        <w:rPr>
          <w:sz w:val="20"/>
        </w:rPr>
        <w:t xml:space="preserve"> МЧС России от 15.06.2022 N 610)</w:t>
      </w:r>
    </w:p>
    <w:p>
      <w:pPr>
        <w:pStyle w:val="0"/>
        <w:spacing w:before="200" w:line-rule="auto"/>
        <w:ind w:firstLine="540"/>
        <w:jc w:val="both"/>
      </w:pPr>
      <w:hyperlink w:history="0" r:id="rId84" w:tooltip="Приказ МЧС России от 20.07.2020 N 539 &quot;Об утверждении свода правил &quot;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quot; (вместе с &quot;СП 486.1311500.2020. Свод правил...&quot;) {КонсультантПлюс}">
        <w:r>
          <w:rPr>
            <w:sz w:val="20"/>
            <w:color w:val="0000ff"/>
          </w:rPr>
          <w:t xml:space="preserve">СП 486.1311500.2020</w:t>
        </w:r>
      </w:hyperlink>
      <w:r>
        <w:rPr>
          <w:sz w:val="20"/>
        </w:rPr>
        <w:t xml:space="preserve">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pPr>
        <w:pStyle w:val="0"/>
        <w:jc w:val="both"/>
      </w:pPr>
      <w:r>
        <w:rPr>
          <w:sz w:val="20"/>
        </w:rPr>
        <w:t xml:space="preserve">(абзац введен </w:t>
      </w:r>
      <w:hyperlink w:history="0" r:id="rId85"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Приказом</w:t>
        </w:r>
      </w:hyperlink>
      <w:r>
        <w:rPr>
          <w:sz w:val="20"/>
        </w:rPr>
        <w:t xml:space="preserve"> МЧС России от 15.06.2022 N 610)</w:t>
      </w:r>
    </w:p>
    <w:p>
      <w:pPr>
        <w:pStyle w:val="0"/>
        <w:spacing w:before="200" w:line-rule="auto"/>
        <w:ind w:firstLine="540"/>
        <w:jc w:val="both"/>
      </w:pPr>
      <w:r>
        <w:rPr>
          <w:sz w:val="20"/>
        </w:rPr>
        <w:t xml:space="preserve">Примечание. При пользовании настоящим сводом правил целесообразно проверить действие ссылочных стандартов, сводов правил и классификаторов в информационной системе общего пользования -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стандартом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pPr>
        <w:pStyle w:val="0"/>
        <w:ind w:firstLine="540"/>
        <w:jc w:val="both"/>
      </w:pPr>
      <w:r>
        <w:rPr>
          <w:sz w:val="20"/>
        </w:rPr>
      </w:r>
    </w:p>
    <w:p>
      <w:pPr>
        <w:pStyle w:val="2"/>
        <w:outlineLvl w:val="1"/>
        <w:ind w:firstLine="540"/>
        <w:jc w:val="both"/>
      </w:pPr>
      <w:r>
        <w:rPr>
          <w:sz w:val="20"/>
        </w:rPr>
        <w:t xml:space="preserve">3. Термины и определения</w:t>
      </w:r>
    </w:p>
    <w:p>
      <w:pPr>
        <w:pStyle w:val="0"/>
        <w:ind w:firstLine="540"/>
        <w:jc w:val="both"/>
      </w:pPr>
      <w:r>
        <w:rPr>
          <w:sz w:val="20"/>
        </w:rPr>
      </w:r>
    </w:p>
    <w:p>
      <w:pPr>
        <w:pStyle w:val="0"/>
        <w:ind w:firstLine="540"/>
        <w:jc w:val="both"/>
      </w:pPr>
      <w:r>
        <w:rPr>
          <w:sz w:val="20"/>
        </w:rPr>
        <w:t xml:space="preserve">В настоящем своде правил применены термины, регламентируемые нормативными документами, а также следующие термины с соответствующими определениями.</w:t>
      </w:r>
    </w:p>
    <w:p>
      <w:pPr>
        <w:pStyle w:val="0"/>
        <w:jc w:val="both"/>
      </w:pPr>
      <w:r>
        <w:rPr>
          <w:sz w:val="20"/>
        </w:rPr>
        <w:t xml:space="preserve">(в ред. </w:t>
      </w:r>
      <w:hyperlink w:history="0" r:id="rId86"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3.1 - 3.5. исключены с 1 декабря 2022 года. - </w:t>
      </w:r>
      <w:hyperlink w:history="0" r:id="rId87"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w:t>
        </w:r>
      </w:hyperlink>
      <w:r>
        <w:rPr>
          <w:sz w:val="20"/>
        </w:rPr>
        <w:t xml:space="preserve"> МЧС России от 15.06.2022 N 610.</w:t>
      </w:r>
    </w:p>
    <w:p>
      <w:pPr>
        <w:pStyle w:val="0"/>
        <w:spacing w:before="200" w:line-rule="auto"/>
        <w:ind w:firstLine="540"/>
        <w:jc w:val="both"/>
      </w:pPr>
      <w:r>
        <w:rPr>
          <w:sz w:val="20"/>
        </w:rPr>
        <w:t xml:space="preserve">3.6 - 3.9. утратили силу. - </w:t>
      </w:r>
      <w:hyperlink w:history="0" r:id="rId88"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w:t>
        </w:r>
      </w:hyperlink>
      <w:r>
        <w:rPr>
          <w:sz w:val="20"/>
        </w:rPr>
        <w:t xml:space="preserve"> МЧС России от 14.02.2020 N 89.</w:t>
      </w:r>
    </w:p>
    <w:p>
      <w:pPr>
        <w:pStyle w:val="0"/>
        <w:spacing w:before="200" w:line-rule="auto"/>
        <w:ind w:firstLine="540"/>
        <w:jc w:val="both"/>
      </w:pPr>
      <w:r>
        <w:rPr>
          <w:sz w:val="20"/>
        </w:rPr>
        <w:t xml:space="preserve">3.10. взрывобезопасность объекта: Состояние объекта, при котором выполнено одно из двух условий:</w:t>
      </w:r>
    </w:p>
    <w:p>
      <w:pPr>
        <w:pStyle w:val="0"/>
        <w:spacing w:before="200" w:line-rule="auto"/>
        <w:ind w:firstLine="540"/>
        <w:jc w:val="both"/>
      </w:pPr>
      <w:r>
        <w:rPr>
          <w:sz w:val="20"/>
        </w:rPr>
        <w:t xml:space="preserve">а) частота возникновения взрыва не превышает допустимого нормами значения;</w:t>
      </w:r>
    </w:p>
    <w:p>
      <w:pPr>
        <w:pStyle w:val="0"/>
        <w:spacing w:before="200" w:line-rule="auto"/>
        <w:ind w:firstLine="540"/>
        <w:jc w:val="both"/>
      </w:pPr>
      <w:r>
        <w:rPr>
          <w:sz w:val="20"/>
        </w:rPr>
        <w:t xml:space="preserve">б) нагрузки в случае взрыва не превышают допустимых нормами значений.</w:t>
      </w:r>
    </w:p>
    <w:p>
      <w:pPr>
        <w:pStyle w:val="0"/>
        <w:spacing w:before="200" w:line-rule="auto"/>
        <w:ind w:firstLine="540"/>
        <w:jc w:val="both"/>
      </w:pPr>
      <w:r>
        <w:rPr>
          <w:sz w:val="20"/>
        </w:rPr>
        <w:t xml:space="preserve">3.11. взрывоустойчивость объекта: Состояние объекта, при котором отсутствует возможность повреждения несущих строительных конструкций и оборудования, травмирования людей опасными факторами взрыва, что может достигаться сбросом давления (энергии взрыва) в атмосферу до безопасного уровня в результате вскрытия проемов в ограждающих конструкциях здания, перекрываемых предохранительными противовзрывными устройствами (остекление, специальные окна или легкосбрасываемые конструкции).</w:t>
      </w:r>
    </w:p>
    <w:p>
      <w:pPr>
        <w:pStyle w:val="0"/>
        <w:spacing w:before="200" w:line-rule="auto"/>
        <w:ind w:firstLine="540"/>
        <w:jc w:val="both"/>
      </w:pPr>
      <w:r>
        <w:rPr>
          <w:sz w:val="20"/>
        </w:rPr>
        <w:t xml:space="preserve">3.12. вставка, встройка: Часть здания, предназначенная для размещения административных и бытовых помещений, располагаемая в пределах производственного здания по всей его высоте и ширине (вставка), части его высоты или ширины (встройка) и выделенная противопожарными преградами.</w:t>
      </w:r>
    </w:p>
    <w:p>
      <w:pPr>
        <w:pStyle w:val="0"/>
        <w:spacing w:before="200" w:line-rule="auto"/>
        <w:ind w:firstLine="540"/>
        <w:jc w:val="both"/>
      </w:pPr>
      <w:r>
        <w:rPr>
          <w:sz w:val="20"/>
        </w:rPr>
        <w:t xml:space="preserve">3.12.1 высотное наружное сооружение (технологический аппарат): Наружное сооружение (технологический аппарат) высотой не менее 30 м.</w:t>
      </w:r>
    </w:p>
    <w:p>
      <w:pPr>
        <w:pStyle w:val="0"/>
        <w:jc w:val="both"/>
      </w:pPr>
      <w:r>
        <w:rPr>
          <w:sz w:val="20"/>
        </w:rPr>
        <w:t xml:space="preserve">(п. 3.12.1 введен </w:t>
      </w:r>
      <w:hyperlink w:history="0" r:id="rId89"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Приказом</w:t>
        </w:r>
      </w:hyperlink>
      <w:r>
        <w:rPr>
          <w:sz w:val="20"/>
        </w:rPr>
        <w:t xml:space="preserve"> МЧС России от 14.02.2020 N 89)</w:t>
      </w:r>
    </w:p>
    <w:p>
      <w:pPr>
        <w:pStyle w:val="0"/>
        <w:spacing w:before="200" w:line-rule="auto"/>
        <w:ind w:firstLine="540"/>
        <w:jc w:val="both"/>
      </w:pPr>
      <w:r>
        <w:rPr>
          <w:sz w:val="20"/>
        </w:rPr>
        <w:t xml:space="preserve">3.13. высотное стеллажное хранение: Хранение на стеллажах с высотой складирования свыше 5,5 м.</w:t>
      </w:r>
    </w:p>
    <w:p>
      <w:pPr>
        <w:pStyle w:val="0"/>
        <w:spacing w:before="200" w:line-rule="auto"/>
        <w:ind w:firstLine="540"/>
        <w:jc w:val="both"/>
      </w:pPr>
      <w:r>
        <w:rPr>
          <w:sz w:val="20"/>
        </w:rPr>
        <w:t xml:space="preserve">3.14. газгольдер: Резервуар для хранения газообразных веществ.</w:t>
      </w:r>
    </w:p>
    <w:p>
      <w:pPr>
        <w:pStyle w:val="0"/>
        <w:jc w:val="both"/>
      </w:pPr>
      <w:r>
        <w:rPr>
          <w:sz w:val="20"/>
        </w:rPr>
        <w:t xml:space="preserve">(п. 3.14 в ред. </w:t>
      </w:r>
      <w:hyperlink w:history="0" r:id="rId90"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3.15 - 3.18. утратили силу. - </w:t>
      </w:r>
      <w:hyperlink w:history="0" r:id="rId91"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w:t>
        </w:r>
      </w:hyperlink>
      <w:r>
        <w:rPr>
          <w:sz w:val="20"/>
        </w:rPr>
        <w:t xml:space="preserve"> МЧС России от 14.02.2020 N 89.</w:t>
      </w:r>
    </w:p>
    <w:p>
      <w:pPr>
        <w:pStyle w:val="0"/>
        <w:spacing w:before="200" w:line-rule="auto"/>
        <w:ind w:firstLine="540"/>
        <w:jc w:val="both"/>
      </w:pPr>
      <w:r>
        <w:rPr>
          <w:sz w:val="20"/>
        </w:rPr>
        <w:t xml:space="preserve">3.19. инженерное оборудование здания: Система приборов, аппаратов, машин и коммуникаций, обеспечивающая подачу и отвод жидкостей, газов, электроэнергии (водопроводное, газопроводное, отопительное, электрическое, канализационное, вентиляционное оборудование и т.п.).</w:t>
      </w:r>
    </w:p>
    <w:p>
      <w:pPr>
        <w:pStyle w:val="0"/>
        <w:spacing w:before="200" w:line-rule="auto"/>
        <w:ind w:firstLine="540"/>
        <w:jc w:val="both"/>
      </w:pPr>
      <w:r>
        <w:rPr>
          <w:sz w:val="20"/>
        </w:rPr>
        <w:t xml:space="preserve">3.19.1 кладовая: Складское помещение в жилом или общественном здании без постоянного пребывания людей.</w:t>
      </w:r>
    </w:p>
    <w:p>
      <w:pPr>
        <w:pStyle w:val="0"/>
        <w:jc w:val="both"/>
      </w:pPr>
      <w:r>
        <w:rPr>
          <w:sz w:val="20"/>
        </w:rPr>
        <w:t xml:space="preserve">(п. 3.19.1 введен </w:t>
      </w:r>
      <w:hyperlink w:history="0" r:id="rId92"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Приказом</w:t>
        </w:r>
      </w:hyperlink>
      <w:r>
        <w:rPr>
          <w:sz w:val="20"/>
        </w:rPr>
        <w:t xml:space="preserve"> МЧС России от 14.02.2020 N 89)</w:t>
      </w:r>
    </w:p>
    <w:p>
      <w:pPr>
        <w:pStyle w:val="0"/>
        <w:spacing w:before="200" w:line-rule="auto"/>
        <w:ind w:firstLine="540"/>
        <w:jc w:val="both"/>
      </w:pPr>
      <w:r>
        <w:rPr>
          <w:sz w:val="20"/>
        </w:rPr>
        <w:t xml:space="preserve">3.20. котельная: комплекс зданий и сооружений, здание или помещение с установленными в них теплогенераторами (котлами) и вспомогательным технологическим оборудованием, предназначенными для выработки тепловой энергии в целях теплоснабжения.</w:t>
      </w:r>
    </w:p>
    <w:p>
      <w:pPr>
        <w:pStyle w:val="0"/>
        <w:spacing w:before="200" w:line-rule="auto"/>
        <w:ind w:firstLine="540"/>
        <w:jc w:val="both"/>
      </w:pPr>
      <w:r>
        <w:rPr>
          <w:sz w:val="20"/>
        </w:rPr>
        <w:t xml:space="preserve">3.20.1 легкосбрасываемая конструкция: Специальная конструкция, устанавливаемая в наружном ограждении здания, вскрывающая на ранней стадии развития взрыва газо-, паро-, и пылевоздушных смесей сбросные проемы в ограждающих конструкциях здания и обеспечивающая безопасный уровень давления внутри здания (помещения).</w:t>
      </w:r>
    </w:p>
    <w:p>
      <w:pPr>
        <w:pStyle w:val="0"/>
        <w:jc w:val="both"/>
      </w:pPr>
      <w:r>
        <w:rPr>
          <w:sz w:val="20"/>
        </w:rPr>
        <w:t xml:space="preserve">(п. 3.20.1 введен </w:t>
      </w:r>
      <w:hyperlink w:history="0" r:id="rId93"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Приказом</w:t>
        </w:r>
      </w:hyperlink>
      <w:r>
        <w:rPr>
          <w:sz w:val="20"/>
        </w:rPr>
        <w:t xml:space="preserve"> МЧС России от 14.02.2020 N 89)</w:t>
      </w:r>
    </w:p>
    <w:p>
      <w:pPr>
        <w:pStyle w:val="0"/>
        <w:spacing w:before="200" w:line-rule="auto"/>
        <w:ind w:firstLine="540"/>
        <w:jc w:val="both"/>
      </w:pPr>
      <w:r>
        <w:rPr>
          <w:sz w:val="20"/>
        </w:rPr>
        <w:t xml:space="preserve">3.21. лифтовый холл: Помещение перед входами в лифты.</w:t>
      </w:r>
    </w:p>
    <w:p>
      <w:pPr>
        <w:pStyle w:val="0"/>
        <w:spacing w:before="200" w:line-rule="auto"/>
        <w:ind w:firstLine="540"/>
        <w:jc w:val="both"/>
      </w:pPr>
      <w:r>
        <w:rPr>
          <w:sz w:val="20"/>
        </w:rPr>
        <w:t xml:space="preserve">3.22. утратил силу. - </w:t>
      </w:r>
      <w:hyperlink w:history="0" r:id="rId94"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w:t>
        </w:r>
      </w:hyperlink>
      <w:r>
        <w:rPr>
          <w:sz w:val="20"/>
        </w:rPr>
        <w:t xml:space="preserve"> МЧС России от 14.02.2020 N 89.</w:t>
      </w:r>
    </w:p>
    <w:p>
      <w:pPr>
        <w:pStyle w:val="0"/>
        <w:spacing w:before="200" w:line-rule="auto"/>
        <w:ind w:firstLine="540"/>
        <w:jc w:val="both"/>
      </w:pPr>
      <w:r>
        <w:rPr>
          <w:sz w:val="20"/>
        </w:rPr>
        <w:t xml:space="preserve">3.23. исключен с 1 декабря 2022 года. - </w:t>
      </w:r>
      <w:hyperlink w:history="0" r:id="rId95"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w:t>
        </w:r>
      </w:hyperlink>
      <w:r>
        <w:rPr>
          <w:sz w:val="20"/>
        </w:rPr>
        <w:t xml:space="preserve"> МЧС России от 15.06.2022 N 610.</w:t>
      </w:r>
    </w:p>
    <w:p>
      <w:pPr>
        <w:pStyle w:val="0"/>
        <w:spacing w:before="200" w:line-rule="auto"/>
        <w:ind w:firstLine="540"/>
        <w:jc w:val="both"/>
      </w:pPr>
      <w:r>
        <w:rPr>
          <w:sz w:val="20"/>
        </w:rPr>
        <w:t xml:space="preserve">3.24 - 2.25. утратили силу. - </w:t>
      </w:r>
      <w:hyperlink w:history="0" r:id="rId96"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w:t>
        </w:r>
      </w:hyperlink>
      <w:r>
        <w:rPr>
          <w:sz w:val="20"/>
        </w:rPr>
        <w:t xml:space="preserve"> МЧС России от 14.02.2020 N 89.</w:t>
      </w:r>
    </w:p>
    <w:p>
      <w:pPr>
        <w:pStyle w:val="0"/>
        <w:spacing w:before="200" w:line-rule="auto"/>
        <w:ind w:firstLine="540"/>
        <w:jc w:val="both"/>
      </w:pPr>
      <w:r>
        <w:rPr>
          <w:sz w:val="20"/>
        </w:rPr>
        <w:t xml:space="preserve">3.26. организованная жилая малоэтажная застройка: Смежные земельные участки, застройка которых осуществляется одним застройщиком в едином архитектурно-композиционном стиле, в соответствии с документацией по планировке территории, разработанной и утвержденной в порядке, установленном Градостроительным </w:t>
      </w:r>
      <w:hyperlink w:history="0" r:id="rId97" w:tooltip="&quot;Градостроительный кодекс Российской Федерации&quot; от 29.12.2004 N 190-ФЗ (ред. от 14.07.2022) (с изм. и доп., вступ. в силу с 01.12.2022)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3.27. платформа: Сооружение аналогичного с рампой назначения. В отличие от рампы проектируется двусторонней: одной стороной располагается вдоль железнодорожного пути, а противоположной - вдоль автоподъезда.</w:t>
      </w:r>
    </w:p>
    <w:p>
      <w:pPr>
        <w:pStyle w:val="0"/>
        <w:spacing w:before="200" w:line-rule="auto"/>
        <w:ind w:firstLine="540"/>
        <w:jc w:val="both"/>
      </w:pPr>
      <w:r>
        <w:rPr>
          <w:sz w:val="20"/>
        </w:rPr>
        <w:t xml:space="preserve">3.28. планировочная отметка земли: Уровень на границе земли и отмостки здания.</w:t>
      </w:r>
    </w:p>
    <w:p>
      <w:pPr>
        <w:pStyle w:val="0"/>
        <w:spacing w:before="200" w:line-rule="auto"/>
        <w:ind w:firstLine="540"/>
        <w:jc w:val="both"/>
      </w:pPr>
      <w:r>
        <w:rPr>
          <w:sz w:val="20"/>
        </w:rPr>
        <w:t xml:space="preserve">3.29. площадка технологическая: Одноярусное сооружение (без стен), размещенное в здании или вне его, опирающееся на самостоятельные опоры, конструкции здания или оборудования и предназначенное для установки, обслуживания или ремонта оборудования.</w:t>
      </w:r>
    </w:p>
    <w:p>
      <w:pPr>
        <w:pStyle w:val="0"/>
        <w:spacing w:before="200" w:line-rule="auto"/>
        <w:ind w:firstLine="540"/>
        <w:jc w:val="both"/>
      </w:pPr>
      <w:r>
        <w:rPr>
          <w:sz w:val="20"/>
        </w:rPr>
        <w:t xml:space="preserve">3.29.1 подъезд для пожарных автомобилей: Участок территории или сооружения (моста, эстакады и др.), предназначенный для передвижения и установки пожарных автомобилей с возможностью приведения в рабочее состояние всех механизмов, устройств, выполнения действий по тушению пожара.</w:t>
      </w:r>
    </w:p>
    <w:p>
      <w:pPr>
        <w:pStyle w:val="0"/>
        <w:jc w:val="both"/>
      </w:pPr>
      <w:r>
        <w:rPr>
          <w:sz w:val="20"/>
        </w:rPr>
        <w:t xml:space="preserve">(п. 3.29.1 введен </w:t>
      </w:r>
      <w:hyperlink w:history="0" r:id="rId98"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Приказом</w:t>
        </w:r>
      </w:hyperlink>
      <w:r>
        <w:rPr>
          <w:sz w:val="20"/>
        </w:rPr>
        <w:t xml:space="preserve"> МЧС России от 14.02.2020 N 89)</w:t>
      </w:r>
    </w:p>
    <w:p>
      <w:pPr>
        <w:pStyle w:val="0"/>
        <w:spacing w:before="200" w:line-rule="auto"/>
        <w:ind w:firstLine="540"/>
        <w:jc w:val="both"/>
      </w:pPr>
      <w:r>
        <w:rPr>
          <w:sz w:val="20"/>
        </w:rPr>
        <w:t xml:space="preserve">3.30. предохранительное противовзрывное устройство: Устройство в виде специальных окон, остекления или легкосбрасываемых конструкций, вскрывающих на ранней стадии взрыва газо-, паро-, пылевоздушных смесей сбросные проемы в ограждающих конструкциях здания, и обеспечивающих безопасное давление внутри здания (помещения) и в окружающем пространстве.</w:t>
      </w:r>
    </w:p>
    <w:p>
      <w:pPr>
        <w:pStyle w:val="0"/>
        <w:spacing w:before="200" w:line-rule="auto"/>
        <w:ind w:firstLine="540"/>
        <w:jc w:val="both"/>
      </w:pPr>
      <w:r>
        <w:rPr>
          <w:sz w:val="20"/>
        </w:rPr>
        <w:t xml:space="preserve">3.31. пристройка: Внешняя часть здания, имеющая иное функциональное назначение или пожарно-технические характеристики (степень огнестойкости, класс конструктивной пожарной опасности, категорию по взрывопожарной опасности и т.д.), отделяемая от основного здания противопожарными преградами.</w:t>
      </w:r>
    </w:p>
    <w:p>
      <w:pPr>
        <w:pStyle w:val="0"/>
        <w:spacing w:before="200" w:line-rule="auto"/>
        <w:ind w:firstLine="540"/>
        <w:jc w:val="both"/>
      </w:pPr>
      <w:r>
        <w:rPr>
          <w:sz w:val="20"/>
        </w:rPr>
        <w:t xml:space="preserve">3.32. утратил силу. - </w:t>
      </w:r>
      <w:hyperlink w:history="0" r:id="rId99"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w:t>
        </w:r>
      </w:hyperlink>
      <w:r>
        <w:rPr>
          <w:sz w:val="20"/>
        </w:rPr>
        <w:t xml:space="preserve"> МЧС России от 14.02.2020 N 89.</w:t>
      </w:r>
    </w:p>
    <w:p>
      <w:pPr>
        <w:pStyle w:val="0"/>
        <w:spacing w:before="200" w:line-rule="auto"/>
        <w:ind w:firstLine="540"/>
        <w:jc w:val="both"/>
      </w:pPr>
      <w:r>
        <w:rPr>
          <w:sz w:val="20"/>
        </w:rPr>
        <w:t xml:space="preserve">3.33. продукция в аэрозольных упаковках (аэрозольная продукция): Металлические, стеклянные или пластмассовые сосуды с клапаном и распылительной головкой, содержащие основное вещество (препарат) и сжатый или сжиженный газ для получения вещества в распыленном состоянии.</w:t>
      </w:r>
    </w:p>
    <w:p>
      <w:pPr>
        <w:pStyle w:val="0"/>
        <w:spacing w:before="200" w:line-rule="auto"/>
        <w:ind w:firstLine="540"/>
        <w:jc w:val="both"/>
      </w:pPr>
      <w:r>
        <w:rPr>
          <w:sz w:val="20"/>
        </w:rPr>
        <w:t xml:space="preserve">3.34. проезд для пожарной техники: Участок территории или сооружения (моста, эстакады и др.), предназначенный для передвижения пожарной техники с соблюдением требований нормативных документов по пожарной безопасности.</w:t>
      </w:r>
    </w:p>
    <w:p>
      <w:pPr>
        <w:pStyle w:val="0"/>
        <w:jc w:val="both"/>
      </w:pPr>
      <w:r>
        <w:rPr>
          <w:sz w:val="20"/>
        </w:rPr>
        <w:t xml:space="preserve">(п. 3.34 в ред. </w:t>
      </w:r>
      <w:hyperlink w:history="0" r:id="rId100"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3.35. рампа (пандус): сооружение, предназначенное для производства погрузочно-разгрузочных работ на производственно-складских объектах, а также для перемещения автомобилей между уровнями в автостоянках.</w:t>
      </w:r>
    </w:p>
    <w:p>
      <w:pPr>
        <w:pStyle w:val="0"/>
        <w:spacing w:before="200" w:line-rule="auto"/>
        <w:ind w:firstLine="540"/>
        <w:jc w:val="both"/>
      </w:pPr>
      <w:r>
        <w:rPr>
          <w:sz w:val="20"/>
        </w:rPr>
        <w:t xml:space="preserve">3.36 - 3.41. утратили силу. - </w:t>
      </w:r>
      <w:hyperlink w:history="0" r:id="rId101"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w:t>
        </w:r>
      </w:hyperlink>
      <w:r>
        <w:rPr>
          <w:sz w:val="20"/>
        </w:rPr>
        <w:t xml:space="preserve"> МЧС России от 14.02.2020 N 89.</w:t>
      </w:r>
    </w:p>
    <w:p>
      <w:pPr>
        <w:pStyle w:val="0"/>
        <w:spacing w:before="200" w:line-rule="auto"/>
        <w:ind w:firstLine="540"/>
        <w:jc w:val="both"/>
      </w:pPr>
      <w:r>
        <w:rPr>
          <w:sz w:val="20"/>
        </w:rPr>
        <w:t xml:space="preserve">3.42. технологическая площадка: площадка в составе производственного комплекса сооружений и оборудования, расположенная в здании или вне здания, предназначенная для осуществления технологического процесса.</w:t>
      </w:r>
    </w:p>
    <w:p>
      <w:pPr>
        <w:pStyle w:val="0"/>
        <w:jc w:val="both"/>
      </w:pPr>
      <w:r>
        <w:rPr>
          <w:sz w:val="20"/>
        </w:rPr>
        <w:t xml:space="preserve">(п. 3.42 в ред. </w:t>
      </w:r>
      <w:hyperlink w:history="0" r:id="rId102"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3.42.1 технологическая установка: Производственный комплекс сооружений и оборудования, расположенный в здании или на отдельной площадке предприятия, и предназначенный для осуществления технологического процесса.</w:t>
      </w:r>
    </w:p>
    <w:p>
      <w:pPr>
        <w:pStyle w:val="0"/>
        <w:jc w:val="both"/>
      </w:pPr>
      <w:r>
        <w:rPr>
          <w:sz w:val="20"/>
        </w:rPr>
        <w:t xml:space="preserve">(п. 3.42.1 введен </w:t>
      </w:r>
      <w:hyperlink w:history="0" r:id="rId103"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Приказом</w:t>
        </w:r>
      </w:hyperlink>
      <w:r>
        <w:rPr>
          <w:sz w:val="20"/>
        </w:rPr>
        <w:t xml:space="preserve"> МЧС России от 14.02.2020 N 89)</w:t>
      </w:r>
    </w:p>
    <w:p>
      <w:pPr>
        <w:pStyle w:val="0"/>
        <w:spacing w:before="200" w:line-rule="auto"/>
        <w:ind w:firstLine="540"/>
        <w:jc w:val="both"/>
      </w:pPr>
      <w:r>
        <w:rPr>
          <w:sz w:val="20"/>
        </w:rPr>
        <w:t xml:space="preserve">3.43. исключен с 1 декабря 2022 года. - </w:t>
      </w:r>
      <w:hyperlink w:history="0" r:id="rId104"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w:t>
        </w:r>
      </w:hyperlink>
      <w:r>
        <w:rPr>
          <w:sz w:val="20"/>
        </w:rPr>
        <w:t xml:space="preserve"> МЧС России от 15.06.2022 N 610.</w:t>
      </w:r>
    </w:p>
    <w:p>
      <w:pPr>
        <w:pStyle w:val="0"/>
        <w:spacing w:before="200" w:line-rule="auto"/>
        <w:ind w:firstLine="540"/>
        <w:jc w:val="both"/>
      </w:pPr>
      <w:r>
        <w:rPr>
          <w:sz w:val="20"/>
        </w:rPr>
        <w:t xml:space="preserve">3.44. уровень пожарной опасности аэрозольной продукции: Характеристика пожарной опасности продукции в аэрозольных упаковках, которая устанавливается исходя из теплоты сгорания содержимого баллона (до 20 МДж/кг - уровень 1, от 20 до 30 МДж/кг - уровень 2, свыше 30 МДж/кг - уровень 3).</w:t>
      </w:r>
    </w:p>
    <w:p>
      <w:pPr>
        <w:pStyle w:val="0"/>
        <w:spacing w:before="200" w:line-rule="auto"/>
        <w:ind w:firstLine="540"/>
        <w:jc w:val="both"/>
      </w:pPr>
      <w:r>
        <w:rPr>
          <w:sz w:val="20"/>
        </w:rPr>
        <w:t xml:space="preserve">3.44.1 цех: Здание (сооружение, помещение) производственного назначения.</w:t>
      </w:r>
    </w:p>
    <w:p>
      <w:pPr>
        <w:pStyle w:val="0"/>
        <w:jc w:val="both"/>
      </w:pPr>
      <w:r>
        <w:rPr>
          <w:sz w:val="20"/>
        </w:rPr>
        <w:t xml:space="preserve">(п. 3.44.1 введен </w:t>
      </w:r>
      <w:hyperlink w:history="0" r:id="rId105"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Приказом</w:t>
        </w:r>
      </w:hyperlink>
      <w:r>
        <w:rPr>
          <w:sz w:val="20"/>
        </w:rPr>
        <w:t xml:space="preserve"> МЧС России от 14.02.2020 N 89)</w:t>
      </w:r>
    </w:p>
    <w:p>
      <w:pPr>
        <w:pStyle w:val="0"/>
        <w:spacing w:before="200" w:line-rule="auto"/>
        <w:ind w:firstLine="540"/>
        <w:jc w:val="both"/>
      </w:pPr>
      <w:r>
        <w:rPr>
          <w:sz w:val="20"/>
        </w:rPr>
        <w:t xml:space="preserve">3.45. исключен с 1 декабря 2022 года. - </w:t>
      </w:r>
      <w:hyperlink w:history="0" r:id="rId106"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w:t>
        </w:r>
      </w:hyperlink>
      <w:r>
        <w:rPr>
          <w:sz w:val="20"/>
        </w:rPr>
        <w:t xml:space="preserve"> МЧС России от 15.06.2022 N 610.</w:t>
      </w:r>
    </w:p>
    <w:p>
      <w:pPr>
        <w:pStyle w:val="0"/>
        <w:spacing w:before="200" w:line-rule="auto"/>
        <w:ind w:firstLine="540"/>
        <w:jc w:val="both"/>
      </w:pPr>
      <w:r>
        <w:rPr>
          <w:sz w:val="20"/>
        </w:rPr>
        <w:t xml:space="preserve">3.46. утратил силу. - </w:t>
      </w:r>
      <w:hyperlink w:history="0" r:id="rId107"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w:t>
        </w:r>
      </w:hyperlink>
      <w:r>
        <w:rPr>
          <w:sz w:val="20"/>
        </w:rPr>
        <w:t xml:space="preserve"> МЧС России от 14.02.2020 N 89.</w:t>
      </w:r>
    </w:p>
    <w:p>
      <w:pPr>
        <w:pStyle w:val="0"/>
        <w:spacing w:before="200" w:line-rule="auto"/>
        <w:ind w:firstLine="540"/>
        <w:jc w:val="both"/>
      </w:pPr>
      <w:r>
        <w:rPr>
          <w:sz w:val="20"/>
        </w:rPr>
        <w:t xml:space="preserve">3.47 - 3.54. исключены с 1 декабря 2022 года. - </w:t>
      </w:r>
      <w:hyperlink w:history="0" r:id="rId108"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w:t>
        </w:r>
      </w:hyperlink>
      <w:r>
        <w:rPr>
          <w:sz w:val="20"/>
        </w:rPr>
        <w:t xml:space="preserve"> МЧС России от 15.06.2022 N 610.</w:t>
      </w:r>
    </w:p>
    <w:p>
      <w:pPr>
        <w:pStyle w:val="0"/>
        <w:spacing w:before="200" w:line-rule="auto"/>
        <w:ind w:firstLine="540"/>
        <w:jc w:val="both"/>
      </w:pPr>
      <w:r>
        <w:rPr>
          <w:sz w:val="20"/>
        </w:rPr>
        <w:t xml:space="preserve">3.55. этажерка: Многоярусное каркасное сооружение (без стен), свободно стоящее в здании или вне его и предназначенное для размещения и обслуживания технологического и прочего оборудования.</w:t>
      </w:r>
    </w:p>
    <w:p>
      <w:pPr>
        <w:pStyle w:val="0"/>
        <w:spacing w:before="200" w:line-rule="auto"/>
        <w:ind w:firstLine="540"/>
        <w:jc w:val="both"/>
      </w:pPr>
      <w:r>
        <w:rPr>
          <w:sz w:val="20"/>
        </w:rPr>
        <w:t xml:space="preserve">3.56. этажность здания: (при применении требований пожарной безопасности): Число этажей здания, включая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w:t>
      </w:r>
    </w:p>
    <w:p>
      <w:pPr>
        <w:pStyle w:val="0"/>
        <w:jc w:val="both"/>
      </w:pPr>
      <w:r>
        <w:rPr>
          <w:sz w:val="20"/>
        </w:rPr>
        <w:t xml:space="preserve">(в ред. </w:t>
      </w:r>
      <w:hyperlink w:history="0" r:id="rId109"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Подполье под зданием независимо от его высоты, а также междуэтажное пространство и технический чердак с высотой менее 1,8 м в число надземных этажей не включаются. 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pPr>
        <w:pStyle w:val="0"/>
        <w:jc w:val="both"/>
      </w:pPr>
      <w:r>
        <w:rPr>
          <w:sz w:val="20"/>
        </w:rPr>
        <w:t xml:space="preserve">(п. 3.56 в ред. </w:t>
      </w:r>
      <w:hyperlink w:history="0" r:id="rId110"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ind w:firstLine="540"/>
        <w:jc w:val="both"/>
      </w:pPr>
      <w:r>
        <w:rPr>
          <w:sz w:val="20"/>
        </w:rPr>
      </w:r>
    </w:p>
    <w:bookmarkStart w:id="194" w:name="P194"/>
    <w:bookmarkEnd w:id="194"/>
    <w:p>
      <w:pPr>
        <w:pStyle w:val="2"/>
        <w:outlineLvl w:val="1"/>
        <w:ind w:firstLine="540"/>
        <w:jc w:val="both"/>
      </w:pPr>
      <w:r>
        <w:rPr>
          <w:sz w:val="20"/>
        </w:rPr>
        <w:t xml:space="preserve">4. Общие требования пожарной безопасности</w:t>
      </w:r>
    </w:p>
    <w:p>
      <w:pPr>
        <w:pStyle w:val="0"/>
        <w:ind w:firstLine="540"/>
        <w:jc w:val="both"/>
      </w:pPr>
      <w:r>
        <w:rPr>
          <w:sz w:val="20"/>
        </w:rPr>
      </w:r>
    </w:p>
    <w:p>
      <w:pPr>
        <w:pStyle w:val="0"/>
        <w:ind w:firstLine="540"/>
        <w:jc w:val="both"/>
      </w:pPr>
      <w:r>
        <w:rPr>
          <w:sz w:val="20"/>
        </w:rPr>
        <w:t xml:space="preserve">4.1. Объемно-планировочные и конструктивные решения, направленные на ограничение распространения пожара при проектировании, строительстве и эксплуатации объектов защиты должны предусматривать:</w:t>
      </w:r>
    </w:p>
    <w:p>
      <w:pPr>
        <w:pStyle w:val="0"/>
        <w:spacing w:before="200" w:line-rule="auto"/>
        <w:ind w:firstLine="540"/>
        <w:jc w:val="both"/>
      </w:pPr>
      <w:r>
        <w:rPr>
          <w:sz w:val="20"/>
        </w:rPr>
        <w:t xml:space="preserve">- применение для зданий, сооружений, пожарных отсеков и частей зданий (секций) несущих и ограждающих строительных конструкций с нормируемыми пожарно-техническими характеристиками, а также ограничение размеров зданий и площади пожарных отсеков в соответствии с требованиями </w:t>
      </w:r>
      <w:hyperlink w:history="0" w:anchor="P4428" w:tooltip="[2] Федеральный закон от 22 июля 2008 г. N 123-ФЗ &quot;Технический регламент о требованиях пожарной безопасности&quot;.">
        <w:r>
          <w:rPr>
            <w:sz w:val="20"/>
            <w:color w:val="0000ff"/>
          </w:rPr>
          <w:t xml:space="preserve">[2]</w:t>
        </w:r>
      </w:hyperlink>
      <w:r>
        <w:rPr>
          <w:sz w:val="20"/>
        </w:rPr>
        <w:t xml:space="preserve"> и </w:t>
      </w:r>
      <w:hyperlink w:history="0" r:id="rId111" w:tooltip="Приказ МЧС России от 21.11.2012 N 693 (ред. от 23.10.2013) &quot;Об утверждении свода правил &quot;Системы противопожарной защиты. Обеспечение огнестойкости объектов защиты&quot; (вместе с &quot;СП 2.13130.2012. Свод правил...&quot;) ------------ Утратил силу или отменен {КонсультантПлюс}">
        <w:r>
          <w:rPr>
            <w:sz w:val="20"/>
            <w:color w:val="0000ff"/>
          </w:rPr>
          <w:t xml:space="preserve">СП 2.13130</w:t>
        </w:r>
      </w:hyperlink>
      <w:r>
        <w:rPr>
          <w:sz w:val="20"/>
        </w:rPr>
        <w:t xml:space="preserve">;</w:t>
      </w:r>
    </w:p>
    <w:p>
      <w:pPr>
        <w:pStyle w:val="0"/>
        <w:spacing w:before="200" w:line-rule="auto"/>
        <w:ind w:firstLine="540"/>
        <w:jc w:val="both"/>
      </w:pPr>
      <w:r>
        <w:rPr>
          <w:sz w:val="20"/>
        </w:rPr>
        <w:t xml:space="preserve">- размещение объектов различных классов функциональной пожарной опасности в отдельных зданиях и сооружениях, удаленных друг от друга на нормируемые противопожарные расстояния (разрывы), либо в пожарных отсеках или частях зданий и сооружений, разделенных противопожарными преградами в соответствии с нормативными требованиями;</w:t>
      </w:r>
    </w:p>
    <w:p>
      <w:pPr>
        <w:pStyle w:val="0"/>
        <w:spacing w:before="200" w:line-rule="auto"/>
        <w:ind w:firstLine="540"/>
        <w:jc w:val="both"/>
      </w:pPr>
      <w:r>
        <w:rPr>
          <w:sz w:val="20"/>
        </w:rPr>
        <w:t xml:space="preserve">- выделение в пределах здания, сооружения помещений различного функционального назначения, взрывопожароопасных и пожароопасных помещений ограждающими конструкциями с нормируемыми пределами огнестойкости и классами пожарной опасности или противопожарными преградами в случаях, оговоренных настоящим сводом правил, а также другими действующими нормативными требованиями, исходя из класса функциональной пожарной опасности объекта защиты;</w:t>
      </w:r>
    </w:p>
    <w:p>
      <w:pPr>
        <w:pStyle w:val="0"/>
        <w:spacing w:before="200" w:line-rule="auto"/>
        <w:ind w:firstLine="540"/>
        <w:jc w:val="both"/>
      </w:pPr>
      <w:r>
        <w:rPr>
          <w:sz w:val="20"/>
        </w:rPr>
        <w:t xml:space="preserve">- устройство проходов, проездов, подъездов для пожарной техники и обеспечение деятельности пожарных подразделений по тушению пожара на объектах защиты.</w:t>
      </w:r>
    </w:p>
    <w:p>
      <w:pPr>
        <w:pStyle w:val="0"/>
        <w:jc w:val="both"/>
      </w:pPr>
      <w:r>
        <w:rPr>
          <w:sz w:val="20"/>
        </w:rPr>
        <w:t xml:space="preserve">(п. 4.1 в ред. </w:t>
      </w:r>
      <w:hyperlink w:history="0" r:id="rId112"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4.2. При определении класса функциональной пожарной опасности объекта защиты (здания, сооружения) следует исходить из его целевого назначения, а также характеристик основного функционального контингента (возраста, физического состояния, возможности пребывания в состоянии сна и т.п.) и его количества. Размещаемые в пределах объекта защиты - части зданий, группы помещений, а также вспомогательные помещения других классов функциональной пожарной опасности следует выделять противопожарными преградами в соответствии с требованиями настоящего свода правил. При этом, требования, предъявляемые к указанным частям, выделенным противопожарными преградами, следует определять исходя из их классов функциональной пожарной опасности.</w:t>
      </w:r>
    </w:p>
    <w:p>
      <w:pPr>
        <w:pStyle w:val="0"/>
        <w:spacing w:before="200" w:line-rule="auto"/>
        <w:ind w:firstLine="540"/>
        <w:jc w:val="both"/>
      </w:pPr>
      <w:r>
        <w:rPr>
          <w:sz w:val="20"/>
        </w:rPr>
        <w:t xml:space="preserve">Абзац исключен с 1 декабря 2022 года. - </w:t>
      </w:r>
      <w:hyperlink w:history="0" r:id="rId113"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w:t>
        </w:r>
      </w:hyperlink>
      <w:r>
        <w:rPr>
          <w:sz w:val="20"/>
        </w:rPr>
        <w:t xml:space="preserve"> МЧС России от 15.06.2022 N 610.</w:t>
      </w:r>
    </w:p>
    <w:p>
      <w:pPr>
        <w:pStyle w:val="0"/>
        <w:spacing w:before="200" w:line-rule="auto"/>
        <w:ind w:firstLine="540"/>
        <w:jc w:val="both"/>
      </w:pPr>
      <w:r>
        <w:rPr>
          <w:sz w:val="20"/>
        </w:rPr>
        <w:t xml:space="preserve">4.3. Минимальные противопожарные расстояния (разрывы) между жилыми, общественными (в том числе административными, бытовыми) зданиями и сооружениями следует принимать в соответствии с </w:t>
      </w:r>
      <w:hyperlink w:history="0" w:anchor="P212" w:tooltip="Таблица 1">
        <w:r>
          <w:rPr>
            <w:sz w:val="20"/>
            <w:color w:val="0000ff"/>
          </w:rPr>
          <w:t xml:space="preserve">таблицей 1</w:t>
        </w:r>
      </w:hyperlink>
      <w:r>
        <w:rPr>
          <w:sz w:val="20"/>
        </w:rPr>
        <w:t xml:space="preserve"> и с учетом </w:t>
      </w:r>
      <w:hyperlink w:history="0" w:anchor="P286" w:tooltip="4.4. Противопожарное расстояние между зданиями, сооружениями определяется как наименьшее расстояние в свету между наружными стенами или другими ограждающими конструкциями. При наличии конструктивных элементов из горючих материалов, выступающих за пределы указанных конструкций более чем на 1 м, расстояние следует принимать от указанных элементов.">
        <w:r>
          <w:rPr>
            <w:sz w:val="20"/>
            <w:color w:val="0000ff"/>
          </w:rPr>
          <w:t xml:space="preserve">пунктов 4.4</w:t>
        </w:r>
      </w:hyperlink>
      <w:r>
        <w:rPr>
          <w:sz w:val="20"/>
        </w:rPr>
        <w:t xml:space="preserve"> - </w:t>
      </w:r>
      <w:hyperlink w:history="0" w:anchor="P304" w:tooltip="4.13. Противопожарные расстояния (разрывы) между жилыми, садовыми домами (далее - домами), между домами и хозяйственными постройками в пределах одного земельного участка для индивидуального жилищного строительства, ведения личного подсобного хозяйства, а также приусадебного или садового земельного участка не нормируются (не устанавливаются).">
        <w:r>
          <w:rPr>
            <w:sz w:val="20"/>
            <w:color w:val="0000ff"/>
          </w:rPr>
          <w:t xml:space="preserve">4.13</w:t>
        </w:r>
      </w:hyperlink>
      <w:r>
        <w:rPr>
          <w:sz w:val="20"/>
        </w:rPr>
        <w:t xml:space="preserve">.</w:t>
      </w:r>
    </w:p>
    <w:p>
      <w:pPr>
        <w:pStyle w:val="0"/>
        <w:spacing w:before="200" w:line-rule="auto"/>
        <w:ind w:firstLine="540"/>
        <w:jc w:val="both"/>
      </w:pPr>
      <w:r>
        <w:rPr>
          <w:sz w:val="20"/>
        </w:rPr>
        <w:t xml:space="preserve">Противопожарные расстояния от указанных зданий, сооружений до зданий, сооружений производственного и складского назначения следует принимать по </w:t>
      </w:r>
      <w:hyperlink w:history="0" w:anchor="P212" w:tooltip="Таблица 1">
        <w:r>
          <w:rPr>
            <w:sz w:val="20"/>
            <w:color w:val="0000ff"/>
          </w:rPr>
          <w:t xml:space="preserve">таблице 1</w:t>
        </w:r>
      </w:hyperlink>
      <w:r>
        <w:rPr>
          <w:sz w:val="20"/>
        </w:rPr>
        <w:t xml:space="preserve">, если иное не предусмотрено настоящим сводом правил и другими нормативными документами, содержащими требования пожарной безопасности. При определении противопожарных расстояний до автозаправочных станций, опасных производственных объектов, объектов газоснабжения и нефтегазовой индустрии, энергообъектов и электроустановок, особо опасных и технически сложных объектов и т.д. следует также руководствоваться требованиями </w:t>
      </w:r>
      <w:hyperlink w:history="0" w:anchor="P567" w:tooltip="6. Требования к объектам класса функциональной пожарной опасности Ф5">
        <w:r>
          <w:rPr>
            <w:sz w:val="20"/>
            <w:color w:val="0000ff"/>
          </w:rPr>
          <w:t xml:space="preserve">раздела 6</w:t>
        </w:r>
      </w:hyperlink>
      <w:r>
        <w:rPr>
          <w:sz w:val="20"/>
        </w:rPr>
        <w:t xml:space="preserve">, положениями </w:t>
      </w:r>
      <w:hyperlink w:history="0" w:anchor="P4427" w:tooltip="[1]        ПУЭ        &quot;Правила устройства электроустановок&quot;, издание 6 и 7.">
        <w:r>
          <w:rPr>
            <w:sz w:val="20"/>
            <w:color w:val="0000ff"/>
          </w:rPr>
          <w:t xml:space="preserve">[1]</w:t>
        </w:r>
      </w:hyperlink>
      <w:r>
        <w:rPr>
          <w:sz w:val="20"/>
        </w:rPr>
        <w:t xml:space="preserve">, </w:t>
      </w:r>
      <w:hyperlink w:history="0" w:anchor="P4428" w:tooltip="[2] Федеральный закон от 22 июля 2008 г. N 123-ФЗ &quot;Технический регламент о требованиях пожарной безопасности&quot;.">
        <w:r>
          <w:rPr>
            <w:sz w:val="20"/>
            <w:color w:val="0000ff"/>
          </w:rPr>
          <w:t xml:space="preserve">[2]</w:t>
        </w:r>
      </w:hyperlink>
      <w:r>
        <w:rPr>
          <w:sz w:val="20"/>
        </w:rPr>
        <w:t xml:space="preserve">, </w:t>
      </w:r>
      <w:hyperlink w:history="0" r:id="rId114" w:tooltip="Приказ МЧС России от 26.12.2013 N 837 (ред. от 09.03.2017) &quot;Об утверждении свода правил &quot;Склады нефти и нефтепродуктов. Требования пожарной безопасности&quot; (вместе с &quot;СП 155.13130.2014. Свод правил...&quot;) {КонсультантПлюс}">
        <w:r>
          <w:rPr>
            <w:sz w:val="20"/>
            <w:color w:val="0000ff"/>
          </w:rPr>
          <w:t xml:space="preserve">СП 155.13130</w:t>
        </w:r>
      </w:hyperlink>
      <w:r>
        <w:rPr>
          <w:sz w:val="20"/>
        </w:rPr>
        <w:t xml:space="preserve"> и другими нормативными документами, содержащими требования пожарной безопасности.</w:t>
      </w:r>
    </w:p>
    <w:p>
      <w:pPr>
        <w:pStyle w:val="0"/>
        <w:spacing w:before="200" w:line-rule="auto"/>
        <w:ind w:firstLine="540"/>
        <w:jc w:val="both"/>
      </w:pPr>
      <w:r>
        <w:rPr>
          <w:sz w:val="20"/>
        </w:rPr>
        <w:t xml:space="preserve">Пристраивание к жилым и общественным зданиям, сооружениям производственного, складского и инженерно-технического назначения (автостоянок, котельных, трансформаторных подстанций и т.п.) допускается в случаях, оговоренных нормативными требованиями. При этом противопожарные расстояния до соседних зданий и сооружений должны также соблюдаться и от указанных пристроек с учетом их пожарно-технической классификации.</w:t>
      </w:r>
    </w:p>
    <w:p>
      <w:pPr>
        <w:pStyle w:val="0"/>
        <w:spacing w:before="200" w:line-rule="auto"/>
        <w:ind w:firstLine="540"/>
        <w:jc w:val="both"/>
      </w:pPr>
      <w:r>
        <w:rPr>
          <w:sz w:val="20"/>
        </w:rPr>
        <w:t xml:space="preserve">Расстояния между зданиями, сооружениями производственного и складского назначения (в том числе размещаемыми вне производственных территорий) должны приниматься по нормативам для территорий производственных объектов в соответствии с </w:t>
      </w:r>
      <w:hyperlink w:history="0" w:anchor="P567" w:tooltip="6. Требования к объектам класса функциональной пожарной опасности Ф5">
        <w:r>
          <w:rPr>
            <w:sz w:val="20"/>
            <w:color w:val="0000ff"/>
          </w:rPr>
          <w:t xml:space="preserve">разделом 6</w:t>
        </w:r>
      </w:hyperlink>
      <w:r>
        <w:rPr>
          <w:sz w:val="20"/>
        </w:rPr>
        <w:t xml:space="preserve">.</w:t>
      </w:r>
    </w:p>
    <w:p>
      <w:pPr>
        <w:pStyle w:val="0"/>
        <w:spacing w:before="200" w:line-rule="auto"/>
        <w:ind w:firstLine="540"/>
        <w:jc w:val="both"/>
      </w:pPr>
      <w:r>
        <w:rPr>
          <w:sz w:val="20"/>
        </w:rPr>
        <w:t xml:space="preserve">Противопожарные расстояния между жилыми, общественными зданиями и сооружениями допускается уменьшать при условии подтверждения предотвращения распространения пожара в соответствии с </w:t>
      </w:r>
      <w:hyperlink w:history="0" w:anchor="P4438" w:tooltip="Методика">
        <w:r>
          <w:rPr>
            <w:sz w:val="20"/>
            <w:color w:val="0000ff"/>
          </w:rPr>
          <w:t xml:space="preserve">Приложением А</w:t>
        </w:r>
      </w:hyperlink>
      <w:r>
        <w:rPr>
          <w:sz w:val="20"/>
        </w:rPr>
        <w:t xml:space="preserve">. Указанное уменьшение должно проводиться с учетом требований к параметрам проездов и подъездов для пожарной техники. Для случаев, не подпадающих под область применения </w:t>
      </w:r>
      <w:hyperlink w:history="0" w:anchor="P4438" w:tooltip="Методика">
        <w:r>
          <w:rPr>
            <w:sz w:val="20"/>
            <w:color w:val="0000ff"/>
          </w:rPr>
          <w:t xml:space="preserve">Приложения А</w:t>
        </w:r>
      </w:hyperlink>
      <w:r>
        <w:rPr>
          <w:sz w:val="20"/>
        </w:rPr>
        <w:t xml:space="preserve">, уменьшение противопожарных расстояний допускается при разработке дополнительных противопожарных мероприятий с подтверждением предотвращения распространения пожара на основании результатов исследований, испытаний или расчетов по апробированным методикам.</w:t>
      </w:r>
    </w:p>
    <w:p>
      <w:pPr>
        <w:pStyle w:val="0"/>
        <w:jc w:val="both"/>
      </w:pPr>
      <w:r>
        <w:rPr>
          <w:sz w:val="20"/>
        </w:rPr>
        <w:t xml:space="preserve">(в ред. </w:t>
      </w:r>
      <w:hyperlink w:history="0" r:id="rId115"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jc w:val="both"/>
      </w:pPr>
      <w:r>
        <w:rPr>
          <w:sz w:val="20"/>
        </w:rPr>
        <w:t xml:space="preserve">(п. 4.3 в ред. </w:t>
      </w:r>
      <w:hyperlink w:history="0" r:id="rId116"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ind w:firstLine="540"/>
        <w:jc w:val="both"/>
      </w:pPr>
      <w:r>
        <w:rPr>
          <w:sz w:val="20"/>
        </w:rPr>
      </w:r>
    </w:p>
    <w:bookmarkStart w:id="212" w:name="P212"/>
    <w:bookmarkEnd w:id="212"/>
    <w:p>
      <w:pPr>
        <w:pStyle w:val="0"/>
        <w:outlineLvl w:val="2"/>
        <w:jc w:val="both"/>
      </w:pPr>
      <w:r>
        <w:rPr>
          <w:sz w:val="20"/>
        </w:rPr>
        <w:t xml:space="preserve">Таблица 1</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38"/>
        <w:gridCol w:w="2098"/>
        <w:gridCol w:w="1644"/>
        <w:gridCol w:w="1247"/>
        <w:gridCol w:w="1247"/>
        <w:gridCol w:w="1304"/>
      </w:tblGrid>
      <w:tr>
        <w:tc>
          <w:tcPr>
            <w:tcW w:w="2438" w:type="dxa"/>
            <w:vMerge w:val="restart"/>
          </w:tcPr>
          <w:p>
            <w:pPr>
              <w:pStyle w:val="0"/>
              <w:jc w:val="center"/>
            </w:pPr>
            <w:r>
              <w:rPr>
                <w:sz w:val="20"/>
              </w:rPr>
              <w:t xml:space="preserve">Степень огнестойкости здания</w:t>
            </w:r>
          </w:p>
        </w:tc>
        <w:tc>
          <w:tcPr>
            <w:tcW w:w="2098" w:type="dxa"/>
            <w:vMerge w:val="restart"/>
          </w:tcPr>
          <w:p>
            <w:pPr>
              <w:pStyle w:val="0"/>
              <w:jc w:val="center"/>
            </w:pPr>
            <w:r>
              <w:rPr>
                <w:sz w:val="20"/>
              </w:rPr>
              <w:t xml:space="preserve">Класс конструктивной пожарной опасности</w:t>
            </w:r>
          </w:p>
        </w:tc>
        <w:tc>
          <w:tcPr>
            <w:gridSpan w:val="4"/>
            <w:tcW w:w="5442" w:type="dxa"/>
          </w:tcPr>
          <w:p>
            <w:pPr>
              <w:pStyle w:val="0"/>
              <w:jc w:val="center"/>
            </w:pPr>
            <w:r>
              <w:rPr>
                <w:sz w:val="20"/>
              </w:rPr>
              <w:t xml:space="preserve">Минимальные расстояния при степени огнестойкости и классе конструктивной пожарной опасности жилых и общественных зданий, м</w:t>
            </w:r>
          </w:p>
        </w:tc>
      </w:tr>
      <w:tr>
        <w:tc>
          <w:tcPr>
            <w:vMerge w:val="continue"/>
          </w:tcPr>
          <w:p/>
        </w:tc>
        <w:tc>
          <w:tcPr>
            <w:vMerge w:val="continue"/>
          </w:tcPr>
          <w:p/>
        </w:tc>
        <w:tc>
          <w:tcPr>
            <w:tcW w:w="1644" w:type="dxa"/>
          </w:tcPr>
          <w:p>
            <w:pPr>
              <w:pStyle w:val="0"/>
              <w:jc w:val="center"/>
            </w:pPr>
            <w:r>
              <w:rPr>
                <w:sz w:val="20"/>
              </w:rPr>
              <w:t xml:space="preserve">I, II, III</w:t>
            </w:r>
          </w:p>
          <w:p>
            <w:pPr>
              <w:pStyle w:val="0"/>
              <w:jc w:val="center"/>
            </w:pPr>
            <w:r>
              <w:rPr>
                <w:sz w:val="20"/>
              </w:rPr>
              <w:t xml:space="preserve">С0</w:t>
            </w:r>
          </w:p>
        </w:tc>
        <w:tc>
          <w:tcPr>
            <w:tcW w:w="1247" w:type="dxa"/>
          </w:tcPr>
          <w:p>
            <w:pPr>
              <w:pStyle w:val="0"/>
              <w:jc w:val="center"/>
            </w:pPr>
            <w:r>
              <w:rPr>
                <w:sz w:val="20"/>
              </w:rPr>
              <w:t xml:space="preserve">II, III</w:t>
            </w:r>
          </w:p>
          <w:p>
            <w:pPr>
              <w:pStyle w:val="0"/>
              <w:jc w:val="center"/>
            </w:pPr>
            <w:r>
              <w:rPr>
                <w:sz w:val="20"/>
              </w:rPr>
              <w:t xml:space="preserve">С1</w:t>
            </w:r>
          </w:p>
        </w:tc>
        <w:tc>
          <w:tcPr>
            <w:tcW w:w="1247" w:type="dxa"/>
          </w:tcPr>
          <w:p>
            <w:pPr>
              <w:pStyle w:val="0"/>
              <w:jc w:val="center"/>
            </w:pPr>
            <w:r>
              <w:rPr>
                <w:sz w:val="20"/>
              </w:rPr>
              <w:t xml:space="preserve">IV</w:t>
            </w:r>
          </w:p>
          <w:p>
            <w:pPr>
              <w:pStyle w:val="0"/>
              <w:jc w:val="center"/>
            </w:pPr>
            <w:r>
              <w:rPr>
                <w:sz w:val="20"/>
              </w:rPr>
              <w:t xml:space="preserve">С0, С1</w:t>
            </w:r>
          </w:p>
        </w:tc>
        <w:tc>
          <w:tcPr>
            <w:tcW w:w="1304" w:type="dxa"/>
          </w:tcPr>
          <w:p>
            <w:pPr>
              <w:pStyle w:val="0"/>
              <w:jc w:val="center"/>
            </w:pPr>
            <w:r>
              <w:rPr>
                <w:sz w:val="20"/>
              </w:rPr>
              <w:t xml:space="preserve">IV, V</w:t>
            </w:r>
          </w:p>
          <w:p>
            <w:pPr>
              <w:pStyle w:val="0"/>
              <w:jc w:val="center"/>
            </w:pPr>
            <w:r>
              <w:rPr>
                <w:sz w:val="20"/>
              </w:rPr>
              <w:t xml:space="preserve">С2, С3</w:t>
            </w:r>
          </w:p>
        </w:tc>
      </w:tr>
      <w:tr>
        <w:tc>
          <w:tcPr>
            <w:tcW w:w="2438" w:type="dxa"/>
          </w:tcPr>
          <w:p>
            <w:pPr>
              <w:pStyle w:val="0"/>
              <w:outlineLvl w:val="3"/>
              <w:jc w:val="center"/>
            </w:pPr>
            <w:r>
              <w:rPr>
                <w:sz w:val="20"/>
              </w:rPr>
              <w:t xml:space="preserve">Жилые и общественные</w:t>
            </w:r>
          </w:p>
        </w:tc>
        <w:tc>
          <w:tcPr>
            <w:tcW w:w="2098" w:type="dxa"/>
          </w:tcPr>
          <w:p>
            <w:pPr>
              <w:pStyle w:val="0"/>
              <w:jc w:val="both"/>
            </w:pPr>
            <w:r>
              <w:rPr>
                <w:sz w:val="20"/>
              </w:rPr>
            </w:r>
          </w:p>
        </w:tc>
        <w:tc>
          <w:tcPr>
            <w:tcW w:w="1644" w:type="dxa"/>
          </w:tcPr>
          <w:p>
            <w:pPr>
              <w:pStyle w:val="0"/>
              <w:jc w:val="both"/>
            </w:pPr>
            <w:r>
              <w:rPr>
                <w:sz w:val="20"/>
              </w:rPr>
            </w:r>
          </w:p>
        </w:tc>
        <w:tc>
          <w:tcPr>
            <w:tcW w:w="1247" w:type="dxa"/>
          </w:tcPr>
          <w:p>
            <w:pPr>
              <w:pStyle w:val="0"/>
              <w:jc w:val="both"/>
            </w:pPr>
            <w:r>
              <w:rPr>
                <w:sz w:val="20"/>
              </w:rPr>
            </w:r>
          </w:p>
        </w:tc>
        <w:tc>
          <w:tcPr>
            <w:tcW w:w="1247" w:type="dxa"/>
          </w:tcPr>
          <w:p>
            <w:pPr>
              <w:pStyle w:val="0"/>
              <w:jc w:val="both"/>
            </w:pPr>
            <w:r>
              <w:rPr>
                <w:sz w:val="20"/>
              </w:rPr>
            </w:r>
          </w:p>
        </w:tc>
        <w:tc>
          <w:tcPr>
            <w:tcW w:w="1304" w:type="dxa"/>
          </w:tcPr>
          <w:p>
            <w:pPr>
              <w:pStyle w:val="0"/>
              <w:jc w:val="both"/>
            </w:pPr>
            <w:r>
              <w:rPr>
                <w:sz w:val="20"/>
              </w:rPr>
            </w:r>
          </w:p>
        </w:tc>
      </w:tr>
      <w:tr>
        <w:tc>
          <w:tcPr>
            <w:tcW w:w="2438" w:type="dxa"/>
          </w:tcPr>
          <w:p>
            <w:pPr>
              <w:pStyle w:val="0"/>
              <w:jc w:val="center"/>
            </w:pPr>
            <w:r>
              <w:rPr>
                <w:sz w:val="20"/>
              </w:rPr>
              <w:t xml:space="preserve">I, II, III</w:t>
            </w:r>
          </w:p>
        </w:tc>
        <w:tc>
          <w:tcPr>
            <w:tcW w:w="2098" w:type="dxa"/>
          </w:tcPr>
          <w:p>
            <w:pPr>
              <w:pStyle w:val="0"/>
              <w:jc w:val="center"/>
            </w:pPr>
            <w:r>
              <w:rPr>
                <w:sz w:val="20"/>
              </w:rPr>
              <w:t xml:space="preserve">С0</w:t>
            </w:r>
          </w:p>
        </w:tc>
        <w:tc>
          <w:tcPr>
            <w:tcW w:w="1644" w:type="dxa"/>
          </w:tcPr>
          <w:p>
            <w:pPr>
              <w:pStyle w:val="0"/>
              <w:jc w:val="center"/>
            </w:pPr>
            <w:r>
              <w:rPr>
                <w:sz w:val="20"/>
              </w:rPr>
              <w:t xml:space="preserve">6</w:t>
            </w:r>
          </w:p>
        </w:tc>
        <w:tc>
          <w:tcPr>
            <w:tcW w:w="1247" w:type="dxa"/>
          </w:tcPr>
          <w:p>
            <w:pPr>
              <w:pStyle w:val="0"/>
              <w:jc w:val="center"/>
            </w:pPr>
            <w:r>
              <w:rPr>
                <w:sz w:val="20"/>
              </w:rPr>
              <w:t xml:space="preserve">8</w:t>
            </w:r>
          </w:p>
        </w:tc>
        <w:tc>
          <w:tcPr>
            <w:tcW w:w="1247" w:type="dxa"/>
          </w:tcPr>
          <w:p>
            <w:pPr>
              <w:pStyle w:val="0"/>
              <w:jc w:val="center"/>
            </w:pPr>
            <w:r>
              <w:rPr>
                <w:sz w:val="20"/>
              </w:rPr>
              <w:t xml:space="preserve">8</w:t>
            </w:r>
          </w:p>
        </w:tc>
        <w:tc>
          <w:tcPr>
            <w:tcW w:w="1304" w:type="dxa"/>
          </w:tcPr>
          <w:p>
            <w:pPr>
              <w:pStyle w:val="0"/>
              <w:jc w:val="center"/>
            </w:pPr>
            <w:r>
              <w:rPr>
                <w:sz w:val="20"/>
              </w:rPr>
              <w:t xml:space="preserve">10</w:t>
            </w:r>
          </w:p>
        </w:tc>
      </w:tr>
      <w:tr>
        <w:tc>
          <w:tcPr>
            <w:tcW w:w="2438" w:type="dxa"/>
          </w:tcPr>
          <w:p>
            <w:pPr>
              <w:pStyle w:val="0"/>
              <w:jc w:val="center"/>
            </w:pPr>
            <w:r>
              <w:rPr>
                <w:sz w:val="20"/>
              </w:rPr>
              <w:t xml:space="preserve">II, III</w:t>
            </w:r>
          </w:p>
        </w:tc>
        <w:tc>
          <w:tcPr>
            <w:tcW w:w="2098" w:type="dxa"/>
          </w:tcPr>
          <w:p>
            <w:pPr>
              <w:pStyle w:val="0"/>
              <w:jc w:val="center"/>
            </w:pPr>
            <w:r>
              <w:rPr>
                <w:sz w:val="20"/>
              </w:rPr>
              <w:t xml:space="preserve">С1</w:t>
            </w:r>
          </w:p>
        </w:tc>
        <w:tc>
          <w:tcPr>
            <w:tcW w:w="1644" w:type="dxa"/>
          </w:tcPr>
          <w:p>
            <w:pPr>
              <w:pStyle w:val="0"/>
              <w:jc w:val="center"/>
            </w:pPr>
            <w:r>
              <w:rPr>
                <w:sz w:val="20"/>
              </w:rPr>
              <w:t xml:space="preserve">8</w:t>
            </w:r>
          </w:p>
        </w:tc>
        <w:tc>
          <w:tcPr>
            <w:tcW w:w="1247" w:type="dxa"/>
          </w:tcPr>
          <w:p>
            <w:pPr>
              <w:pStyle w:val="0"/>
              <w:jc w:val="center"/>
            </w:pPr>
            <w:r>
              <w:rPr>
                <w:sz w:val="20"/>
              </w:rPr>
              <w:t xml:space="preserve">10</w:t>
            </w:r>
          </w:p>
        </w:tc>
        <w:tc>
          <w:tcPr>
            <w:tcW w:w="1247" w:type="dxa"/>
          </w:tcPr>
          <w:p>
            <w:pPr>
              <w:pStyle w:val="0"/>
              <w:jc w:val="center"/>
            </w:pPr>
            <w:r>
              <w:rPr>
                <w:sz w:val="20"/>
              </w:rPr>
              <w:t xml:space="preserve">10</w:t>
            </w:r>
          </w:p>
        </w:tc>
        <w:tc>
          <w:tcPr>
            <w:tcW w:w="1304" w:type="dxa"/>
          </w:tcPr>
          <w:p>
            <w:pPr>
              <w:pStyle w:val="0"/>
              <w:jc w:val="center"/>
            </w:pPr>
            <w:r>
              <w:rPr>
                <w:sz w:val="20"/>
              </w:rPr>
              <w:t xml:space="preserve">12</w:t>
            </w:r>
          </w:p>
        </w:tc>
      </w:tr>
      <w:tr>
        <w:tc>
          <w:tcPr>
            <w:tcW w:w="2438" w:type="dxa"/>
          </w:tcPr>
          <w:p>
            <w:pPr>
              <w:pStyle w:val="0"/>
              <w:jc w:val="center"/>
            </w:pPr>
            <w:r>
              <w:rPr>
                <w:sz w:val="20"/>
              </w:rPr>
              <w:t xml:space="preserve">IV</w:t>
            </w:r>
          </w:p>
        </w:tc>
        <w:tc>
          <w:tcPr>
            <w:tcW w:w="2098" w:type="dxa"/>
          </w:tcPr>
          <w:p>
            <w:pPr>
              <w:pStyle w:val="0"/>
              <w:jc w:val="center"/>
            </w:pPr>
            <w:r>
              <w:rPr>
                <w:sz w:val="20"/>
              </w:rPr>
              <w:t xml:space="preserve">С0, С1</w:t>
            </w:r>
          </w:p>
        </w:tc>
        <w:tc>
          <w:tcPr>
            <w:tcW w:w="1644" w:type="dxa"/>
          </w:tcPr>
          <w:p>
            <w:pPr>
              <w:pStyle w:val="0"/>
              <w:jc w:val="center"/>
            </w:pPr>
            <w:r>
              <w:rPr>
                <w:sz w:val="20"/>
              </w:rPr>
              <w:t xml:space="preserve">8</w:t>
            </w:r>
          </w:p>
        </w:tc>
        <w:tc>
          <w:tcPr>
            <w:tcW w:w="1247" w:type="dxa"/>
          </w:tcPr>
          <w:p>
            <w:pPr>
              <w:pStyle w:val="0"/>
              <w:jc w:val="center"/>
            </w:pPr>
            <w:r>
              <w:rPr>
                <w:sz w:val="20"/>
              </w:rPr>
              <w:t xml:space="preserve">10</w:t>
            </w:r>
          </w:p>
        </w:tc>
        <w:tc>
          <w:tcPr>
            <w:tcW w:w="1247" w:type="dxa"/>
          </w:tcPr>
          <w:p>
            <w:pPr>
              <w:pStyle w:val="0"/>
              <w:jc w:val="center"/>
            </w:pPr>
            <w:r>
              <w:rPr>
                <w:sz w:val="20"/>
              </w:rPr>
              <w:t xml:space="preserve">10</w:t>
            </w:r>
          </w:p>
        </w:tc>
        <w:tc>
          <w:tcPr>
            <w:tcW w:w="1304" w:type="dxa"/>
          </w:tcPr>
          <w:p>
            <w:pPr>
              <w:pStyle w:val="0"/>
              <w:jc w:val="center"/>
            </w:pPr>
            <w:r>
              <w:rPr>
                <w:sz w:val="20"/>
              </w:rPr>
              <w:t xml:space="preserve">12</w:t>
            </w:r>
          </w:p>
        </w:tc>
      </w:tr>
      <w:tr>
        <w:tc>
          <w:tcPr>
            <w:tcW w:w="2438" w:type="dxa"/>
          </w:tcPr>
          <w:p>
            <w:pPr>
              <w:pStyle w:val="0"/>
              <w:jc w:val="center"/>
            </w:pPr>
            <w:r>
              <w:rPr>
                <w:sz w:val="20"/>
              </w:rPr>
              <w:t xml:space="preserve">IV, V</w:t>
            </w:r>
          </w:p>
        </w:tc>
        <w:tc>
          <w:tcPr>
            <w:tcW w:w="2098" w:type="dxa"/>
          </w:tcPr>
          <w:p>
            <w:pPr>
              <w:pStyle w:val="0"/>
              <w:jc w:val="center"/>
            </w:pPr>
            <w:r>
              <w:rPr>
                <w:sz w:val="20"/>
              </w:rPr>
              <w:t xml:space="preserve">С2, С3</w:t>
            </w:r>
          </w:p>
        </w:tc>
        <w:tc>
          <w:tcPr>
            <w:tcW w:w="1644" w:type="dxa"/>
          </w:tcPr>
          <w:p>
            <w:pPr>
              <w:pStyle w:val="0"/>
              <w:jc w:val="center"/>
            </w:pPr>
            <w:r>
              <w:rPr>
                <w:sz w:val="20"/>
              </w:rPr>
              <w:t xml:space="preserve">10</w:t>
            </w:r>
          </w:p>
        </w:tc>
        <w:tc>
          <w:tcPr>
            <w:tcW w:w="1247" w:type="dxa"/>
          </w:tcPr>
          <w:p>
            <w:pPr>
              <w:pStyle w:val="0"/>
              <w:jc w:val="center"/>
            </w:pPr>
            <w:r>
              <w:rPr>
                <w:sz w:val="20"/>
              </w:rPr>
              <w:t xml:space="preserve">12</w:t>
            </w:r>
          </w:p>
        </w:tc>
        <w:tc>
          <w:tcPr>
            <w:tcW w:w="1247" w:type="dxa"/>
          </w:tcPr>
          <w:p>
            <w:pPr>
              <w:pStyle w:val="0"/>
              <w:jc w:val="center"/>
            </w:pPr>
            <w:r>
              <w:rPr>
                <w:sz w:val="20"/>
              </w:rPr>
              <w:t xml:space="preserve">12</w:t>
            </w:r>
          </w:p>
        </w:tc>
        <w:tc>
          <w:tcPr>
            <w:tcW w:w="1304" w:type="dxa"/>
          </w:tcPr>
          <w:p>
            <w:pPr>
              <w:pStyle w:val="0"/>
              <w:jc w:val="center"/>
            </w:pPr>
            <w:r>
              <w:rPr>
                <w:sz w:val="20"/>
              </w:rPr>
              <w:t xml:space="preserve">15</w:t>
            </w:r>
          </w:p>
        </w:tc>
      </w:tr>
      <w:tr>
        <w:tc>
          <w:tcPr>
            <w:tcW w:w="2438" w:type="dxa"/>
          </w:tcPr>
          <w:p>
            <w:pPr>
              <w:pStyle w:val="0"/>
              <w:outlineLvl w:val="3"/>
              <w:jc w:val="center"/>
            </w:pPr>
            <w:r>
              <w:rPr>
                <w:sz w:val="20"/>
              </w:rPr>
              <w:t xml:space="preserve">Производственные и складские</w:t>
            </w:r>
          </w:p>
        </w:tc>
        <w:tc>
          <w:tcPr>
            <w:tcW w:w="2098" w:type="dxa"/>
          </w:tcPr>
          <w:p>
            <w:pPr>
              <w:pStyle w:val="0"/>
              <w:jc w:val="both"/>
            </w:pPr>
            <w:r>
              <w:rPr>
                <w:sz w:val="20"/>
              </w:rPr>
            </w:r>
          </w:p>
        </w:tc>
        <w:tc>
          <w:tcPr>
            <w:tcW w:w="1644" w:type="dxa"/>
          </w:tcPr>
          <w:p>
            <w:pPr>
              <w:pStyle w:val="0"/>
              <w:jc w:val="both"/>
            </w:pPr>
            <w:r>
              <w:rPr>
                <w:sz w:val="20"/>
              </w:rPr>
            </w:r>
          </w:p>
        </w:tc>
        <w:tc>
          <w:tcPr>
            <w:tcW w:w="1247" w:type="dxa"/>
          </w:tcPr>
          <w:p>
            <w:pPr>
              <w:pStyle w:val="0"/>
              <w:jc w:val="both"/>
            </w:pPr>
            <w:r>
              <w:rPr>
                <w:sz w:val="20"/>
              </w:rPr>
            </w:r>
          </w:p>
        </w:tc>
        <w:tc>
          <w:tcPr>
            <w:tcW w:w="1247" w:type="dxa"/>
          </w:tcPr>
          <w:p>
            <w:pPr>
              <w:pStyle w:val="0"/>
              <w:jc w:val="both"/>
            </w:pPr>
            <w:r>
              <w:rPr>
                <w:sz w:val="20"/>
              </w:rPr>
            </w:r>
          </w:p>
        </w:tc>
        <w:tc>
          <w:tcPr>
            <w:tcW w:w="1304" w:type="dxa"/>
          </w:tcPr>
          <w:p>
            <w:pPr>
              <w:pStyle w:val="0"/>
              <w:jc w:val="both"/>
            </w:pPr>
            <w:r>
              <w:rPr>
                <w:sz w:val="20"/>
              </w:rPr>
            </w:r>
          </w:p>
        </w:tc>
      </w:tr>
      <w:tr>
        <w:tc>
          <w:tcPr>
            <w:tcW w:w="2438" w:type="dxa"/>
          </w:tcPr>
          <w:p>
            <w:pPr>
              <w:pStyle w:val="0"/>
              <w:jc w:val="center"/>
            </w:pPr>
            <w:r>
              <w:rPr>
                <w:sz w:val="20"/>
              </w:rPr>
              <w:t xml:space="preserve">I, II, III</w:t>
            </w:r>
          </w:p>
        </w:tc>
        <w:tc>
          <w:tcPr>
            <w:tcW w:w="2098" w:type="dxa"/>
          </w:tcPr>
          <w:p>
            <w:pPr>
              <w:pStyle w:val="0"/>
              <w:jc w:val="center"/>
            </w:pPr>
            <w:r>
              <w:rPr>
                <w:sz w:val="20"/>
              </w:rPr>
              <w:t xml:space="preserve">С0</w:t>
            </w:r>
          </w:p>
        </w:tc>
        <w:tc>
          <w:tcPr>
            <w:tcW w:w="1644" w:type="dxa"/>
          </w:tcPr>
          <w:p>
            <w:pPr>
              <w:pStyle w:val="0"/>
              <w:jc w:val="center"/>
            </w:pPr>
            <w:r>
              <w:rPr>
                <w:sz w:val="20"/>
              </w:rPr>
              <w:t xml:space="preserve">10</w:t>
            </w:r>
          </w:p>
        </w:tc>
        <w:tc>
          <w:tcPr>
            <w:tcW w:w="1247" w:type="dxa"/>
          </w:tcPr>
          <w:p>
            <w:pPr>
              <w:pStyle w:val="0"/>
              <w:jc w:val="center"/>
            </w:pPr>
            <w:r>
              <w:rPr>
                <w:sz w:val="20"/>
              </w:rPr>
              <w:t xml:space="preserve">12</w:t>
            </w:r>
          </w:p>
        </w:tc>
        <w:tc>
          <w:tcPr>
            <w:tcW w:w="1247" w:type="dxa"/>
          </w:tcPr>
          <w:p>
            <w:pPr>
              <w:pStyle w:val="0"/>
              <w:jc w:val="center"/>
            </w:pPr>
            <w:r>
              <w:rPr>
                <w:sz w:val="20"/>
              </w:rPr>
              <w:t xml:space="preserve">12</w:t>
            </w:r>
          </w:p>
        </w:tc>
        <w:tc>
          <w:tcPr>
            <w:tcW w:w="1304" w:type="dxa"/>
          </w:tcPr>
          <w:p>
            <w:pPr>
              <w:pStyle w:val="0"/>
              <w:jc w:val="center"/>
            </w:pPr>
            <w:r>
              <w:rPr>
                <w:sz w:val="20"/>
              </w:rPr>
              <w:t xml:space="preserve">12</w:t>
            </w:r>
          </w:p>
        </w:tc>
      </w:tr>
      <w:tr>
        <w:tc>
          <w:tcPr>
            <w:tcW w:w="2438" w:type="dxa"/>
          </w:tcPr>
          <w:p>
            <w:pPr>
              <w:pStyle w:val="0"/>
              <w:jc w:val="center"/>
            </w:pPr>
            <w:r>
              <w:rPr>
                <w:sz w:val="20"/>
              </w:rPr>
              <w:t xml:space="preserve">II, III</w:t>
            </w:r>
          </w:p>
        </w:tc>
        <w:tc>
          <w:tcPr>
            <w:tcW w:w="2098" w:type="dxa"/>
          </w:tcPr>
          <w:p>
            <w:pPr>
              <w:pStyle w:val="0"/>
              <w:jc w:val="center"/>
            </w:pPr>
            <w:r>
              <w:rPr>
                <w:sz w:val="20"/>
              </w:rPr>
              <w:t xml:space="preserve">С1</w:t>
            </w:r>
          </w:p>
        </w:tc>
        <w:tc>
          <w:tcPr>
            <w:tcW w:w="1644" w:type="dxa"/>
          </w:tcPr>
          <w:p>
            <w:pPr>
              <w:pStyle w:val="0"/>
              <w:jc w:val="center"/>
            </w:pPr>
            <w:r>
              <w:rPr>
                <w:sz w:val="20"/>
              </w:rPr>
              <w:t xml:space="preserve">12</w:t>
            </w:r>
          </w:p>
        </w:tc>
        <w:tc>
          <w:tcPr>
            <w:tcW w:w="1247" w:type="dxa"/>
          </w:tcPr>
          <w:p>
            <w:pPr>
              <w:pStyle w:val="0"/>
              <w:jc w:val="center"/>
            </w:pPr>
            <w:r>
              <w:rPr>
                <w:sz w:val="20"/>
              </w:rPr>
              <w:t xml:space="preserve">12</w:t>
            </w:r>
          </w:p>
        </w:tc>
        <w:tc>
          <w:tcPr>
            <w:tcW w:w="1247" w:type="dxa"/>
          </w:tcPr>
          <w:p>
            <w:pPr>
              <w:pStyle w:val="0"/>
              <w:jc w:val="center"/>
            </w:pPr>
            <w:r>
              <w:rPr>
                <w:sz w:val="20"/>
              </w:rPr>
              <w:t xml:space="preserve">12</w:t>
            </w:r>
          </w:p>
        </w:tc>
        <w:tc>
          <w:tcPr>
            <w:tcW w:w="1304" w:type="dxa"/>
          </w:tcPr>
          <w:p>
            <w:pPr>
              <w:pStyle w:val="0"/>
              <w:jc w:val="center"/>
            </w:pPr>
            <w:r>
              <w:rPr>
                <w:sz w:val="20"/>
              </w:rPr>
              <w:t xml:space="preserve">12</w:t>
            </w:r>
          </w:p>
        </w:tc>
      </w:tr>
      <w:tr>
        <w:tc>
          <w:tcPr>
            <w:tcW w:w="2438" w:type="dxa"/>
          </w:tcPr>
          <w:p>
            <w:pPr>
              <w:pStyle w:val="0"/>
              <w:jc w:val="center"/>
            </w:pPr>
            <w:r>
              <w:rPr>
                <w:sz w:val="20"/>
              </w:rPr>
              <w:t xml:space="preserve">IV</w:t>
            </w:r>
          </w:p>
        </w:tc>
        <w:tc>
          <w:tcPr>
            <w:tcW w:w="2098" w:type="dxa"/>
          </w:tcPr>
          <w:p>
            <w:pPr>
              <w:pStyle w:val="0"/>
              <w:jc w:val="center"/>
            </w:pPr>
            <w:r>
              <w:rPr>
                <w:sz w:val="20"/>
              </w:rPr>
              <w:t xml:space="preserve">С0, С1</w:t>
            </w:r>
          </w:p>
        </w:tc>
        <w:tc>
          <w:tcPr>
            <w:tcW w:w="1644" w:type="dxa"/>
          </w:tcPr>
          <w:p>
            <w:pPr>
              <w:pStyle w:val="0"/>
              <w:jc w:val="center"/>
            </w:pPr>
            <w:r>
              <w:rPr>
                <w:sz w:val="20"/>
              </w:rPr>
              <w:t xml:space="preserve">12</w:t>
            </w:r>
          </w:p>
        </w:tc>
        <w:tc>
          <w:tcPr>
            <w:tcW w:w="1247" w:type="dxa"/>
          </w:tcPr>
          <w:p>
            <w:pPr>
              <w:pStyle w:val="0"/>
              <w:jc w:val="center"/>
            </w:pPr>
            <w:r>
              <w:rPr>
                <w:sz w:val="20"/>
              </w:rPr>
              <w:t xml:space="preserve">12</w:t>
            </w:r>
          </w:p>
        </w:tc>
        <w:tc>
          <w:tcPr>
            <w:tcW w:w="1247" w:type="dxa"/>
          </w:tcPr>
          <w:p>
            <w:pPr>
              <w:pStyle w:val="0"/>
              <w:jc w:val="center"/>
            </w:pPr>
            <w:r>
              <w:rPr>
                <w:sz w:val="20"/>
              </w:rPr>
              <w:t xml:space="preserve">12</w:t>
            </w:r>
          </w:p>
        </w:tc>
        <w:tc>
          <w:tcPr>
            <w:tcW w:w="1304" w:type="dxa"/>
          </w:tcPr>
          <w:p>
            <w:pPr>
              <w:pStyle w:val="0"/>
              <w:jc w:val="center"/>
            </w:pPr>
            <w:r>
              <w:rPr>
                <w:sz w:val="20"/>
              </w:rPr>
              <w:t xml:space="preserve">15</w:t>
            </w:r>
          </w:p>
        </w:tc>
      </w:tr>
      <w:tr>
        <w:tc>
          <w:tcPr>
            <w:tcW w:w="2438" w:type="dxa"/>
          </w:tcPr>
          <w:p>
            <w:pPr>
              <w:pStyle w:val="0"/>
              <w:jc w:val="center"/>
            </w:pPr>
            <w:r>
              <w:rPr>
                <w:sz w:val="20"/>
              </w:rPr>
              <w:t xml:space="preserve">IV, V</w:t>
            </w:r>
          </w:p>
        </w:tc>
        <w:tc>
          <w:tcPr>
            <w:tcW w:w="2098" w:type="dxa"/>
          </w:tcPr>
          <w:p>
            <w:pPr>
              <w:pStyle w:val="0"/>
              <w:jc w:val="center"/>
            </w:pPr>
            <w:r>
              <w:rPr>
                <w:sz w:val="20"/>
              </w:rPr>
              <w:t xml:space="preserve">С2, С3</w:t>
            </w:r>
          </w:p>
        </w:tc>
        <w:tc>
          <w:tcPr>
            <w:tcW w:w="1644" w:type="dxa"/>
          </w:tcPr>
          <w:p>
            <w:pPr>
              <w:pStyle w:val="0"/>
              <w:jc w:val="center"/>
            </w:pPr>
            <w:r>
              <w:rPr>
                <w:sz w:val="20"/>
              </w:rPr>
              <w:t xml:space="preserve">15</w:t>
            </w:r>
          </w:p>
        </w:tc>
        <w:tc>
          <w:tcPr>
            <w:tcW w:w="1247" w:type="dxa"/>
          </w:tcPr>
          <w:p>
            <w:pPr>
              <w:pStyle w:val="0"/>
              <w:jc w:val="center"/>
            </w:pPr>
            <w:r>
              <w:rPr>
                <w:sz w:val="20"/>
              </w:rPr>
              <w:t xml:space="preserve">15</w:t>
            </w:r>
          </w:p>
        </w:tc>
        <w:tc>
          <w:tcPr>
            <w:tcW w:w="1247" w:type="dxa"/>
          </w:tcPr>
          <w:p>
            <w:pPr>
              <w:pStyle w:val="0"/>
              <w:jc w:val="center"/>
            </w:pPr>
            <w:r>
              <w:rPr>
                <w:sz w:val="20"/>
              </w:rPr>
              <w:t xml:space="preserve">15</w:t>
            </w:r>
          </w:p>
        </w:tc>
        <w:tc>
          <w:tcPr>
            <w:tcW w:w="1304" w:type="dxa"/>
          </w:tcPr>
          <w:p>
            <w:pPr>
              <w:pStyle w:val="0"/>
              <w:jc w:val="center"/>
            </w:pPr>
            <w:r>
              <w:rPr>
                <w:sz w:val="20"/>
              </w:rPr>
              <w:t xml:space="preserve">18</w:t>
            </w:r>
          </w:p>
        </w:tc>
      </w:tr>
    </w:tbl>
    <w:p>
      <w:pPr>
        <w:pStyle w:val="0"/>
        <w:ind w:firstLine="540"/>
        <w:jc w:val="both"/>
      </w:pPr>
      <w:r>
        <w:rPr>
          <w:sz w:val="20"/>
        </w:rPr>
      </w:r>
    </w:p>
    <w:bookmarkStart w:id="286" w:name="P286"/>
    <w:bookmarkEnd w:id="286"/>
    <w:p>
      <w:pPr>
        <w:pStyle w:val="0"/>
        <w:ind w:firstLine="540"/>
        <w:jc w:val="both"/>
      </w:pPr>
      <w:r>
        <w:rPr>
          <w:sz w:val="20"/>
        </w:rPr>
        <w:t xml:space="preserve">4.4. Противопожарное расстояние между зданиями, сооружениями определяется как наименьшее расстояние в свету между наружными стенами или другими ограждающими конструкциями. При наличии конструктивных элементов из горючих материалов, выступающих за пределы указанных конструкций более чем на 1 м, расстояние следует принимать от указанных элементов.</w:t>
      </w:r>
    </w:p>
    <w:p>
      <w:pPr>
        <w:pStyle w:val="0"/>
        <w:jc w:val="both"/>
      </w:pPr>
      <w:r>
        <w:rPr>
          <w:sz w:val="20"/>
        </w:rPr>
        <w:t xml:space="preserve">(п. 4.4 в ред. </w:t>
      </w:r>
      <w:hyperlink w:history="0" r:id="rId117"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4.5. Противопожарные расстояния от глухих (без оконных проемов) стен жилых и общественных зданий, сооружений I - IV степеней огнестойкости, класса конструктивной пожарной опасности С0 и С1, с наружной отделкой, облицовкой (при наличии) из материалов с показателями пожарной опасности не ниже Г1 и наружным (водоизоляционным) слоем кровли из материалов не ниже Г1 или РП1 до других зданий, сооружений допускается уменьшать на 20% по отношению к значениям, указанным в </w:t>
      </w:r>
      <w:hyperlink w:history="0" w:anchor="P212" w:tooltip="Таблица 1">
        <w:r>
          <w:rPr>
            <w:sz w:val="20"/>
            <w:color w:val="0000ff"/>
          </w:rPr>
          <w:t xml:space="preserve">таблице 1</w:t>
        </w:r>
      </w:hyperlink>
      <w:r>
        <w:rPr>
          <w:sz w:val="20"/>
        </w:rPr>
        <w:t xml:space="preserve">.</w:t>
      </w:r>
    </w:p>
    <w:p>
      <w:pPr>
        <w:pStyle w:val="0"/>
        <w:jc w:val="both"/>
      </w:pPr>
      <w:r>
        <w:rPr>
          <w:sz w:val="20"/>
        </w:rPr>
        <w:t xml:space="preserve">(п. 4.5 в ред. </w:t>
      </w:r>
      <w:hyperlink w:history="0" r:id="rId118"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4.6. Противопожарные расстояния между зданиями, сооружениями I и II степеней огнестойкости класса конструктивной пожарной опасности С0 допускается уменьшать на 50% при оборудовании каждого из зданий и сооружений автоматическими установками пожаротушения.</w:t>
      </w:r>
    </w:p>
    <w:p>
      <w:pPr>
        <w:pStyle w:val="0"/>
        <w:spacing w:before="200" w:line-rule="auto"/>
        <w:ind w:firstLine="540"/>
        <w:jc w:val="both"/>
      </w:pPr>
      <w:r>
        <w:rPr>
          <w:sz w:val="20"/>
        </w:rPr>
        <w:t xml:space="preserve">4.7. В районах с сейсмичностью 9 и выше баллов противопожарные расстояния между жилыми зданиями, а также между жилыми и общественными зданиями IV степени огнестойкости класса конструктивной пожарной опасности С2, С3 и V степени огнестойкости следует увеличивать на 20%.</w:t>
      </w:r>
    </w:p>
    <w:p>
      <w:pPr>
        <w:pStyle w:val="0"/>
        <w:jc w:val="both"/>
      </w:pPr>
      <w:r>
        <w:rPr>
          <w:sz w:val="20"/>
        </w:rPr>
        <w:t xml:space="preserve">(в ред. </w:t>
      </w:r>
      <w:hyperlink w:history="0" r:id="rId119"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4.8. Противопожарные расстояния от зданий и сооружений до объектов защиты IV степени огнестойкости класса конструктивной пожарной опасности С2, С3 и V степени огнестойкости в климатических подрайонах IБ, IГ, IIА и IIБ, на береговой полосе Берингова пролива, Берингова и Охотского морей, Татарского пролива, на полуострове Камчатка, на острове Сахалин, на Курильских и Командорских островах шириной 100 км или до ближайшего горного хребта следует увеличивать на 25%.</w:t>
      </w:r>
    </w:p>
    <w:p>
      <w:pPr>
        <w:pStyle w:val="0"/>
        <w:jc w:val="both"/>
      </w:pPr>
      <w:r>
        <w:rPr>
          <w:sz w:val="20"/>
        </w:rPr>
        <w:t xml:space="preserve">(п. 4.8 в ред. </w:t>
      </w:r>
      <w:hyperlink w:history="0" r:id="rId120"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4.9. Противопожарные расстояния между жилыми зданиями IV степени огнестойкости класса конструктивной пожарной опасности С2, С3 и V степени огнестойкости в климатических подрайонах IА, IБ, IГ, IД и IIА следует увеличивать на 50%.</w:t>
      </w:r>
    </w:p>
    <w:p>
      <w:pPr>
        <w:pStyle w:val="0"/>
        <w:jc w:val="both"/>
      </w:pPr>
      <w:r>
        <w:rPr>
          <w:sz w:val="20"/>
        </w:rPr>
        <w:t xml:space="preserve">(в ред. </w:t>
      </w:r>
      <w:hyperlink w:history="0" r:id="rId121"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4.10. Для двухэтажных зданий, сооружений каркасно-щитовой конструкции V степени огнестойкости противопожарные расстояния следует увеличивать на 20%.</w:t>
      </w:r>
    </w:p>
    <w:p>
      <w:pPr>
        <w:pStyle w:val="0"/>
        <w:jc w:val="both"/>
      </w:pPr>
      <w:r>
        <w:rPr>
          <w:sz w:val="20"/>
        </w:rPr>
        <w:t xml:space="preserve">(п. 4.10 в ред. </w:t>
      </w:r>
      <w:hyperlink w:history="0" r:id="rId122"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bookmarkStart w:id="299" w:name="P299"/>
    <w:bookmarkEnd w:id="299"/>
    <w:p>
      <w:pPr>
        <w:pStyle w:val="0"/>
        <w:spacing w:before="200" w:line-rule="auto"/>
        <w:ind w:firstLine="540"/>
        <w:jc w:val="both"/>
      </w:pPr>
      <w:r>
        <w:rPr>
          <w:sz w:val="20"/>
        </w:rPr>
        <w:t xml:space="preserve">4.11. Противопожарные расстояния между жилыми, общественными зданиями и сооружениями не нормируются, если более высокая и широкая стена здания, сооружения (или специально возведенная отдельно стоящая стена), обращенная к соседнему объекту защиты, либо обе стены, обращенные друг к другу, отвечают требованиям </w:t>
      </w:r>
      <w:hyperlink w:history="0" r:id="rId123" w:tooltip="Приказ МЧС России от 21.11.2012 N 693 (ред. от 23.10.2013) &quot;Об утверждении свода правил &quot;Системы противопожарной защиты. Обеспечение огнестойкости объектов защиты&quot; (вместе с &quot;СП 2.13130.2012. Свод правил...&quot;) ------------ Утратил силу или отменен {КонсультантПлюс}">
        <w:r>
          <w:rPr>
            <w:sz w:val="20"/>
            <w:color w:val="0000ff"/>
          </w:rPr>
          <w:t xml:space="preserve">СП 2.13130</w:t>
        </w:r>
      </w:hyperlink>
      <w:r>
        <w:rPr>
          <w:sz w:val="20"/>
        </w:rPr>
        <w:t xml:space="preserve"> для противопожарных стен 1-го типа.</w:t>
      </w:r>
    </w:p>
    <w:p>
      <w:pPr>
        <w:pStyle w:val="0"/>
        <w:jc w:val="both"/>
      </w:pPr>
      <w:r>
        <w:rPr>
          <w:sz w:val="20"/>
        </w:rPr>
        <w:t xml:space="preserve">(п. 4.11 в ред. </w:t>
      </w:r>
      <w:hyperlink w:history="0" r:id="rId124"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4.12. Противопожарные разрывы между общественными зданиями, сооружениями допускается не предусматривать (при условии обеспечения требуемых проездов и подъездов для пожарной техники), если суммарная площадь застройки указанных объектов, включая незастроенную площадь между ними, не превышает допустимой площади этажа в пределах пожарного отсека, принимаемой в соответствии с </w:t>
      </w:r>
      <w:hyperlink w:history="0" r:id="rId125" w:tooltip="Приказ МЧС России от 21.11.2012 N 693 (ред. от 23.10.2013) &quot;Об утверждении свода правил &quot;Системы противопожарной защиты. Обеспечение огнестойкости объектов защиты&quot; (вместе с &quot;СП 2.13130.2012. Свод правил...&quot;) ------------ Утратил силу или отменен {КонсультантПлюс}">
        <w:r>
          <w:rPr>
            <w:sz w:val="20"/>
            <w:color w:val="0000ff"/>
          </w:rPr>
          <w:t xml:space="preserve">СП 2.13130</w:t>
        </w:r>
      </w:hyperlink>
      <w:r>
        <w:rPr>
          <w:sz w:val="20"/>
        </w:rPr>
        <w:t xml:space="preserve"> по общественному зданию с минимальным значением допустимой площади и наихудшими значениями степени огнестойкости и класса конструктивной пожарной опасности.</w:t>
      </w:r>
    </w:p>
    <w:p>
      <w:pPr>
        <w:pStyle w:val="0"/>
        <w:jc w:val="both"/>
      </w:pPr>
      <w:r>
        <w:rPr>
          <w:sz w:val="20"/>
        </w:rPr>
        <w:t xml:space="preserve">(в ред. </w:t>
      </w:r>
      <w:hyperlink w:history="0" r:id="rId126"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Требования настоящего пункта не распространяются на объекты классов функциональной пожарной опасности Ф.1.1 и Ф4.1, а также специализированные объекты торговли по продаже горючих газов (ГГ), легковоспламеняющихся и горючих жидкостей (ЛВЖ, ГЖ), а также веществ и материалов, способных взрываться и воспламеняться при взаимодействии с водой, кислородом воздуха или друг с другом.</w:t>
      </w:r>
    </w:p>
    <w:bookmarkStart w:id="304" w:name="P304"/>
    <w:bookmarkEnd w:id="304"/>
    <w:p>
      <w:pPr>
        <w:pStyle w:val="0"/>
        <w:spacing w:before="200" w:line-rule="auto"/>
        <w:ind w:firstLine="540"/>
        <w:jc w:val="both"/>
      </w:pPr>
      <w:r>
        <w:rPr>
          <w:sz w:val="20"/>
        </w:rPr>
        <w:t xml:space="preserve">4.13. Противопожарные расстояния (разрывы) между жилыми, садовыми домами (далее - домами), между домами и хозяйственными постройками в пределах одного земельного участка для индивидуального жилищного строительства, ведения личного подсобного хозяйства, а также приусадебного или садового земельного участка не нормируются (не устанавливаются).</w:t>
      </w:r>
    </w:p>
    <w:p>
      <w:pPr>
        <w:pStyle w:val="0"/>
        <w:spacing w:before="200" w:line-rule="auto"/>
        <w:ind w:firstLine="540"/>
        <w:jc w:val="both"/>
      </w:pPr>
      <w:r>
        <w:rPr>
          <w:sz w:val="20"/>
        </w:rPr>
        <w:t xml:space="preserve">Примечание. Бани, летние кухни, гаражи, мастерские и другие постройки с повышенной пожарной опасностью рекомендуется размещать от дома на противопожарных расстояниях или напротив глухих (без проемов) негорючих наружных стен.</w:t>
      </w:r>
    </w:p>
    <w:p>
      <w:pPr>
        <w:pStyle w:val="0"/>
        <w:spacing w:before="200" w:line-rule="auto"/>
        <w:ind w:firstLine="540"/>
        <w:jc w:val="both"/>
      </w:pPr>
      <w:r>
        <w:rPr>
          <w:sz w:val="20"/>
        </w:rPr>
        <w:t xml:space="preserve">Противопожарные расстояния от хозяйственных построек на одном земельном участке до домов на соседних земельных участках, а также между домами соседних участков следует принимать в соответствии с </w:t>
      </w:r>
      <w:hyperlink w:history="0" w:anchor="P212" w:tooltip="Таблица 1">
        <w:r>
          <w:rPr>
            <w:sz w:val="20"/>
            <w:color w:val="0000ff"/>
          </w:rPr>
          <w:t xml:space="preserve">таблицей 1</w:t>
        </w:r>
      </w:hyperlink>
      <w:r>
        <w:rPr>
          <w:sz w:val="20"/>
        </w:rPr>
        <w:t xml:space="preserve"> и с учетом требований </w:t>
      </w:r>
      <w:hyperlink w:history="0" w:anchor="P450" w:tooltip="5.3. Требования к объектам класса функциональной пожарной опасности Ф1.4 при организованной малоэтажной застройке">
        <w:r>
          <w:rPr>
            <w:sz w:val="20"/>
            <w:color w:val="0000ff"/>
          </w:rPr>
          <w:t xml:space="preserve">подраздела 5.3</w:t>
        </w:r>
      </w:hyperlink>
      <w:r>
        <w:rPr>
          <w:sz w:val="20"/>
        </w:rPr>
        <w:t xml:space="preserve"> при организованной малоэтажной застройке. Противопожарные расстояния между хозяйственными постройками на соседних участках не нормируются. Расстояния от домов и построек на участках до зданий и сооружений на территориях общего назначения должны приниматься в соответствии с </w:t>
      </w:r>
      <w:hyperlink w:history="0" w:anchor="P212" w:tooltip="Таблица 1">
        <w:r>
          <w:rPr>
            <w:sz w:val="20"/>
            <w:color w:val="0000ff"/>
          </w:rPr>
          <w:t xml:space="preserve">таблицей 1</w:t>
        </w:r>
      </w:hyperlink>
      <w:r>
        <w:rPr>
          <w:sz w:val="20"/>
        </w:rPr>
        <w:t xml:space="preserve">.</w:t>
      </w:r>
    </w:p>
    <w:p>
      <w:pPr>
        <w:pStyle w:val="0"/>
        <w:spacing w:before="200" w:line-rule="auto"/>
        <w:ind w:firstLine="540"/>
        <w:jc w:val="both"/>
      </w:pPr>
      <w:r>
        <w:rPr>
          <w:sz w:val="20"/>
        </w:rPr>
        <w:t xml:space="preserve">Для дома или хозяйственной постройки с неопределенной степенью огнестойкости и классом конструктивной пожарной опасности противопожарные расстояния следует определять по </w:t>
      </w:r>
      <w:hyperlink w:history="0" w:anchor="P212" w:tooltip="Таблица 1">
        <w:r>
          <w:rPr>
            <w:sz w:val="20"/>
            <w:color w:val="0000ff"/>
          </w:rPr>
          <w:t xml:space="preserve">таблице 1</w:t>
        </w:r>
      </w:hyperlink>
      <w:r>
        <w:rPr>
          <w:sz w:val="20"/>
        </w:rPr>
        <w:t xml:space="preserve"> как для здания V степени огнестойкости. Для дома или постройки с наружным (водоизоляционным) слоем кровли, карнизами и наружными поверхностями стен (или их обшивкой) из материалов НГ или Г1 противопожарные расстояния допускается определять как для здания IV степени огнестойкости, класса конструктивной пожарной опасности С1. Для домов, хозяйственных построек (гаражей, сараев и бань) с наружными стенами из негорючих материалов (камень, бетон, железобетон и т.п.) с отделкой, облицовкой (при наличии), а также карнизами и водоизоляционным слоем кровли из негорючих материалов или материалов группы горючести Г1 противопожарные расстояния допускается принимать как для зданий III степени огнестойкости, класса конструктивной пожарной опасности С0. При этом расстояние от глухих стен таких домов или хозяйственных построек (гаражей, сараев и бань) до домов (любых конструктивных решений) на соседних участках допускается сокращать до 6 м.</w:t>
      </w:r>
    </w:p>
    <w:p>
      <w:pPr>
        <w:pStyle w:val="0"/>
        <w:jc w:val="both"/>
      </w:pPr>
      <w:r>
        <w:rPr>
          <w:sz w:val="20"/>
        </w:rPr>
        <w:t xml:space="preserve">(в ред. </w:t>
      </w:r>
      <w:hyperlink w:history="0" r:id="rId127"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Противопожарные расстояния между домами, домами и хозяйственными постройками на соседних участках не нормируются при применении противопожарных стен в соответствии с </w:t>
      </w:r>
      <w:hyperlink w:history="0" w:anchor="P299" w:tooltip="4.11. Противопожарные расстояния между жилыми, общественными зданиями и сооружениями не нормируются, если более высокая и широкая стена здания, сооружения (или специально возведенная отдельно стоящая стена), обращенная к соседнему объекту защиты, либо обе стены, обращенные друг к другу, отвечают требованиям СП 2.13130 для противопожарных стен 1-го типа.">
        <w:r>
          <w:rPr>
            <w:sz w:val="20"/>
            <w:color w:val="0000ff"/>
          </w:rPr>
          <w:t xml:space="preserve">пунктом 4.11</w:t>
        </w:r>
      </w:hyperlink>
      <w:r>
        <w:rPr>
          <w:sz w:val="20"/>
        </w:rPr>
        <w:t xml:space="preserve">.</w:t>
      </w:r>
    </w:p>
    <w:p>
      <w:pPr>
        <w:pStyle w:val="0"/>
        <w:spacing w:before="200" w:line-rule="auto"/>
        <w:ind w:firstLine="540"/>
        <w:jc w:val="both"/>
      </w:pPr>
      <w:r>
        <w:rPr>
          <w:sz w:val="20"/>
        </w:rPr>
        <w:t xml:space="preserve">Возведение домов, хозяйственных построек на смежных земельных участках допускается без противопожарных разрывов по взаимному согласию собственников (домовладельцев). При блокировании жилых домов соседних участков следует учитывать требования, предъявляемые к устройству противопожарных преград между жилыми блоками зданий класса Ф1.4.</w:t>
      </w:r>
    </w:p>
    <w:p>
      <w:pPr>
        <w:pStyle w:val="0"/>
        <w:spacing w:before="200" w:line-rule="auto"/>
        <w:ind w:firstLine="540"/>
        <w:jc w:val="both"/>
      </w:pPr>
      <w:r>
        <w:rPr>
          <w:sz w:val="20"/>
        </w:rPr>
        <w:t xml:space="preserve">На садовых земельных участках малых размеров, в случаях группирования (блокирования) без противопожарных разрывов садовых домов на двух соседних участках при однорядной застройке и на четырех соседних участках при двухрядной застройке, противопожарные расстояния по </w:t>
      </w:r>
      <w:hyperlink w:history="0" w:anchor="P212" w:tooltip="Таблица 1">
        <w:r>
          <w:rPr>
            <w:sz w:val="20"/>
            <w:color w:val="0000ff"/>
          </w:rPr>
          <w:t xml:space="preserve">таблице 1</w:t>
        </w:r>
      </w:hyperlink>
      <w:r>
        <w:rPr>
          <w:sz w:val="20"/>
        </w:rPr>
        <w:t xml:space="preserve"> следует соблюдать между крайними домами соседних групп (блоков).</w:t>
      </w:r>
    </w:p>
    <w:p>
      <w:pPr>
        <w:pStyle w:val="0"/>
        <w:spacing w:before="200" w:line-rule="auto"/>
        <w:ind w:firstLine="540"/>
        <w:jc w:val="both"/>
      </w:pPr>
      <w:r>
        <w:rPr>
          <w:sz w:val="20"/>
        </w:rPr>
        <w:t xml:space="preserve">Для домов, хозяйственных построек, размещенных без противопожарных разрывов, суммарная площадь застройки, включая незастроенную площадь между ними, не должна превышать значения допустимой площади этажа в пределах пожарного отсека жилого здания по </w:t>
      </w:r>
      <w:hyperlink w:history="0" r:id="rId128" w:tooltip="Приказ МЧС России от 21.11.2012 N 693 (ред. от 23.10.2013) &quot;Об утверждении свода правил &quot;Системы противопожарной защиты. Обеспечение огнестойкости объектов защиты&quot; (вместе с &quot;СП 2.13130.2012. Свод правил...&quot;) ------------ Утратил силу или отменен {КонсультантПлюс}">
        <w:r>
          <w:rPr>
            <w:sz w:val="20"/>
            <w:color w:val="0000ff"/>
          </w:rPr>
          <w:t xml:space="preserve">СП 2.13130</w:t>
        </w:r>
      </w:hyperlink>
      <w:r>
        <w:rPr>
          <w:sz w:val="20"/>
        </w:rPr>
        <w:t xml:space="preserve">, исходя из наихудших значений степени огнестойкости и класса конструктивной пожарной опасности дома или постройки.</w:t>
      </w:r>
    </w:p>
    <w:p>
      <w:pPr>
        <w:pStyle w:val="0"/>
        <w:jc w:val="both"/>
      </w:pPr>
      <w:r>
        <w:rPr>
          <w:sz w:val="20"/>
        </w:rPr>
      </w:r>
    </w:p>
    <w:p>
      <w:pPr>
        <w:pStyle w:val="0"/>
        <w:jc w:val="both"/>
      </w:pPr>
      <w:r>
        <w:rPr>
          <w:sz w:val="20"/>
        </w:rPr>
        <w:t xml:space="preserve">(п. 4.13 в ред. </w:t>
      </w:r>
      <w:hyperlink w:history="0" r:id="rId129"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4.14. Противопожарные расстояния от зданий, сооружений на территориях городских населенных пунктов до границ лесных насаждений в лесах хвойных или смешанных пород должны составлять не менее 50 м, лиственных пород - не менее 30 м.</w:t>
      </w:r>
    </w:p>
    <w:p>
      <w:pPr>
        <w:pStyle w:val="0"/>
        <w:spacing w:before="200" w:line-rule="auto"/>
        <w:ind w:firstLine="540"/>
        <w:jc w:val="both"/>
      </w:pPr>
      <w:r>
        <w:rPr>
          <w:sz w:val="20"/>
        </w:rPr>
        <w:t xml:space="preserve">Примечание. Указанные расстояния определяются как наименьшее расстояние от наружных конструкций зданий, сооружений до границы лесного массива. Границы лесных насаждений на землях различных категорий устанавливаются органами государственной власти Российской Федерации в соответствии с действующим законодательством.</w:t>
      </w:r>
    </w:p>
    <w:p>
      <w:pPr>
        <w:pStyle w:val="0"/>
        <w:spacing w:before="200" w:line-rule="auto"/>
        <w:ind w:firstLine="540"/>
        <w:jc w:val="both"/>
      </w:pPr>
      <w:r>
        <w:rPr>
          <w:sz w:val="20"/>
        </w:rPr>
        <w:t xml:space="preserve">Расстояния от зданий и сооружений I - IV степеней огнестойкости, класса конструктивной пожарной опасности С0 и С1 до лесных насаждений хвойных (смешанных) пород допускается уменьшать до 30 м, при условии, что наружные поверхности обращенных к лесу стен, в том числе отделка, облицовка (при наличии) выполнены из материалов группы горючести не ниже Г1. В качестве наружного (водоизоляционного) слоя кровли в пределах 50 м от леса должны применяться материалы не ниже Г1 или РП1.</w:t>
      </w:r>
    </w:p>
    <w:p>
      <w:pPr>
        <w:pStyle w:val="0"/>
        <w:spacing w:before="200" w:line-rule="auto"/>
        <w:ind w:firstLine="540"/>
        <w:jc w:val="both"/>
      </w:pPr>
      <w:r>
        <w:rPr>
          <w:sz w:val="20"/>
        </w:rPr>
        <w:t xml:space="preserve">Противопожарные расстояния до границ лесных насаждений от зданий, сооружений городских населенных пунктов в зонах индивидуальной и малоэтажной жилой застройки, от зданий и сооружений сельских населенных пунктов, а также от жилых домов на приусадебных или садовых земельных участках должны составлять не менее 30 м. Указанные расстояния допускается уменьшать до 15 м, если примыкающая к лесу застройка (в пределах 30 м) выполнена с наружными стенами, включая отделку, облицовку (при наличии), а также кровлей из материалов группы горючести не ниже Г1 или распространению пламени РП1. Расстояния до границ лесных насаждений от садовых домов и хозяйственных построек (гаражей, сараев и бань) должны составлять не менее 15 м.</w:t>
      </w:r>
    </w:p>
    <w:p>
      <w:pPr>
        <w:pStyle w:val="0"/>
        <w:jc w:val="both"/>
      </w:pPr>
      <w:r>
        <w:rPr>
          <w:sz w:val="20"/>
        </w:rPr>
        <w:t xml:space="preserve">(в ред. </w:t>
      </w:r>
      <w:hyperlink w:history="0" r:id="rId130"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При определении противопожарных расстояний до лесных насаждений от объектов производственного назначения, автозаправочных станций, энергообъектов и объектов нефтегазовой индустрии, объектов транспортной инфраструктуры и линейных объектов, особо опасных, технически сложных объектов, а также объектов, размещаемых в лесах, следует руководствоваться требованиями </w:t>
      </w:r>
      <w:hyperlink w:history="0" w:anchor="P567" w:tooltip="6. Требования к объектам класса функциональной пожарной опасности Ф5">
        <w:r>
          <w:rPr>
            <w:sz w:val="20"/>
            <w:color w:val="0000ff"/>
          </w:rPr>
          <w:t xml:space="preserve">раздела 6</w:t>
        </w:r>
      </w:hyperlink>
      <w:r>
        <w:rPr>
          <w:sz w:val="20"/>
        </w:rPr>
        <w:t xml:space="preserve">, </w:t>
      </w:r>
      <w:hyperlink w:history="0" w:anchor="P4427" w:tooltip="[1]        ПУЭ        &quot;Правила устройства электроустановок&quot;, издание 6 и 7.">
        <w:r>
          <w:rPr>
            <w:sz w:val="20"/>
            <w:color w:val="0000ff"/>
          </w:rPr>
          <w:t xml:space="preserve">[1]</w:t>
        </w:r>
      </w:hyperlink>
      <w:r>
        <w:rPr>
          <w:sz w:val="20"/>
        </w:rPr>
        <w:t xml:space="preserve">, </w:t>
      </w:r>
      <w:hyperlink w:history="0" w:anchor="P4428" w:tooltip="[2] Федеральный закон от 22 июля 2008 г. N 123-ФЗ &quot;Технический регламент о требованиях пожарной безопасности&quot;.">
        <w:r>
          <w:rPr>
            <w:sz w:val="20"/>
            <w:color w:val="0000ff"/>
          </w:rPr>
          <w:t xml:space="preserve">[2]</w:t>
        </w:r>
      </w:hyperlink>
      <w:r>
        <w:rPr>
          <w:sz w:val="20"/>
        </w:rPr>
        <w:t xml:space="preserve">, </w:t>
      </w:r>
      <w:hyperlink w:history="0" r:id="rId131" w:tooltip="Приказ МЧС России от 26.12.2013 N 837 (ред. от 09.03.2017) &quot;Об утверждении свода правил &quot;Склады нефти и нефтепродуктов. Требования пожарной безопасности&quot; (вместе с &quot;СП 155.13130.2014. Свод правил...&quot;) {КонсультантПлюс}">
        <w:r>
          <w:rPr>
            <w:sz w:val="20"/>
            <w:color w:val="0000ff"/>
          </w:rPr>
          <w:t xml:space="preserve">СП 155.13130</w:t>
        </w:r>
      </w:hyperlink>
      <w:r>
        <w:rPr>
          <w:sz w:val="20"/>
        </w:rPr>
        <w:t xml:space="preserve"> и других нормативных документов, содержащих требования пожарной безопасности.</w:t>
      </w:r>
    </w:p>
    <w:p>
      <w:pPr>
        <w:pStyle w:val="0"/>
        <w:spacing w:before="200" w:line-rule="auto"/>
        <w:ind w:firstLine="540"/>
        <w:jc w:val="both"/>
      </w:pPr>
      <w:r>
        <w:rPr>
          <w:sz w:val="20"/>
        </w:rPr>
        <w:t xml:space="preserve">Противопожарные расстояния до лесных насаждений от некапитальных, временных сооружений (построек) должны составлять не менее 15 м.</w:t>
      </w:r>
    </w:p>
    <w:p>
      <w:pPr>
        <w:pStyle w:val="0"/>
        <w:spacing w:before="200" w:line-rule="auto"/>
        <w:ind w:firstLine="540"/>
        <w:jc w:val="both"/>
      </w:pPr>
      <w:r>
        <w:rPr>
          <w:sz w:val="20"/>
        </w:rPr>
        <w:t xml:space="preserve">Сокращение противопожарных расстояний допускается при условии разработки дополнительных противопожарных мероприятий, обеспечивающих ограничение распространения пожара.</w:t>
      </w:r>
    </w:p>
    <w:p>
      <w:pPr>
        <w:pStyle w:val="0"/>
        <w:jc w:val="both"/>
      </w:pPr>
      <w:r>
        <w:rPr>
          <w:sz w:val="20"/>
        </w:rPr>
        <w:t xml:space="preserve">(абзац введен </w:t>
      </w:r>
      <w:hyperlink w:history="0" r:id="rId132"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Приказом</w:t>
        </w:r>
      </w:hyperlink>
      <w:r>
        <w:rPr>
          <w:sz w:val="20"/>
        </w:rPr>
        <w:t xml:space="preserve"> МЧС России от 15.06.2022 N 610)</w:t>
      </w:r>
    </w:p>
    <w:p>
      <w:pPr>
        <w:pStyle w:val="0"/>
        <w:spacing w:before="200" w:line-rule="auto"/>
        <w:ind w:firstLine="540"/>
        <w:jc w:val="both"/>
      </w:pPr>
      <w:r>
        <w:rPr>
          <w:sz w:val="20"/>
        </w:rPr>
        <w:t xml:space="preserve">При устройстве противопожарных расстояний до границ лесных насаждений от зданий, сооружений населенных пунктов с различными видами застройки или при объединении границ городских и сельских населенных пунктов, а также в других случаях смешанного использования территорий следует руководствоваться видом застройки, непосредственно примыкающей к лесу.</w:t>
      </w:r>
    </w:p>
    <w:p>
      <w:pPr>
        <w:pStyle w:val="0"/>
        <w:jc w:val="both"/>
      </w:pPr>
      <w:r>
        <w:rPr>
          <w:sz w:val="20"/>
        </w:rPr>
        <w:t xml:space="preserve">(абзац введен </w:t>
      </w:r>
      <w:hyperlink w:history="0" r:id="rId133"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Приказом</w:t>
        </w:r>
      </w:hyperlink>
      <w:r>
        <w:rPr>
          <w:sz w:val="20"/>
        </w:rPr>
        <w:t xml:space="preserve"> МЧС России от 15.06.2022 N 610)</w:t>
      </w:r>
    </w:p>
    <w:p>
      <w:pPr>
        <w:pStyle w:val="0"/>
        <w:spacing w:before="200" w:line-rule="auto"/>
        <w:ind w:firstLine="540"/>
        <w:jc w:val="both"/>
      </w:pPr>
      <w:r>
        <w:rPr>
          <w:sz w:val="20"/>
        </w:rPr>
        <w:t xml:space="preserve">Противопожарные расстояния от зданий, сооружений до лесных и других древесно-кустарниковых насаждений на землях населенных пунктов (городских лесов, парков, скверов, аллей, садов и т.п.) не нормируются.</w:t>
      </w:r>
    </w:p>
    <w:p>
      <w:pPr>
        <w:pStyle w:val="0"/>
        <w:jc w:val="both"/>
      </w:pPr>
      <w:r>
        <w:rPr>
          <w:sz w:val="20"/>
        </w:rPr>
        <w:t xml:space="preserve">(абзац введен </w:t>
      </w:r>
      <w:hyperlink w:history="0" r:id="rId134"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Приказом</w:t>
        </w:r>
      </w:hyperlink>
      <w:r>
        <w:rPr>
          <w:sz w:val="20"/>
        </w:rPr>
        <w:t xml:space="preserve"> МЧС России от 15.06.2022 N 610)</w:t>
      </w:r>
    </w:p>
    <w:p>
      <w:pPr>
        <w:pStyle w:val="0"/>
        <w:jc w:val="both"/>
      </w:pPr>
      <w:r>
        <w:rPr>
          <w:sz w:val="20"/>
        </w:rPr>
      </w:r>
    </w:p>
    <w:p>
      <w:pPr>
        <w:pStyle w:val="0"/>
        <w:jc w:val="both"/>
      </w:pPr>
      <w:r>
        <w:rPr>
          <w:sz w:val="20"/>
        </w:rPr>
        <w:t xml:space="preserve">(п. 4.14 в ред. </w:t>
      </w:r>
      <w:hyperlink w:history="0" r:id="rId135"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4.15. Противопожарные расстояния от жилых и общественных зданий, сооружений до некапитальных сооружений (построек) следует принимать в зависимости от их степени огнестойкости и класса функциональной пожарной опасности по </w:t>
      </w:r>
      <w:hyperlink w:history="0" w:anchor="P212" w:tooltip="Таблица 1">
        <w:r>
          <w:rPr>
            <w:sz w:val="20"/>
            <w:color w:val="0000ff"/>
          </w:rPr>
          <w:t xml:space="preserve">таблице 1</w:t>
        </w:r>
      </w:hyperlink>
      <w:r>
        <w:rPr>
          <w:sz w:val="20"/>
        </w:rPr>
        <w:t xml:space="preserve">. Расстояния до указанных сооружений (построек) с неопределенными пожарно-техническими характеристиками принимаются как до зданий V степени огнестойкости. Расстояния до временных строений (мобильные сборно/разборные сооружения, ангары и постройки для осуществления строительства, реконструкции или ремонта и т.п.) должны составлять не менее 15 м.</w:t>
      </w:r>
    </w:p>
    <w:p>
      <w:pPr>
        <w:pStyle w:val="0"/>
        <w:spacing w:before="200" w:line-rule="auto"/>
        <w:ind w:firstLine="540"/>
        <w:jc w:val="both"/>
      </w:pPr>
      <w:r>
        <w:rPr>
          <w:sz w:val="20"/>
        </w:rPr>
        <w:t xml:space="preserve">Расстояния от жилых и общественных зданий, сооружений до некапитальных, временных сооружений (построек) не нормируется при применении противопожарных стен в соответствии с </w:t>
      </w:r>
      <w:hyperlink w:history="0" w:anchor="P299" w:tooltip="4.11. Противопожарные расстояния между жилыми, общественными зданиями и сооружениями не нормируются, если более высокая и широкая стена здания, сооружения (или специально возведенная отдельно стоящая стена), обращенная к соседнему объекту защиты, либо обе стены, обращенные друг к другу, отвечают требованиям СП 2.13130 для противопожарных стен 1-го типа.">
        <w:r>
          <w:rPr>
            <w:sz w:val="20"/>
            <w:color w:val="0000ff"/>
          </w:rPr>
          <w:t xml:space="preserve">пунктом 4.11</w:t>
        </w:r>
      </w:hyperlink>
      <w:r>
        <w:rPr>
          <w:sz w:val="20"/>
        </w:rPr>
        <w:t xml:space="preserve">.</w:t>
      </w:r>
    </w:p>
    <w:p>
      <w:pPr>
        <w:pStyle w:val="0"/>
        <w:spacing w:before="200" w:line-rule="auto"/>
        <w:ind w:firstLine="540"/>
        <w:jc w:val="both"/>
      </w:pPr>
      <w:r>
        <w:rPr>
          <w:sz w:val="20"/>
        </w:rPr>
        <w:t xml:space="preserve">Противопожарные расстояния между указанными некапитальными, временными сооружениями (постройками) не нормируются, если их суммарная площадь застройки (размещения) не превышает 800 м</w:t>
      </w:r>
      <w:r>
        <w:rPr>
          <w:sz w:val="20"/>
          <w:vertAlign w:val="superscript"/>
        </w:rPr>
        <w:t xml:space="preserve">2</w:t>
      </w:r>
      <w:r>
        <w:rPr>
          <w:sz w:val="20"/>
        </w:rPr>
        <w:t xml:space="preserve">. Противопожарные расстояния от такой группы до других подобных сооружений (построек) или групп должны составлять не менее 15 м.</w:t>
      </w:r>
    </w:p>
    <w:p>
      <w:pPr>
        <w:pStyle w:val="0"/>
        <w:spacing w:before="200" w:line-rule="auto"/>
        <w:ind w:firstLine="540"/>
        <w:jc w:val="both"/>
      </w:pPr>
      <w:r>
        <w:rPr>
          <w:sz w:val="20"/>
        </w:rPr>
        <w:t xml:space="preserve">При размещении некапитальных, временных сооружений (построек) и площадок должно соблюдаться, в том числе условие обеспечения требуемых проездов и подъездов для пожарной техники к объектам защиты.</w:t>
      </w:r>
    </w:p>
    <w:p>
      <w:pPr>
        <w:pStyle w:val="0"/>
        <w:spacing w:before="200" w:line-rule="auto"/>
        <w:ind w:firstLine="540"/>
        <w:jc w:val="both"/>
      </w:pPr>
      <w:r>
        <w:rPr>
          <w:sz w:val="20"/>
        </w:rPr>
        <w:t xml:space="preserve">Противопожарные расстояния от жилых и общественных зданий, сооружений до открытых площадок для стоянки автомобилей с допустимой максимальной массой менее 3,5 т не нормируются. Противопожарные расстояния от границ организованных открытых площадок для стоянки автомобилей с допустимой максимальной массой свыше 3,5 т до зданий, сооружений I - IV степеней огнестойкости классов конструктивной пожарной опасности С0 должны приниматься не менее 10 м. Расстояния со стороны стен без проемов не нормируются. Расстояния до зданий, сооружений других степеней огнестойкости и классов конструктивной пожарной опасности должны составлять не менее 15 м. Расстояния до зданий, сооружений со стороны противопожарных стен 1-го и 2-го типов не нормируются.</w:t>
      </w:r>
    </w:p>
    <w:p>
      <w:pPr>
        <w:pStyle w:val="0"/>
        <w:jc w:val="both"/>
      </w:pPr>
      <w:r>
        <w:rPr>
          <w:sz w:val="20"/>
        </w:rPr>
        <w:t xml:space="preserve">(абзац введен </w:t>
      </w:r>
      <w:hyperlink w:history="0" r:id="rId136"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Приказом</w:t>
        </w:r>
      </w:hyperlink>
      <w:r>
        <w:rPr>
          <w:sz w:val="20"/>
        </w:rPr>
        <w:t xml:space="preserve"> МЧС России от 15.06.2022 N 610)</w:t>
      </w:r>
    </w:p>
    <w:p>
      <w:pPr>
        <w:pStyle w:val="0"/>
        <w:spacing w:before="200" w:line-rule="auto"/>
        <w:ind w:firstLine="540"/>
        <w:jc w:val="both"/>
      </w:pPr>
      <w:r>
        <w:rPr>
          <w:sz w:val="20"/>
        </w:rPr>
        <w:t xml:space="preserve">Противопожарные расстояния от открытых площадок для стоянки автомобилей до производственных и складских зданий должны приниматься по нормативам для территорий производственных объектов в соответствии с </w:t>
      </w:r>
      <w:hyperlink w:history="0" w:anchor="P570" w:tooltip="6.1. Общие требования к объектам класса функциональной пожарной опасности Ф5">
        <w:r>
          <w:rPr>
            <w:sz w:val="20"/>
            <w:color w:val="0000ff"/>
          </w:rPr>
          <w:t xml:space="preserve">разделом 6.1</w:t>
        </w:r>
      </w:hyperlink>
      <w:r>
        <w:rPr>
          <w:sz w:val="20"/>
        </w:rPr>
        <w:t xml:space="preserve">.</w:t>
      </w:r>
    </w:p>
    <w:p>
      <w:pPr>
        <w:pStyle w:val="0"/>
        <w:jc w:val="both"/>
      </w:pPr>
      <w:r>
        <w:rPr>
          <w:sz w:val="20"/>
        </w:rPr>
        <w:t xml:space="preserve">(абзац введен </w:t>
      </w:r>
      <w:hyperlink w:history="0" r:id="rId137"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Приказом</w:t>
        </w:r>
      </w:hyperlink>
      <w:r>
        <w:rPr>
          <w:sz w:val="20"/>
        </w:rPr>
        <w:t xml:space="preserve"> МЧС России от 15.06.2022 N 610)</w:t>
      </w:r>
    </w:p>
    <w:p>
      <w:pPr>
        <w:pStyle w:val="0"/>
        <w:jc w:val="both"/>
      </w:pPr>
      <w:r>
        <w:rPr>
          <w:sz w:val="20"/>
        </w:rPr>
        <w:t xml:space="preserve">(п. 4.15 в ред. </w:t>
      </w:r>
      <w:hyperlink w:history="0" r:id="rId138"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bookmarkStart w:id="339" w:name="P339"/>
    <w:bookmarkEnd w:id="339"/>
    <w:p>
      <w:pPr>
        <w:pStyle w:val="0"/>
        <w:spacing w:before="200" w:line-rule="auto"/>
        <w:ind w:firstLine="540"/>
        <w:jc w:val="both"/>
      </w:pPr>
      <w:r>
        <w:rPr>
          <w:sz w:val="20"/>
        </w:rPr>
        <w:t xml:space="preserve">4.16. В подвальных и цокольных этажах зданий всех классов функциональной пожарной опасности не допускается размещение жилых помещений, а также производственных и складских помещений категорий А и Б по взрывопожарной и пожарной опасности. При размещении помещений категорий А и Б на объектах производственного и складского назначения следует руководствоваться требованиями </w:t>
      </w:r>
      <w:hyperlink w:history="0" w:anchor="P567" w:tooltip="6. Требования к объектам класса функциональной пожарной опасности Ф5">
        <w:r>
          <w:rPr>
            <w:sz w:val="20"/>
            <w:color w:val="0000ff"/>
          </w:rPr>
          <w:t xml:space="preserve">раздела 6</w:t>
        </w:r>
      </w:hyperlink>
      <w:r>
        <w:rPr>
          <w:sz w:val="20"/>
        </w:rPr>
        <w:t xml:space="preserve">.</w:t>
      </w:r>
    </w:p>
    <w:p>
      <w:pPr>
        <w:pStyle w:val="0"/>
        <w:jc w:val="both"/>
      </w:pPr>
      <w:r>
        <w:rPr>
          <w:sz w:val="20"/>
        </w:rPr>
        <w:t xml:space="preserve">(в ред. Приказов МЧС России от 14.02.2020 </w:t>
      </w:r>
      <w:hyperlink w:history="0" r:id="rId139"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N 89</w:t>
        </w:r>
      </w:hyperlink>
      <w:r>
        <w:rPr>
          <w:sz w:val="20"/>
        </w:rPr>
        <w:t xml:space="preserve">, от 15.06.2022 </w:t>
      </w:r>
      <w:hyperlink w:history="0" r:id="rId140"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N 610</w:t>
        </w:r>
      </w:hyperlink>
      <w:r>
        <w:rPr>
          <w:sz w:val="20"/>
        </w:rPr>
        <w:t xml:space="preserve">)</w:t>
      </w:r>
    </w:p>
    <w:p>
      <w:pPr>
        <w:pStyle w:val="0"/>
        <w:spacing w:before="200" w:line-rule="auto"/>
        <w:ind w:firstLine="540"/>
        <w:jc w:val="both"/>
      </w:pPr>
      <w:r>
        <w:rPr>
          <w:sz w:val="20"/>
        </w:rPr>
        <w:t xml:space="preserve">4.17. Утратил силу. - </w:t>
      </w:r>
      <w:hyperlink w:history="0" r:id="rId141"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w:t>
        </w:r>
      </w:hyperlink>
      <w:r>
        <w:rPr>
          <w:sz w:val="20"/>
        </w:rPr>
        <w:t xml:space="preserve"> МЧС России от 14.02.2020 N 89.</w:t>
      </w:r>
    </w:p>
    <w:p>
      <w:pPr>
        <w:pStyle w:val="0"/>
        <w:spacing w:before="200" w:line-rule="auto"/>
        <w:ind w:firstLine="540"/>
        <w:jc w:val="both"/>
      </w:pPr>
      <w:r>
        <w:rPr>
          <w:sz w:val="20"/>
        </w:rPr>
        <w:t xml:space="preserve">4.18. В зданиях, сооружениях, пожарных отсеках всех классов функциональной пожарной опасности по условиям технологии допускается предусматривать отдельные лестницы для сообщения между подвальным этажом и цокольным или первым этажом. Указанные лестницы должны ограждаться противопожарными перегородками 1-го типа, в зданиях IV степени огнестойкости - противопожарными перегородками 2-го типа, а при размещении в объеме эвакуационных лестничных клеток отделяться от эвакуационной части лестничной клетки противопожарной перегородкой 1-го типа без проемов. На входе (либо выходе) в указанную лестницу следует предусматривать тамбур-шлюз с подачей воздуха при пожаре. Вместо указанного тамбур-шлюза допускается устройство противопожарной двери:</w:t>
      </w:r>
    </w:p>
    <w:p>
      <w:pPr>
        <w:pStyle w:val="0"/>
        <w:spacing w:before="200" w:line-rule="auto"/>
        <w:ind w:firstLine="540"/>
        <w:jc w:val="both"/>
      </w:pPr>
      <w:r>
        <w:rPr>
          <w:sz w:val="20"/>
        </w:rPr>
        <w:t xml:space="preserve">- в зданиях класса функциональной пожарной опасности Ф1.4;</w:t>
      </w:r>
    </w:p>
    <w:p>
      <w:pPr>
        <w:pStyle w:val="0"/>
        <w:spacing w:before="200" w:line-rule="auto"/>
        <w:ind w:firstLine="540"/>
        <w:jc w:val="both"/>
      </w:pPr>
      <w:r>
        <w:rPr>
          <w:sz w:val="20"/>
        </w:rPr>
        <w:t xml:space="preserve">- при размещении в подвале только инженерно-технических и других помещений, оборудование которых автоматическими установками пожарной сигнализации и пожаротушения нормативными документами по пожарной безопасности не требуется;</w:t>
      </w:r>
    </w:p>
    <w:p>
      <w:pPr>
        <w:pStyle w:val="0"/>
        <w:spacing w:before="200" w:line-rule="auto"/>
        <w:ind w:firstLine="540"/>
        <w:jc w:val="both"/>
      </w:pPr>
      <w:r>
        <w:rPr>
          <w:sz w:val="20"/>
        </w:rPr>
        <w:t xml:space="preserve">- при размещении в подвале помещений производственного и складского назначения только категорий В4 и Д по взрывопожарной и пожарной опасности.</w:t>
      </w:r>
    </w:p>
    <w:p>
      <w:pPr>
        <w:pStyle w:val="0"/>
        <w:spacing w:before="200" w:line-rule="auto"/>
        <w:ind w:firstLine="540"/>
        <w:jc w:val="both"/>
      </w:pPr>
      <w:r>
        <w:rPr>
          <w:sz w:val="20"/>
        </w:rPr>
        <w:t xml:space="preserve">В зданиях класса функциональной пожарной опасности Ф5 вышеуказанных ограждений лестниц (кроме ограждения от эвакуационной части лестничной клетки) допускается не предусматривать при условии, что она ведет из подвального этажа с помещениями категорий В4, Г и Д в помещения цокольного или первого этажа тех же категорий.</w:t>
      </w:r>
    </w:p>
    <w:p>
      <w:pPr>
        <w:pStyle w:val="0"/>
        <w:spacing w:before="200" w:line-rule="auto"/>
        <w:ind w:firstLine="540"/>
        <w:jc w:val="both"/>
      </w:pPr>
      <w:r>
        <w:rPr>
          <w:sz w:val="20"/>
        </w:rPr>
        <w:t xml:space="preserve">В зданиях класса Ф1.3 технологическое сообщение жилой части (с квартирами) с подвалом допускается только с обслуживающими инженерно-техническими помещениями, при этом высота жилой части не должна превышать 5 этажей.</w:t>
      </w:r>
    </w:p>
    <w:p>
      <w:pPr>
        <w:pStyle w:val="0"/>
        <w:spacing w:before="200" w:line-rule="auto"/>
        <w:ind w:firstLine="540"/>
        <w:jc w:val="both"/>
      </w:pPr>
      <w:r>
        <w:rPr>
          <w:sz w:val="20"/>
        </w:rPr>
        <w:t xml:space="preserve">Применение, упомянутых в настоящем пункте, лестниц для эвакуации людей допускается в случаях, оговоренных в </w:t>
      </w:r>
      <w:hyperlink w:history="0" w:anchor="P4428" w:tooltip="[2] Федеральный закон от 22 июля 2008 г. N 123-ФЗ &quot;Технический регламент о требованиях пожарной безопасности&quot;.">
        <w:r>
          <w:rPr>
            <w:sz w:val="20"/>
            <w:color w:val="0000ff"/>
          </w:rPr>
          <w:t xml:space="preserve">[2]</w:t>
        </w:r>
      </w:hyperlink>
      <w:r>
        <w:rPr>
          <w:sz w:val="20"/>
        </w:rPr>
        <w:t xml:space="preserve"> и </w:t>
      </w:r>
      <w:hyperlink w:history="0" r:id="rId142" w:tooltip="&quot;СП 1.13130.2009. Свод правил. Системы противопожарной защиты. Эвакуационные пути и выходы&quot; (утв. Приказом МЧС России от 25.03.2009 N 171) (ред. от 09.12.2010) ------------ Утратил силу или отменен {КонсультантПлюс}">
        <w:r>
          <w:rPr>
            <w:sz w:val="20"/>
            <w:color w:val="0000ff"/>
          </w:rPr>
          <w:t xml:space="preserve">СП 1.13130</w:t>
        </w:r>
      </w:hyperlink>
      <w:r>
        <w:rPr>
          <w:sz w:val="20"/>
        </w:rPr>
        <w:t xml:space="preserve">.</w:t>
      </w:r>
    </w:p>
    <w:p>
      <w:pPr>
        <w:pStyle w:val="0"/>
        <w:jc w:val="both"/>
      </w:pPr>
      <w:r>
        <w:rPr>
          <w:sz w:val="20"/>
        </w:rPr>
        <w:t xml:space="preserve">(п. 4.18 в ред. </w:t>
      </w:r>
      <w:hyperlink w:history="0" r:id="rId143"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4.19. В зданиях I, II, III степеней огнестойкости класса конструктивной пожарной опасности С0 лестницы из вестибюля в цокольном или первом этаже до вышележащего этажа допускается предусматривать открытыми, при этом вестибюль должен быть отделен от коридоров и смежных помещений противопожарными перегородками не ниже 1-го типа. В зданиях классов Ф3.1 и Ф3.2 указанная лестница может быть открытой и при отсутствии вестибюля.</w:t>
      </w:r>
    </w:p>
    <w:p>
      <w:pPr>
        <w:pStyle w:val="0"/>
        <w:jc w:val="both"/>
      </w:pPr>
      <w:r>
        <w:rPr>
          <w:sz w:val="20"/>
        </w:rPr>
        <w:t xml:space="preserve">(в ред. </w:t>
      </w:r>
      <w:hyperlink w:history="0" r:id="rId144"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В зданиях I и II степеней огнестойкости и классов конструктивной пожарной опасности С0, высотой не более 28 м, классов функциональной пожарной опасности Ф1.2, Ф2, Ф3, Ф4, допускается применять открытые лестницы, соединяющие более двух надземных этажей, при этом помещение, в котором расположена открытая лестница, на всех этажах должно отделяться от примыкающих к нему коридоров и других помещений противопожарными перегородками не ниже 1-го типа. Указанные перегородки допускается не предусматривать в зданиях высотой не более 9 м с площадью этажа до 300 м</w:t>
      </w:r>
      <w:r>
        <w:rPr>
          <w:sz w:val="20"/>
          <w:vertAlign w:val="superscript"/>
        </w:rPr>
        <w:t xml:space="preserve">2</w:t>
      </w:r>
      <w:r>
        <w:rPr>
          <w:sz w:val="20"/>
        </w:rPr>
        <w:t xml:space="preserve">, а также в зданиях, оборудованных установками автоматического пожаротушения.</w:t>
      </w:r>
    </w:p>
    <w:p>
      <w:pPr>
        <w:pStyle w:val="0"/>
        <w:spacing w:before="200" w:line-rule="auto"/>
        <w:ind w:firstLine="540"/>
        <w:jc w:val="both"/>
      </w:pPr>
      <w:r>
        <w:rPr>
          <w:sz w:val="20"/>
        </w:rPr>
        <w:t xml:space="preserve">Наличие этажей, соединенных открытыми лестницами без выделения противопожарными перегородками на каждом этаже, при определении допустимой площади в пределах пожарного отсека, должно учитываться путем суммирования в соответствии с </w:t>
      </w:r>
      <w:hyperlink w:history="0" r:id="rId145" w:tooltip="Приказ МЧС России от 21.11.2012 N 693 (ред. от 23.10.2013) &quot;Об утверждении свода правил &quot;Системы противопожарной защиты. Обеспечение огнестойкости объектов защиты&quot; (вместе с &quot;СП 2.13130.2012. Свод правил...&quot;) ------------ Утратил силу или отменен {КонсультантПлюс}">
        <w:r>
          <w:rPr>
            <w:sz w:val="20"/>
            <w:color w:val="0000ff"/>
          </w:rPr>
          <w:t xml:space="preserve">разделом 6</w:t>
        </w:r>
      </w:hyperlink>
      <w:r>
        <w:rPr>
          <w:sz w:val="20"/>
        </w:rPr>
        <w:t xml:space="preserve"> и </w:t>
      </w:r>
      <w:hyperlink w:history="0" r:id="rId146" w:tooltip="Приказ МЧС России от 21.11.2012 N 693 (ред. от 23.10.2013) &quot;Об утверждении свода правил &quot;Системы противопожарной защиты. Обеспечение огнестойкости объектов защиты&quot; (вместе с &quot;СП 2.13130.2012. Свод правил...&quot;) ------------ Утратил силу или отменен {КонсультантПлюс}">
        <w:r>
          <w:rPr>
            <w:sz w:val="20"/>
            <w:color w:val="0000ff"/>
          </w:rPr>
          <w:t xml:space="preserve">СП 2.13130</w:t>
        </w:r>
      </w:hyperlink>
      <w:r>
        <w:rPr>
          <w:sz w:val="20"/>
        </w:rPr>
        <w:t xml:space="preserve">. Применение указанных в настоящем пункте лестниц для эвакуации людей должно осуществляться в соответствии с требованиями </w:t>
      </w:r>
      <w:hyperlink w:history="0" w:anchor="P4428" w:tooltip="[2] Федеральный закон от 22 июля 2008 г. N 123-ФЗ &quot;Технический регламент о требованиях пожарной безопасности&quot;.">
        <w:r>
          <w:rPr>
            <w:sz w:val="20"/>
            <w:color w:val="0000ff"/>
          </w:rPr>
          <w:t xml:space="preserve">[2]</w:t>
        </w:r>
      </w:hyperlink>
      <w:r>
        <w:rPr>
          <w:sz w:val="20"/>
        </w:rPr>
        <w:t xml:space="preserve"> и </w:t>
      </w:r>
      <w:hyperlink w:history="0" r:id="rId147" w:tooltip="&quot;СП 1.13130.2009. Свод правил. Системы противопожарной защиты. Эвакуационные пути и выходы&quot; (утв. Приказом МЧС России от 25.03.2009 N 171) (ред. от 09.12.2010) ------------ Утратил силу или отменен {КонсультантПлюс}">
        <w:r>
          <w:rPr>
            <w:sz w:val="20"/>
            <w:color w:val="0000ff"/>
          </w:rPr>
          <w:t xml:space="preserve">СП 1.13130</w:t>
        </w:r>
      </w:hyperlink>
      <w:r>
        <w:rPr>
          <w:sz w:val="20"/>
        </w:rPr>
        <w:t xml:space="preserve">.</w:t>
      </w:r>
    </w:p>
    <w:p>
      <w:pPr>
        <w:pStyle w:val="0"/>
        <w:jc w:val="both"/>
      </w:pPr>
      <w:r>
        <w:rPr>
          <w:sz w:val="20"/>
        </w:rPr>
        <w:t xml:space="preserve">(п. 4.19 в ред. </w:t>
      </w:r>
      <w:hyperlink w:history="0" r:id="rId148"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4.20. Мероприятия по ограничению распространения пожара по кровлям зданий и сооружений должны предусматриваться с учетом требований </w:t>
      </w:r>
      <w:hyperlink w:history="0" r:id="rId149" w:tooltip="Приказ МЧС России от 21.11.2012 N 693 (ред. от 23.10.2013) &quot;Об утверждении свода правил &quot;Системы противопожарной защиты. Обеспечение огнестойкости объектов защиты&quot; (вместе с &quot;СП 2.13130.2012. Свод правил...&quot;) ------------ Утратил силу или отменен {КонсультантПлюс}">
        <w:r>
          <w:rPr>
            <w:sz w:val="20"/>
            <w:color w:val="0000ff"/>
          </w:rPr>
          <w:t xml:space="preserve">СП 2.13130</w:t>
        </w:r>
      </w:hyperlink>
      <w:r>
        <w:rPr>
          <w:sz w:val="20"/>
        </w:rPr>
        <w:t xml:space="preserve"> и </w:t>
      </w:r>
      <w:hyperlink w:history="0" r:id="rId150" w:tooltip="&quot;СП 17.13330.2017. Свод правил. Кровли. Актуализированная редакция СНиП II-26-76&quot; (утв. Приказом Минстроя России от 31.05.2017 N 827/пр) (ред. от 31.05.2022) {КонсультантПлюс}">
        <w:r>
          <w:rPr>
            <w:sz w:val="20"/>
            <w:color w:val="0000ff"/>
          </w:rPr>
          <w:t xml:space="preserve">СП 17.13330</w:t>
        </w:r>
      </w:hyperlink>
      <w:r>
        <w:rPr>
          <w:sz w:val="20"/>
        </w:rPr>
        <w:t xml:space="preserve">.</w:t>
      </w:r>
    </w:p>
    <w:p>
      <w:pPr>
        <w:pStyle w:val="0"/>
        <w:jc w:val="both"/>
      </w:pPr>
      <w:r>
        <w:rPr>
          <w:sz w:val="20"/>
        </w:rPr>
        <w:t xml:space="preserve">(п. 4.20 в ред. </w:t>
      </w:r>
      <w:hyperlink w:history="0" r:id="rId151"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ind w:firstLine="540"/>
        <w:jc w:val="both"/>
      </w:pPr>
      <w:r>
        <w:rPr>
          <w:sz w:val="20"/>
        </w:rPr>
      </w:r>
    </w:p>
    <w:p>
      <w:pPr>
        <w:pStyle w:val="2"/>
        <w:outlineLvl w:val="1"/>
        <w:ind w:firstLine="540"/>
        <w:jc w:val="both"/>
      </w:pPr>
      <w:r>
        <w:rPr>
          <w:sz w:val="20"/>
        </w:rPr>
        <w:t xml:space="preserve">5. Требования к объектам жилого и общественного назначения классов функциональной пожарной опасности Ф1 - Ф4</w:t>
      </w:r>
    </w:p>
    <w:p>
      <w:pPr>
        <w:pStyle w:val="0"/>
        <w:ind w:firstLine="540"/>
        <w:jc w:val="both"/>
      </w:pPr>
      <w:r>
        <w:rPr>
          <w:sz w:val="20"/>
        </w:rPr>
      </w:r>
    </w:p>
    <w:p>
      <w:pPr>
        <w:pStyle w:val="2"/>
        <w:outlineLvl w:val="2"/>
        <w:ind w:firstLine="540"/>
        <w:jc w:val="both"/>
      </w:pPr>
      <w:r>
        <w:rPr>
          <w:sz w:val="20"/>
        </w:rPr>
        <w:t xml:space="preserve">5.1. Общие требования к объектам жилого и общественного назначения</w:t>
      </w:r>
    </w:p>
    <w:p>
      <w:pPr>
        <w:pStyle w:val="0"/>
        <w:ind w:firstLine="540"/>
        <w:jc w:val="both"/>
      </w:pPr>
      <w:r>
        <w:rPr>
          <w:sz w:val="20"/>
        </w:rPr>
      </w:r>
    </w:p>
    <w:p>
      <w:pPr>
        <w:pStyle w:val="0"/>
        <w:ind w:firstLine="540"/>
        <w:jc w:val="both"/>
      </w:pPr>
      <w:r>
        <w:rPr>
          <w:sz w:val="20"/>
        </w:rPr>
        <w:t xml:space="preserve">5.1.1. На объектах защиты жилого и общественного назначения могут размещаться части зданий, группы помещений или отдельные помещения различного функционального назначения с учетом требований настоящего свода правил к объектам защиты соответствующего класса функциональной пожарной опасности.</w:t>
      </w:r>
    </w:p>
    <w:bookmarkStart w:id="363" w:name="P363"/>
    <w:bookmarkEnd w:id="363"/>
    <w:p>
      <w:pPr>
        <w:pStyle w:val="0"/>
        <w:spacing w:before="200" w:line-rule="auto"/>
        <w:ind w:firstLine="540"/>
        <w:jc w:val="both"/>
      </w:pPr>
      <w:r>
        <w:rPr>
          <w:sz w:val="20"/>
        </w:rPr>
        <w:t xml:space="preserve">5.1.2. Размещаемые в жилых и общественных зданиях помещения производственного и складского назначения (мастерские, лаборатории, кладовые различного назначения), а также помещения для инженерного оборудования и технического обслуживания с наличием пожароопасных и пожаровзрывоопасных процессов и веществ (котельные, системы газоснабжения, электроснабжения и т.д.) подлежат категорированию по взрывопожарной и пожарной опасности в соответствии с </w:t>
      </w:r>
      <w:hyperlink w:history="0" r:id="rId152" w:tooltip="Приказ МЧС РФ от 25.03.2009 N 182 (ред. от 09.12.2010) &quot;Об утверждении свода правил &quot;Определение категорий помещений, зданий и наружных установок по взрывопожарной и пожарной опасности&quot; (вместе с &quot;СП 12.13130.2009...&quot;) {КонсультантПлюс}">
        <w:r>
          <w:rPr>
            <w:sz w:val="20"/>
            <w:color w:val="0000ff"/>
          </w:rPr>
          <w:t xml:space="preserve">СП 12.13130</w:t>
        </w:r>
      </w:hyperlink>
      <w:r>
        <w:rPr>
          <w:sz w:val="20"/>
        </w:rPr>
        <w:t xml:space="preserve">.</w:t>
      </w:r>
    </w:p>
    <w:p>
      <w:pPr>
        <w:pStyle w:val="0"/>
        <w:jc w:val="both"/>
      </w:pPr>
      <w:r>
        <w:rPr>
          <w:sz w:val="20"/>
        </w:rPr>
        <w:t xml:space="preserve">(в ред. </w:t>
      </w:r>
      <w:hyperlink w:history="0" r:id="rId153"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Помещения взрывопожароопасных категорий А и Б размещать в жилых и общественных зданиях не допускается. Помещения пожароопасных категорий, кроме категорий В4 и Д, следует отделять от других помещений и коридоров в зданиях I, II и III степеней огнестойкости - противопожарными перегородками 1-го типа, в зданиях IV степени огнестойкости - противопожарными перегородками 2-го типа, если иное не предусмотрено настоящим сводом правил и (или) другими нормативными документами. Для помещений, размещаемых в двухсветном пространстве или атриуме и выполненных не на всю высоту этажа, должны также предусматриваться покрытия с пределами огнестойкости, соответствующими пределам огнестойкости перегородок с учетом предельного состояния по R.</w:t>
      </w:r>
    </w:p>
    <w:p>
      <w:pPr>
        <w:pStyle w:val="0"/>
        <w:jc w:val="both"/>
      </w:pPr>
      <w:r>
        <w:rPr>
          <w:sz w:val="20"/>
        </w:rPr>
        <w:t xml:space="preserve">(в ред. </w:t>
      </w:r>
      <w:hyperlink w:history="0" r:id="rId154"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Указанное выделение противопожарными преградами в жилых и общественных зданиях допускается не предусматривать:</w:t>
      </w:r>
    </w:p>
    <w:p>
      <w:pPr>
        <w:pStyle w:val="0"/>
        <w:jc w:val="both"/>
      </w:pPr>
      <w:r>
        <w:rPr>
          <w:sz w:val="20"/>
        </w:rPr>
        <w:t xml:space="preserve">(в ред. </w:t>
      </w:r>
      <w:hyperlink w:history="0" r:id="rId155"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 для помещений водоснабжения, канализации, мокрых помещений и других помещений, оборудование которых автоматическими установками пожарной сигнализации и пожаротушения нормативными документами не требуется;</w:t>
      </w:r>
    </w:p>
    <w:p>
      <w:pPr>
        <w:pStyle w:val="0"/>
        <w:spacing w:before="200" w:line-rule="auto"/>
        <w:ind w:firstLine="540"/>
        <w:jc w:val="both"/>
      </w:pPr>
      <w:r>
        <w:rPr>
          <w:sz w:val="20"/>
        </w:rPr>
        <w:t xml:space="preserve">- для размещаемых по процессу деятельности общественного объекта помещений санитарно-бытового назначения (гардеробных, кладовых уборочного инвентаря, белья, помещений мойки, стирки, глажения и т.п.);</w:t>
      </w:r>
    </w:p>
    <w:p>
      <w:pPr>
        <w:pStyle w:val="0"/>
        <w:spacing w:before="200" w:line-rule="auto"/>
        <w:ind w:firstLine="540"/>
        <w:jc w:val="both"/>
      </w:pPr>
      <w:r>
        <w:rPr>
          <w:sz w:val="20"/>
        </w:rPr>
        <w:t xml:space="preserve">- для кладовых любого назначения площадью до 10 м</w:t>
      </w:r>
      <w:r>
        <w:rPr>
          <w:sz w:val="20"/>
          <w:vertAlign w:val="superscript"/>
        </w:rPr>
        <w:t xml:space="preserve">2</w:t>
      </w:r>
      <w:r>
        <w:rPr>
          <w:sz w:val="20"/>
        </w:rPr>
        <w:t xml:space="preserve">, за исключением хранения изделий с горючими газами или легковоспламеняющимися жидкостями (кроме лекарственной, пищевой и парфюмерно-косметической продукции в мелкой расфасовке в соответствии с </w:t>
      </w:r>
      <w:hyperlink w:history="0" w:anchor="P534" w:tooltip="5.5.3. Специализированные объекты торговли ГГ, ЛВЖ и ГЖ, бытовой химией и строительными материалами с наличием ГГ, ЛВЖ и ГЖ располагаются в отдельно стоящих зданиях и сооружениях, и только в надземных этажах. Данные объекты допускается встраивать и пристраивать только к объектам торговли другими товарами и объектам бытового и коммунального обслуживания при условии отделения их противопожарными стенами и перекрытиями 1-го типа. Полы на указанных объектах должны выполняться из материалов НГ.">
        <w:r>
          <w:rPr>
            <w:sz w:val="20"/>
            <w:color w:val="0000ff"/>
          </w:rPr>
          <w:t xml:space="preserve">пунктом 5.5.3</w:t>
        </w:r>
      </w:hyperlink>
      <w:r>
        <w:rPr>
          <w:sz w:val="20"/>
        </w:rPr>
        <w:t xml:space="preserve">);</w:t>
      </w:r>
    </w:p>
    <w:p>
      <w:pPr>
        <w:pStyle w:val="0"/>
        <w:spacing w:before="200" w:line-rule="auto"/>
        <w:ind w:firstLine="540"/>
        <w:jc w:val="both"/>
      </w:pPr>
      <w:r>
        <w:rPr>
          <w:sz w:val="20"/>
        </w:rPr>
        <w:t xml:space="preserve">- для помещений приготовления пищи (с учетом требований к выделению пищеблоков в соответствии с </w:t>
      </w:r>
      <w:hyperlink w:history="0" w:anchor="P522" w:tooltip="5.5.2. В зданиях и сооружениях классов функциональной пожарной опасности Ф3.1 и Ф3.2, а также в организациях торговли и общественного питания, размещаемых в зданиях, сооружениях других классов функциональной пожарной опасности, помещения производственного, складского назначения, а также помещения для инженерного оборудования и технического обслуживания следует выделять противопожарными преградами в соответствии с требованиями пункта 5.1.2.">
        <w:r>
          <w:rPr>
            <w:sz w:val="20"/>
            <w:color w:val="0000ff"/>
          </w:rPr>
          <w:t xml:space="preserve">пунктом 5.5.2</w:t>
        </w:r>
      </w:hyperlink>
      <w:r>
        <w:rPr>
          <w:sz w:val="20"/>
        </w:rPr>
        <w:t xml:space="preserve">), а также для охлаждаемых камер для продуктов питания и камер для пищевых отходов.</w:t>
      </w:r>
    </w:p>
    <w:p>
      <w:pPr>
        <w:pStyle w:val="0"/>
        <w:jc w:val="both"/>
      </w:pPr>
      <w:r>
        <w:rPr>
          <w:sz w:val="20"/>
        </w:rPr>
        <w:t xml:space="preserve">(п. 5.1.2 в ред. </w:t>
      </w:r>
      <w:hyperlink w:history="0" r:id="rId156"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bookmarkStart w:id="374" w:name="P374"/>
    <w:bookmarkEnd w:id="374"/>
    <w:p>
      <w:pPr>
        <w:pStyle w:val="0"/>
        <w:spacing w:before="200" w:line-rule="auto"/>
        <w:ind w:firstLine="540"/>
        <w:jc w:val="both"/>
      </w:pPr>
      <w:r>
        <w:rPr>
          <w:sz w:val="20"/>
        </w:rPr>
        <w:t xml:space="preserve">5.1.3. В жилых и общественных зданиях (кроме зданий класса функциональной пожарной опасности Ф3.1) не допускается размещать предприятия торговли по продаже:</w:t>
      </w:r>
    </w:p>
    <w:p>
      <w:pPr>
        <w:pStyle w:val="0"/>
        <w:spacing w:before="200" w:line-rule="auto"/>
        <w:ind w:firstLine="540"/>
        <w:jc w:val="both"/>
      </w:pPr>
      <w:r>
        <w:rPr>
          <w:sz w:val="20"/>
        </w:rPr>
        <w:t xml:space="preserve">- горючих газов (ГГ), легковоспламеняющихся и горючих жидкостей (ЛВЖ и ГЖ), за исключением товаров лекарственной, пищевой и парфюмерно-косметической продукции в мелкой расфасовке в соответствии с </w:t>
      </w:r>
      <w:hyperlink w:history="0" w:anchor="P534" w:tooltip="5.5.3. Специализированные объекты торговли ГГ, ЛВЖ и ГЖ, бытовой химией и строительными материалами с наличием ГГ, ЛВЖ и ГЖ располагаются в отдельно стоящих зданиях и сооружениях, и только в надземных этажах. Данные объекты допускается встраивать и пристраивать только к объектам торговли другими товарами и объектам бытового и коммунального обслуживания при условии отделения их противопожарными стенами и перекрытиями 1-го типа. Полы на указанных объектах должны выполняться из материалов НГ.">
        <w:r>
          <w:rPr>
            <w:sz w:val="20"/>
            <w:color w:val="0000ff"/>
          </w:rPr>
          <w:t xml:space="preserve">пунктом 5.5.3</w:t>
        </w:r>
      </w:hyperlink>
      <w:r>
        <w:rPr>
          <w:sz w:val="20"/>
        </w:rPr>
        <w:t xml:space="preserve">, а также магазины, специализирующиеся на торговле строительными материалами, бытовой химией и пиротехникой;</w:t>
      </w:r>
    </w:p>
    <w:p>
      <w:pPr>
        <w:pStyle w:val="0"/>
        <w:spacing w:before="200" w:line-rule="auto"/>
        <w:ind w:firstLine="540"/>
        <w:jc w:val="both"/>
      </w:pPr>
      <w:r>
        <w:rPr>
          <w:sz w:val="20"/>
        </w:rPr>
        <w:t xml:space="preserve">- веществ и материалов, способных взрываться или возгораться при взаимодействии с водой, кислородом воздуха или друг с другом;</w:t>
      </w:r>
    </w:p>
    <w:p>
      <w:pPr>
        <w:pStyle w:val="0"/>
        <w:spacing w:before="200" w:line-rule="auto"/>
        <w:ind w:firstLine="540"/>
        <w:jc w:val="both"/>
      </w:pPr>
      <w:r>
        <w:rPr>
          <w:sz w:val="20"/>
        </w:rPr>
        <w:t xml:space="preserve">- пороха, капсюлей, патронов и других взрывоопасных изделий.</w:t>
      </w:r>
    </w:p>
    <w:p>
      <w:pPr>
        <w:pStyle w:val="0"/>
        <w:jc w:val="both"/>
      </w:pPr>
      <w:r>
        <w:rPr>
          <w:sz w:val="20"/>
        </w:rPr>
        <w:t xml:space="preserve">(п. 5.1.3 в ред. </w:t>
      </w:r>
      <w:hyperlink w:history="0" r:id="rId157"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Текст п. 5.1.4 приведен в точном соответствии с изменениями, внесенными </w:t>
            </w:r>
            <w:hyperlink w:history="0" r:id="rId158"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Приказом</w:t>
              </w:r>
            </w:hyperlink>
            <w:r>
              <w:rPr>
                <w:sz w:val="20"/>
                <w:color w:val="392c69"/>
              </w:rPr>
              <w:t xml:space="preserve"> МЧС России от 15.06.2022 N 610.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81" w:name="P381"/>
    <w:bookmarkEnd w:id="381"/>
    <w:p>
      <w:pPr>
        <w:pStyle w:val="0"/>
        <w:spacing w:before="260" w:line-rule="auto"/>
        <w:ind w:firstLine="540"/>
        <w:jc w:val="both"/>
      </w:pPr>
      <w:r>
        <w:rPr>
          <w:sz w:val="20"/>
        </w:rPr>
        <w:t xml:space="preserve">5.1.4. В подвальных и подземных этажах этажах жилых и общественных зданий не допускается размещать:</w:t>
      </w:r>
    </w:p>
    <w:p>
      <w:pPr>
        <w:pStyle w:val="0"/>
        <w:jc w:val="both"/>
      </w:pPr>
      <w:r>
        <w:rPr>
          <w:sz w:val="20"/>
        </w:rPr>
        <w:t xml:space="preserve">(в ред. </w:t>
      </w:r>
      <w:hyperlink w:history="0" r:id="rId159"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 помещения, указанные в </w:t>
      </w:r>
      <w:hyperlink w:history="0" w:anchor="P339" w:tooltip="4.16. В подвальных и цокольных этажах зданий всех классов функциональной пожарной опасности не допускается размещение жилых помещений, а также производственных и складских помещений категорий А и Б по взрывопожарной и пожарной опасности. При размещении помещений категорий А и Б на объектах производственного и складского назначения следует руководствоваться требованиями раздела 6.">
        <w:r>
          <w:rPr>
            <w:sz w:val="20"/>
            <w:color w:val="0000ff"/>
          </w:rPr>
          <w:t xml:space="preserve">пункте 4.16</w:t>
        </w:r>
      </w:hyperlink>
      <w:r>
        <w:rPr>
          <w:sz w:val="20"/>
        </w:rPr>
        <w:t xml:space="preserve">;</w:t>
      </w:r>
    </w:p>
    <w:p>
      <w:pPr>
        <w:pStyle w:val="0"/>
        <w:spacing w:before="200" w:line-rule="auto"/>
        <w:ind w:firstLine="540"/>
        <w:jc w:val="both"/>
      </w:pPr>
      <w:r>
        <w:rPr>
          <w:sz w:val="20"/>
        </w:rPr>
        <w:t xml:space="preserve">- магазины, специализирующиеся на торговле продукцией, указанной в </w:t>
      </w:r>
      <w:hyperlink w:history="0" w:anchor="P374" w:tooltip="5.1.3. В жилых и общественных зданиях (кроме зданий класса функциональной пожарной опасности Ф3.1) не допускается размещать предприятия торговли по продаже:">
        <w:r>
          <w:rPr>
            <w:sz w:val="20"/>
            <w:color w:val="0000ff"/>
          </w:rPr>
          <w:t xml:space="preserve">пункте 5.1.3</w:t>
        </w:r>
      </w:hyperlink>
      <w:r>
        <w:rPr>
          <w:sz w:val="20"/>
        </w:rPr>
        <w:t xml:space="preserve">, с легковоспламеняющимися и чрезвычайно легковоспламеняющимися аэрозольными упаковками, а также складские помещения и кладовые с указанной продукцией;</w:t>
      </w:r>
    </w:p>
    <w:p>
      <w:pPr>
        <w:pStyle w:val="0"/>
        <w:spacing w:before="200" w:line-rule="auto"/>
        <w:ind w:firstLine="540"/>
        <w:jc w:val="both"/>
      </w:pPr>
      <w:r>
        <w:rPr>
          <w:sz w:val="20"/>
        </w:rPr>
        <w:t xml:space="preserve">- помещения производственного и складского назначения категорий В1 - В3 по пожарной опасности, кроме помещений, входящих в состав общественных учреждений и организаций по процессу деятельности, а также кроме автостоянок и хозяйственных кладовых жильцов;</w:t>
      </w:r>
    </w:p>
    <w:p>
      <w:pPr>
        <w:pStyle w:val="0"/>
        <w:jc w:val="both"/>
      </w:pPr>
      <w:r>
        <w:rPr>
          <w:sz w:val="20"/>
        </w:rPr>
        <w:t xml:space="preserve">(в ред. </w:t>
      </w:r>
      <w:hyperlink w:history="0" r:id="rId160"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абзац исключен с 1 декабря 2022 года. - </w:t>
      </w:r>
      <w:hyperlink w:history="0" r:id="rId161"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w:t>
        </w:r>
      </w:hyperlink>
      <w:r>
        <w:rPr>
          <w:sz w:val="20"/>
        </w:rPr>
        <w:t xml:space="preserve"> МЧС России от 15.06.2022 N 610.</w:t>
      </w:r>
    </w:p>
    <w:p>
      <w:pPr>
        <w:pStyle w:val="0"/>
        <w:jc w:val="both"/>
      </w:pPr>
      <w:r>
        <w:rPr>
          <w:sz w:val="20"/>
        </w:rPr>
        <w:t xml:space="preserve">(п. 5.1.4 в ред. </w:t>
      </w:r>
      <w:hyperlink w:history="0" r:id="rId162"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5.1.5. Встраивание и пристраивание к объектам жилого и общественного назначения автостоянок, котельных, трансформаторных и других энергообъектов следует производить в соответствии с </w:t>
      </w:r>
      <w:hyperlink w:history="0" w:anchor="P567" w:tooltip="6. Требования к объектам класса функциональной пожарной опасности Ф5">
        <w:r>
          <w:rPr>
            <w:sz w:val="20"/>
            <w:color w:val="0000ff"/>
          </w:rPr>
          <w:t xml:space="preserve">разделом 6</w:t>
        </w:r>
      </w:hyperlink>
      <w:r>
        <w:rPr>
          <w:sz w:val="20"/>
        </w:rPr>
        <w:t xml:space="preserve"> настоящего свода правил, требованиями </w:t>
      </w:r>
      <w:hyperlink w:history="0" w:anchor="P4427" w:tooltip="[1]        ПУЭ        &quot;Правила устройства электроустановок&quot;, издание 6 и 7.">
        <w:r>
          <w:rPr>
            <w:sz w:val="20"/>
            <w:color w:val="0000ff"/>
          </w:rPr>
          <w:t xml:space="preserve">[1]</w:t>
        </w:r>
      </w:hyperlink>
      <w:r>
        <w:rPr>
          <w:sz w:val="20"/>
        </w:rPr>
        <w:t xml:space="preserve">, а также других действующих нормативных документов.</w:t>
      </w:r>
    </w:p>
    <w:p>
      <w:pPr>
        <w:pStyle w:val="0"/>
        <w:spacing w:before="200" w:line-rule="auto"/>
        <w:ind w:firstLine="540"/>
        <w:jc w:val="both"/>
      </w:pPr>
      <w:r>
        <w:rPr>
          <w:sz w:val="20"/>
        </w:rPr>
        <w:t xml:space="preserve">Противопожарные требования к размещению зданий, помещений и сооружений генераторных должны соответствовать требованиям, предъявляемым для котельных, работающих на соответствующем топливе.</w:t>
      </w:r>
    </w:p>
    <w:p>
      <w:pPr>
        <w:pStyle w:val="0"/>
        <w:spacing w:before="200" w:line-rule="auto"/>
        <w:ind w:firstLine="540"/>
        <w:jc w:val="both"/>
      </w:pPr>
      <w:r>
        <w:rPr>
          <w:sz w:val="20"/>
        </w:rPr>
        <w:t xml:space="preserve">5.1.6 Мусоросборные и бельеприемные камеры в жилых и общественных зданиях, сооружениях должны выделяться противопожарными перегородками и перекрытием с пределами огнестойкости не менее (R)EI60, в административных и бытовых - не менее (R)EI30 (предел огнестойкости двери наружу не нормируется).</w:t>
      </w:r>
    </w:p>
    <w:p>
      <w:pPr>
        <w:pStyle w:val="0"/>
        <w:spacing w:before="200" w:line-rule="auto"/>
        <w:ind w:firstLine="540"/>
        <w:jc w:val="both"/>
      </w:pPr>
      <w:r>
        <w:rPr>
          <w:sz w:val="20"/>
        </w:rPr>
        <w:t xml:space="preserve">Мусоросборная камера должна иметь самостоятельный вход, изолированный от эвакуационных выходов из здания. Над входом в мусоросборную камеру следует предусматривать козырек или другие конструкции из негорючих материалов, выступающие за пределы наружной стены не менее чем на ширину двери.</w:t>
      </w:r>
    </w:p>
    <w:p>
      <w:pPr>
        <w:pStyle w:val="0"/>
        <w:spacing w:before="200" w:line-rule="auto"/>
        <w:ind w:firstLine="540"/>
        <w:jc w:val="both"/>
      </w:pPr>
      <w:r>
        <w:rPr>
          <w:sz w:val="20"/>
        </w:rPr>
        <w:t xml:space="preserve">Шиберы (огнепреграждающие заслонки), устанавливаемые на входах стволов из камер мусоропроводов и бельепроводов, должны оснащаться приводами самозакрывания при пожаре. Требуемые пределы огнестойкости шиберов должны быть не менее пределов, установленных для стволов.</w:t>
      </w:r>
    </w:p>
    <w:p>
      <w:pPr>
        <w:pStyle w:val="0"/>
        <w:spacing w:before="200" w:line-rule="auto"/>
        <w:ind w:firstLine="540"/>
        <w:jc w:val="both"/>
      </w:pPr>
      <w:r>
        <w:rPr>
          <w:sz w:val="20"/>
        </w:rPr>
        <w:t xml:space="preserve">Ствол и загрузочные клапаны следует выполнять из негорючих материалов. Ограждающие конструкции стволов в многоэтажных жилых и общественных зданиях должны иметь предел огнестойкости не менее Е45, в административных и бытовых зданиях - не менее Е30. Для уплотнения клапанов допускается применение материалов группы горючести не ниже Г2. Стволы, размещаемые в отдельных каналах (шахтах) для прокладки коммуникаций, выделенных противопожарными перегородками 1-го типа, допускается выполнять из негорючих материалов с ненормируемыми пределами огнестойкости.</w:t>
      </w:r>
    </w:p>
    <w:p>
      <w:pPr>
        <w:pStyle w:val="0"/>
        <w:jc w:val="both"/>
      </w:pPr>
      <w:r>
        <w:rPr>
          <w:sz w:val="20"/>
        </w:rPr>
        <w:t xml:space="preserve">(п. 5.1.6 введен </w:t>
      </w:r>
      <w:hyperlink w:history="0" r:id="rId163"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Приказом</w:t>
        </w:r>
      </w:hyperlink>
      <w:r>
        <w:rPr>
          <w:sz w:val="20"/>
        </w:rPr>
        <w:t xml:space="preserve"> МЧС России от 14.02.2020 N 89)</w:t>
      </w:r>
    </w:p>
    <w:p>
      <w:pPr>
        <w:pStyle w:val="0"/>
        <w:ind w:firstLine="540"/>
        <w:jc w:val="both"/>
      </w:pPr>
      <w:r>
        <w:rPr>
          <w:sz w:val="20"/>
        </w:rPr>
      </w:r>
    </w:p>
    <w:p>
      <w:pPr>
        <w:pStyle w:val="2"/>
        <w:outlineLvl w:val="2"/>
        <w:ind w:firstLine="540"/>
        <w:jc w:val="both"/>
      </w:pPr>
      <w:r>
        <w:rPr>
          <w:sz w:val="20"/>
        </w:rPr>
        <w:t xml:space="preserve">5.2. Требования к объектам класса функциональной пожарной опасности Ф1</w:t>
      </w:r>
    </w:p>
    <w:p>
      <w:pPr>
        <w:pStyle w:val="0"/>
        <w:ind w:firstLine="540"/>
        <w:jc w:val="both"/>
      </w:pPr>
      <w:r>
        <w:rPr>
          <w:sz w:val="20"/>
        </w:rPr>
      </w:r>
    </w:p>
    <w:p>
      <w:pPr>
        <w:pStyle w:val="0"/>
        <w:ind w:firstLine="540"/>
        <w:jc w:val="both"/>
      </w:pPr>
      <w:r>
        <w:rPr>
          <w:sz w:val="20"/>
        </w:rPr>
        <w:t xml:space="preserve">5.2.1. Утратил силу. - </w:t>
      </w:r>
      <w:hyperlink w:history="0" r:id="rId164"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w:t>
        </w:r>
      </w:hyperlink>
      <w:r>
        <w:rPr>
          <w:sz w:val="20"/>
        </w:rPr>
        <w:t xml:space="preserve"> МЧС России от 14.02.2020 N 89.</w:t>
      </w:r>
    </w:p>
    <w:p>
      <w:pPr>
        <w:pStyle w:val="0"/>
        <w:spacing w:before="200" w:line-rule="auto"/>
        <w:ind w:firstLine="540"/>
        <w:jc w:val="both"/>
      </w:pPr>
      <w:r>
        <w:rPr>
          <w:sz w:val="20"/>
        </w:rPr>
        <w:t xml:space="preserve">5.2.2. Объекты защиты класса функциональной пожарной опасности Ф1.1 должны размещаться в отдельно стоящих зданиях, либо выделяться в самостоятельные пожарные отсеки при размещении в общественных зданиях иного класса функциональной пожарной опасности. Дошкольные образовательные организации (ДОО) также допускается размещать в зданиях класса функциональной пожарной опасности Ф4.1 в соответствии с </w:t>
      </w:r>
      <w:hyperlink w:history="0" w:anchor="P558" w:tooltip="5.6.2. Объекты защиты класса функциональной пожарной опасности Ф4.1 должны размещаться в отдельно стоящих зданиях, либо выделяться в самостоятельные пожарные отсеки при размещении в общественных зданиях иного класса функциональной пожарной опасности. Помещения начальной школы допускается размещать в зданиях (ДОО) без выделения противопожарными преградами.">
        <w:r>
          <w:rPr>
            <w:sz w:val="20"/>
            <w:color w:val="0000ff"/>
          </w:rPr>
          <w:t xml:space="preserve">пунктом 5.6.2</w:t>
        </w:r>
      </w:hyperlink>
      <w:r>
        <w:rPr>
          <w:sz w:val="20"/>
        </w:rPr>
        <w:t xml:space="preserve">.</w:t>
      </w:r>
    </w:p>
    <w:p>
      <w:pPr>
        <w:pStyle w:val="0"/>
        <w:spacing w:before="200" w:line-rule="auto"/>
        <w:ind w:firstLine="540"/>
        <w:jc w:val="both"/>
      </w:pPr>
      <w:r>
        <w:rPr>
          <w:sz w:val="20"/>
        </w:rPr>
        <w:t xml:space="preserve">В зданиях класса Ф1.3 встроенные и встроенно-пристроенные ДОО, а также организации социального обслуживания граждан в стационарной форме, должны отделяться от жилой части здания противопожарными перегородками в соответствии с </w:t>
      </w:r>
      <w:hyperlink w:history="0" w:anchor="P414" w:tooltip="5.2.7. В зданиях класса Ф1.3 встроенные и встроенно-пристроенные нежилые помещения и помещения общественного назначения, запроектированные в соответствии с СП 54.13330, следует отделять от жилой части противопожарными перегородками не ниже 1-го типа и перекрытиями не ниже 3-го типа (в зданиях I степени огнестойкости - перекрытиями 2-го типа) без проемов, за исключением случаев, предусмотренных нормативными документами по пожарной безопасности.">
        <w:r>
          <w:rPr>
            <w:sz w:val="20"/>
            <w:color w:val="0000ff"/>
          </w:rPr>
          <w:t xml:space="preserve">пунктом 5.2.7</w:t>
        </w:r>
      </w:hyperlink>
      <w:r>
        <w:rPr>
          <w:sz w:val="20"/>
        </w:rPr>
        <w:t xml:space="preserve">, а от других общественных помещений и организаций противопожарными перегородками 1-го типа без проемов и оборудоваться самостоятельными эвакуационными выходами из здания.</w:t>
      </w:r>
    </w:p>
    <w:p>
      <w:pPr>
        <w:pStyle w:val="0"/>
        <w:jc w:val="both"/>
      </w:pPr>
      <w:r>
        <w:rPr>
          <w:sz w:val="20"/>
        </w:rPr>
        <w:t xml:space="preserve">(в ред. </w:t>
      </w:r>
      <w:hyperlink w:history="0" r:id="rId165"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Размещаемые в составе ДОО помещения начальной школы выделять противопожарными преградами не требуется.</w:t>
      </w:r>
    </w:p>
    <w:p>
      <w:pPr>
        <w:pStyle w:val="0"/>
        <w:jc w:val="both"/>
      </w:pPr>
      <w:r>
        <w:rPr>
          <w:sz w:val="20"/>
        </w:rPr>
        <w:t xml:space="preserve">(п. 5.2.2 в ред. </w:t>
      </w:r>
      <w:hyperlink w:history="0" r:id="rId166"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5.2.3. Допускается в квартирах многоквартирных жилых домов, а также в жилых домах предусматривать не более одной семейной дошкольной группы до 5 детей.</w:t>
      </w:r>
    </w:p>
    <w:p>
      <w:pPr>
        <w:pStyle w:val="0"/>
        <w:spacing w:before="200" w:line-rule="auto"/>
        <w:ind w:firstLine="540"/>
        <w:jc w:val="both"/>
      </w:pPr>
      <w:r>
        <w:rPr>
          <w:sz w:val="20"/>
        </w:rPr>
        <w:t xml:space="preserve">В квартирах с двухсторонней ориентацией, расположенных не выше 2-го этажа в зданиях I и II степени огнестойкости, допускается предусматривать не более одной иной дошкольной группы детей дошкольного возраста до 10 детей.</w:t>
      </w:r>
    </w:p>
    <w:p>
      <w:pPr>
        <w:pStyle w:val="0"/>
        <w:spacing w:before="200" w:line-rule="auto"/>
        <w:ind w:firstLine="540"/>
        <w:jc w:val="both"/>
      </w:pPr>
      <w:r>
        <w:rPr>
          <w:sz w:val="20"/>
        </w:rPr>
        <w:t xml:space="preserve">К указанным помещениям предъявляются противопожарные требования, как к жилым помещениям жилых домов.</w:t>
      </w:r>
    </w:p>
    <w:p>
      <w:pPr>
        <w:pStyle w:val="0"/>
        <w:jc w:val="both"/>
      </w:pPr>
      <w:r>
        <w:rPr>
          <w:sz w:val="20"/>
        </w:rPr>
        <w:t xml:space="preserve">(п. 5.2.3 в ред. </w:t>
      </w:r>
      <w:hyperlink w:history="0" r:id="rId167"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5.2.4. Части здания с помещениями для круглосуточного проживания, пребывания людей на объектах классов функциональной пожарной опасности Ф1.1 и Ф1.2 следует размещать в отдельных корпусах или блоках, либо на отдельных этажах или частях этажей, отделенных от других функциональных частей объекта (образовательных, культурно-досуговых, спортивно-оздоровительных, общественного питания и торговли, систем инженерно-технического обеспечения) противопожарными стенами 2-го типа (или перегородками 1-го типа), в зданиях IV степени огнестойкости - противопожарными перегородками 2-го типа.</w:t>
      </w:r>
    </w:p>
    <w:p>
      <w:pPr>
        <w:pStyle w:val="0"/>
        <w:jc w:val="both"/>
      </w:pPr>
      <w:r>
        <w:rPr>
          <w:sz w:val="20"/>
        </w:rPr>
        <w:t xml:space="preserve">(п. 5.2.4 в ред. </w:t>
      </w:r>
      <w:hyperlink w:history="0" r:id="rId168"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5.2.5. Утратил силу. - </w:t>
      </w:r>
      <w:hyperlink w:history="0" r:id="rId169"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w:t>
        </w:r>
      </w:hyperlink>
      <w:r>
        <w:rPr>
          <w:sz w:val="20"/>
        </w:rPr>
        <w:t xml:space="preserve"> МЧС России от 14.02.2020 N 89.</w:t>
      </w:r>
    </w:p>
    <w:p>
      <w:pPr>
        <w:pStyle w:val="0"/>
        <w:spacing w:before="200" w:line-rule="auto"/>
        <w:ind w:firstLine="540"/>
        <w:jc w:val="both"/>
      </w:pPr>
      <w:r>
        <w:rPr>
          <w:sz w:val="20"/>
        </w:rPr>
        <w:t xml:space="preserve">5.2.6. Размещаемые в зданиях, сооружениях классов функциональной пожарной опасности Ф1.1, Ф1.2, Ф1.3 части здания или помещения производственного, складского назначения, помещения для инженерного оборудования и технического обслуживания объекта следует выделять противопожарными преградами в соответствии с </w:t>
      </w:r>
      <w:hyperlink w:history="0" w:anchor="P363" w:tooltip="5.1.2. Размещаемые в жилых и общественных зданиях помещения производственного и складского назначения (мастерские, лаборатории, кладовые различного назначения), а также помещения для инженерного оборудования и технического обслуживания с наличием пожароопасных и пожаровзрывоопасных процессов и веществ (котельные, системы газоснабжения, электроснабжения и т.д.) подлежат категорированию по взрывопожарной и пожарной опасности в соответствии с СП 12.13130.">
        <w:r>
          <w:rPr>
            <w:sz w:val="20"/>
            <w:color w:val="0000ff"/>
          </w:rPr>
          <w:t xml:space="preserve">пунктом 5.1.2</w:t>
        </w:r>
      </w:hyperlink>
      <w:r>
        <w:rPr>
          <w:sz w:val="20"/>
        </w:rPr>
        <w:t xml:space="preserve">.</w:t>
      </w:r>
    </w:p>
    <w:p>
      <w:pPr>
        <w:pStyle w:val="0"/>
        <w:jc w:val="both"/>
      </w:pPr>
      <w:r>
        <w:rPr>
          <w:sz w:val="20"/>
        </w:rPr>
        <w:t xml:space="preserve">(п. 5.2.6 в ред. </w:t>
      </w:r>
      <w:hyperlink w:history="0" r:id="rId170"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bookmarkStart w:id="414" w:name="P414"/>
    <w:bookmarkEnd w:id="414"/>
    <w:p>
      <w:pPr>
        <w:pStyle w:val="0"/>
        <w:spacing w:before="200" w:line-rule="auto"/>
        <w:ind w:firstLine="540"/>
        <w:jc w:val="both"/>
      </w:pPr>
      <w:r>
        <w:rPr>
          <w:sz w:val="20"/>
        </w:rPr>
        <w:t xml:space="preserve">5.2.7. В зданиях класса Ф1.3 встроенные и встроенно-пристроенные нежилые помещения и помещения общественного назначения, запроектированные в соответствии с </w:t>
      </w:r>
      <w:hyperlink w:history="0" r:id="rId171" w:tooltip="&quot;Опечатки в СП 54.13330.2011 &quot;СНиП 31-01-2003 Здания жилые многоквартирные&quot; {КонсультантПлюс}">
        <w:r>
          <w:rPr>
            <w:sz w:val="20"/>
            <w:color w:val="0000ff"/>
          </w:rPr>
          <w:t xml:space="preserve">СП 54.13330</w:t>
        </w:r>
      </w:hyperlink>
      <w:r>
        <w:rPr>
          <w:sz w:val="20"/>
        </w:rPr>
        <w:t xml:space="preserve">, следует отделять от жилой части противопожарными перегородками не ниже 1-го типа и перекрытиями не ниже 3-го типа (в зданиях I степени огнестойкости - перекрытиями 2-го типа) без проемов, за исключением случаев, предусмотренных нормативными документами по пожарной безопасности.</w:t>
      </w:r>
    </w:p>
    <w:p>
      <w:pPr>
        <w:pStyle w:val="0"/>
        <w:spacing w:before="200" w:line-rule="auto"/>
        <w:ind w:firstLine="540"/>
        <w:jc w:val="both"/>
      </w:pPr>
      <w:r>
        <w:rPr>
          <w:sz w:val="20"/>
        </w:rPr>
        <w:t xml:space="preserve">Сообщение с общественной частью здания допускается только через вестибюль входной группы жилой части на первом или цокольном этаже. Сообщение допускается с:</w:t>
      </w:r>
    </w:p>
    <w:p>
      <w:pPr>
        <w:pStyle w:val="0"/>
        <w:spacing w:before="200" w:line-rule="auto"/>
        <w:ind w:firstLine="540"/>
        <w:jc w:val="both"/>
      </w:pPr>
      <w:r>
        <w:rPr>
          <w:sz w:val="20"/>
        </w:rPr>
        <w:t xml:space="preserve">помещениями для ухода и присмотра за детьми (кроме образовательных услуг, регулируемых законодательством об образовании, а также помещениями по уходу и присмотру за детьми в детских организациях любого типа образовательной деятельности);</w:t>
      </w:r>
    </w:p>
    <w:p>
      <w:pPr>
        <w:pStyle w:val="0"/>
        <w:spacing w:before="200" w:line-rule="auto"/>
        <w:ind w:firstLine="540"/>
        <w:jc w:val="both"/>
      </w:pPr>
      <w:r>
        <w:rPr>
          <w:sz w:val="20"/>
        </w:rPr>
        <w:t xml:space="preserve">приемными пунктами или прачечными самообслуживания производительностью до 75 кг в смену;</w:t>
      </w:r>
    </w:p>
    <w:p>
      <w:pPr>
        <w:pStyle w:val="0"/>
        <w:spacing w:before="200" w:line-rule="auto"/>
        <w:ind w:firstLine="540"/>
        <w:jc w:val="both"/>
      </w:pPr>
      <w:r>
        <w:rPr>
          <w:sz w:val="20"/>
        </w:rPr>
        <w:t xml:space="preserve">магазинами продовольственных товаров площадью до 150 м</w:t>
      </w:r>
      <w:r>
        <w:rPr>
          <w:sz w:val="20"/>
          <w:vertAlign w:val="superscript"/>
        </w:rPr>
        <w:t xml:space="preserve">2</w:t>
      </w:r>
      <w:r>
        <w:rPr>
          <w:sz w:val="20"/>
        </w:rPr>
        <w:t xml:space="preserve">;</w:t>
      </w:r>
    </w:p>
    <w:p>
      <w:pPr>
        <w:pStyle w:val="0"/>
        <w:spacing w:before="200" w:line-rule="auto"/>
        <w:ind w:firstLine="540"/>
        <w:jc w:val="both"/>
      </w:pPr>
      <w:r>
        <w:rPr>
          <w:sz w:val="20"/>
        </w:rPr>
        <w:t xml:space="preserve">помещениями тренажерных, спортивных залов, парикмахерских и салонов красоты;</w:t>
      </w:r>
    </w:p>
    <w:p>
      <w:pPr>
        <w:pStyle w:val="0"/>
        <w:spacing w:before="200" w:line-rule="auto"/>
        <w:ind w:firstLine="540"/>
        <w:jc w:val="both"/>
      </w:pPr>
      <w:r>
        <w:rPr>
          <w:sz w:val="20"/>
        </w:rPr>
        <w:t xml:space="preserve">помещениями для собраний и досуговых занятий жильцов, административными помещениями жилищно-эксплуатационной организации дома.</w:t>
      </w:r>
    </w:p>
    <w:p>
      <w:pPr>
        <w:pStyle w:val="0"/>
        <w:spacing w:before="200" w:line-rule="auto"/>
        <w:ind w:firstLine="540"/>
        <w:jc w:val="both"/>
      </w:pPr>
      <w:r>
        <w:rPr>
          <w:sz w:val="20"/>
        </w:rPr>
        <w:t xml:space="preserve">Указанные общественные помещения должны иметь самостоятельные эвакуационные пути и выходы, обособленные от жилой части здания.</w:t>
      </w:r>
    </w:p>
    <w:p>
      <w:pPr>
        <w:pStyle w:val="0"/>
        <w:spacing w:before="200" w:line-rule="auto"/>
        <w:ind w:firstLine="540"/>
        <w:jc w:val="both"/>
      </w:pPr>
      <w:r>
        <w:rPr>
          <w:sz w:val="20"/>
        </w:rPr>
        <w:t xml:space="preserve">Проход из вестибюля в помещения общественного назначения для зданий высотой не более 28 м допускается предусматривать через тамбур с конструктивным исполнением, аналогичным тамбур-шлюзу 1-го типа без подпора воздуха при пожаре. В зданиях высотой более 28 м указанное сообщение следует осуществлять через тамбур-шлюзы с подпором воздуха при пожаре. Эвакуационные лестничные клетки жилой части, имеющие выход в указанный вестибюль, должны также иметь выходы непосредственно наружу. Двери, ведущие из лестничной клетки в вестибюль, следует предусмотреть противопожарными не ниже 3-го типа.</w:t>
      </w:r>
    </w:p>
    <w:p>
      <w:pPr>
        <w:pStyle w:val="0"/>
        <w:jc w:val="both"/>
      </w:pPr>
      <w:r>
        <w:rPr>
          <w:sz w:val="20"/>
        </w:rPr>
        <w:t xml:space="preserve">(п. 5.2.7 в ред. </w:t>
      </w:r>
      <w:hyperlink w:history="0" r:id="rId172"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5.2.8. В жилых зданиях класса функциональной пожарной опасности Ф1.3 не допускается размещать помещения и организации, указанные в </w:t>
      </w:r>
      <w:hyperlink w:history="0" w:anchor="P374" w:tooltip="5.1.3. В жилых и общественных зданиях (кроме зданий класса функциональной пожарной опасности Ф3.1) не допускается размещать предприятия торговли по продаже:">
        <w:r>
          <w:rPr>
            <w:sz w:val="20"/>
            <w:color w:val="0000ff"/>
          </w:rPr>
          <w:t xml:space="preserve">пунктах 5.1.3</w:t>
        </w:r>
      </w:hyperlink>
      <w:r>
        <w:rPr>
          <w:sz w:val="20"/>
        </w:rPr>
        <w:t xml:space="preserve">, </w:t>
      </w:r>
      <w:hyperlink w:history="0" w:anchor="P381" w:tooltip="5.1.4. В подвальных и подземных этажах этажах жилых и общественных зданий не допускается размещать:">
        <w:r>
          <w:rPr>
            <w:sz w:val="20"/>
            <w:color w:val="0000ff"/>
          </w:rPr>
          <w:t xml:space="preserve">5.1.4</w:t>
        </w:r>
      </w:hyperlink>
      <w:r>
        <w:rPr>
          <w:sz w:val="20"/>
        </w:rPr>
        <w:t xml:space="preserve">, а также:</w:t>
      </w:r>
    </w:p>
    <w:p>
      <w:pPr>
        <w:pStyle w:val="0"/>
        <w:jc w:val="both"/>
      </w:pPr>
      <w:r>
        <w:rPr>
          <w:sz w:val="20"/>
        </w:rPr>
        <w:t xml:space="preserve">(в ред. </w:t>
      </w:r>
      <w:hyperlink w:history="0" r:id="rId173"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 магазины по продаже мебели (кроме выставочных залов, дизайн-студий и офисов оформления заказов), синтетических ковровых изделий, автозапчастей, шин и автомобильных масел (магазины по продаже синтетических ковровых изделий допускается пристраивать к глухим участкам стен с пределом огнестойкости REI 150);</w:t>
      </w:r>
    </w:p>
    <w:p>
      <w:pPr>
        <w:pStyle w:val="0"/>
        <w:jc w:val="both"/>
      </w:pPr>
      <w:r>
        <w:rPr>
          <w:sz w:val="20"/>
        </w:rPr>
        <w:t xml:space="preserve">(в ред. </w:t>
      </w:r>
      <w:hyperlink w:history="0" r:id="rId174"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 объекты производственного и складского назначения, в том числе склады оптовой или мелкооптовой торговли (кроме внеквартирных хозяйственных кладовых жильцов, производственных помещений, упомянутых в </w:t>
      </w:r>
      <w:hyperlink w:history="0" r:id="rId175" w:tooltip="&quot;СП 54.13330.2016. Свод правил. Здания жилые многоквартирные. Актуализированная редакция СНиП 31-01-2003&quot; (утв. Приказом Минстроя России от 03.12.2016 N 883/пр) (ред. от 19.12.2019) ------------ Утратил силу или отменен {КонсультантПлюс}">
        <w:r>
          <w:rPr>
            <w:sz w:val="20"/>
            <w:color w:val="0000ff"/>
          </w:rPr>
          <w:t xml:space="preserve">СП 54.13330</w:t>
        </w:r>
      </w:hyperlink>
      <w:r>
        <w:rPr>
          <w:sz w:val="20"/>
        </w:rPr>
        <w:t xml:space="preserve">, а также за исключением производственных помещений категорий В4, Д по пожарной опасности и кладовых, входящих в группу технических помещений жилого дома);</w:t>
      </w:r>
    </w:p>
    <w:p>
      <w:pPr>
        <w:pStyle w:val="0"/>
        <w:spacing w:before="200" w:line-rule="auto"/>
        <w:ind w:firstLine="540"/>
        <w:jc w:val="both"/>
      </w:pPr>
      <w:r>
        <w:rPr>
          <w:sz w:val="20"/>
        </w:rPr>
        <w:t xml:space="preserve">- предприятия бытового обслуживания, в которых применяются легковоспламеняющиеся вещества (кроме парикмахерских, косметических салонов и мастерских по ремонту часов общей площадью до 300 м</w:t>
      </w:r>
      <w:r>
        <w:rPr>
          <w:sz w:val="20"/>
          <w:vertAlign w:val="superscript"/>
        </w:rPr>
        <w:t xml:space="preserve">2</w:t>
      </w:r>
      <w:r>
        <w:rPr>
          <w:sz w:val="20"/>
        </w:rPr>
        <w:t xml:space="preserve">);</w:t>
      </w:r>
    </w:p>
    <w:p>
      <w:pPr>
        <w:pStyle w:val="0"/>
        <w:spacing w:before="200" w:line-rule="auto"/>
        <w:ind w:firstLine="540"/>
        <w:jc w:val="both"/>
      </w:pPr>
      <w:r>
        <w:rPr>
          <w:sz w:val="20"/>
        </w:rPr>
        <w:t xml:space="preserve">- прачечные и химчистки (кроме приемных пунктов и прачечных самообслуживания производительностью до 75 кг в смену);</w:t>
      </w:r>
    </w:p>
    <w:p>
      <w:pPr>
        <w:pStyle w:val="0"/>
        <w:spacing w:before="200" w:line-rule="auto"/>
        <w:ind w:firstLine="540"/>
        <w:jc w:val="both"/>
      </w:pPr>
      <w:r>
        <w:rPr>
          <w:sz w:val="20"/>
        </w:rPr>
        <w:t xml:space="preserve">- бани и сауны (кроме парильных типа "хамам" и инфракрасных кабин, а также индивидуальных саун в квартирах);</w:t>
      </w:r>
    </w:p>
    <w:p>
      <w:pPr>
        <w:pStyle w:val="0"/>
        <w:jc w:val="both"/>
      </w:pPr>
      <w:r>
        <w:rPr>
          <w:sz w:val="20"/>
        </w:rPr>
        <w:t xml:space="preserve">(в ред. </w:t>
      </w:r>
      <w:hyperlink w:history="0" r:id="rId176"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 встроенные и пристроенные трансформаторные подстанции.</w:t>
      </w:r>
    </w:p>
    <w:p>
      <w:pPr>
        <w:pStyle w:val="0"/>
        <w:jc w:val="both"/>
      </w:pPr>
      <w:r>
        <w:rPr>
          <w:sz w:val="20"/>
        </w:rPr>
        <w:t xml:space="preserve">(п. 5.2.8 в ред. </w:t>
      </w:r>
      <w:hyperlink w:history="0" r:id="rId177"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5.2.9. В зданиях I, II и III степеней огнестойкости, класса Ф 1.3 для деления на секции следует предусматривать противопожарные стены 2-го типа или перегородки не ниже 1-го типа, а стены и перегородки, отделяющие внеквартирные коридоры от других помещений, должны иметь предел огнестойкости не менее EI 45. Межквартирные ненесущие стены и перегородки должны иметь предел огнестойкости не менее EI 30 и класс пожарной опасности К0.</w:t>
      </w:r>
    </w:p>
    <w:p>
      <w:pPr>
        <w:pStyle w:val="0"/>
        <w:spacing w:before="200" w:line-rule="auto"/>
        <w:ind w:firstLine="540"/>
        <w:jc w:val="both"/>
      </w:pPr>
      <w:r>
        <w:rPr>
          <w:sz w:val="20"/>
        </w:rPr>
        <w:t xml:space="preserve">В зданиях IV степени огнестойкости должны использоваться межсекционные стены или перегородки, а также стены и перегородки, отделяющие внеквартирные коридоры от других помещений с пределом огнестойкости не менее EI 15, межквартирные ненесущие стены и перегородки должны иметь предел огнестойкости не менее EI 15 и класс пожарной опасности не ниже К1.</w:t>
      </w:r>
    </w:p>
    <w:p>
      <w:pPr>
        <w:pStyle w:val="0"/>
        <w:spacing w:before="200" w:line-rule="auto"/>
        <w:ind w:firstLine="540"/>
        <w:jc w:val="both"/>
      </w:pPr>
      <w:r>
        <w:rPr>
          <w:sz w:val="20"/>
        </w:rPr>
        <w:t xml:space="preserve">Технические, подвальные этажи и чердаки следует разделять противопожарными перегородками 1-го типа на части площадью не более 500 м</w:t>
      </w:r>
      <w:r>
        <w:rPr>
          <w:sz w:val="20"/>
          <w:vertAlign w:val="superscript"/>
        </w:rPr>
        <w:t xml:space="preserve">2</w:t>
      </w:r>
      <w:r>
        <w:rPr>
          <w:sz w:val="20"/>
        </w:rPr>
        <w:t xml:space="preserve"> в несекционных жилых домах, а в секционных - по секциям. Предел огнестойкости дверей в противопожарных перегородках, отделяющих помещения категории Д, не нормируется.</w:t>
      </w:r>
    </w:p>
    <w:p>
      <w:pPr>
        <w:pStyle w:val="0"/>
        <w:spacing w:before="200" w:line-rule="auto"/>
        <w:ind w:firstLine="540"/>
        <w:jc w:val="both"/>
      </w:pPr>
      <w:r>
        <w:rPr>
          <w:sz w:val="20"/>
        </w:rPr>
        <w:t xml:space="preserve">5.2.10. В жилых домах с печным отоплением при устройстве кладовых твердого топлива в цокольном или первом этажах их следует отделять от других помещений глухими противопожарными перегородками не ниже 1-го типа и перекрытиями не ниже 3-го типа. Выход из этих кладовых должен быть непосредственно наружу.</w:t>
      </w:r>
    </w:p>
    <w:p>
      <w:pPr>
        <w:pStyle w:val="0"/>
        <w:spacing w:before="200" w:line-rule="auto"/>
        <w:ind w:firstLine="540"/>
        <w:jc w:val="both"/>
      </w:pPr>
      <w:r>
        <w:rPr>
          <w:sz w:val="20"/>
        </w:rPr>
        <w:t xml:space="preserve">5.2.11. Размещение внеквартирных хозяйственных кладовых жильцов допускается в первом, цокольном и подвальном нежилых этажах многоквартирных жилых зданий I - III степени огнестойкости класса конструктивной пожарной опасности С0 и С1. Размещение помещений или зон, предназначенных для временного хранения колясок, санок и велосипедов жильцов, не регламентируется и допускается без выделения противопожарными преградами, при соблюдении требований к эвакуационным путям.</w:t>
      </w:r>
    </w:p>
    <w:p>
      <w:pPr>
        <w:pStyle w:val="0"/>
        <w:jc w:val="both"/>
      </w:pPr>
      <w:r>
        <w:rPr>
          <w:sz w:val="20"/>
        </w:rPr>
        <w:t xml:space="preserve">(в ред. </w:t>
      </w:r>
      <w:hyperlink w:history="0" r:id="rId178"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Надземные этажи с хозяйственными кладовыми следует разделять противопожарными стенами 2-го типа или перегородками 1-го типа на части площадью не более 500 м</w:t>
      </w:r>
      <w:r>
        <w:rPr>
          <w:sz w:val="20"/>
          <w:vertAlign w:val="superscript"/>
        </w:rPr>
        <w:t xml:space="preserve">2</w:t>
      </w:r>
      <w:r>
        <w:rPr>
          <w:sz w:val="20"/>
        </w:rPr>
        <w:t xml:space="preserve"> - в несекционных жилых домах, а в секционных домах - по секциям. В подвальных и цокольных этажах площадь такой части не должна превышать 250 м</w:t>
      </w:r>
      <w:r>
        <w:rPr>
          <w:sz w:val="20"/>
          <w:vertAlign w:val="superscript"/>
        </w:rPr>
        <w:t xml:space="preserve">2</w:t>
      </w:r>
      <w:r>
        <w:rPr>
          <w:sz w:val="20"/>
        </w:rPr>
        <w:t xml:space="preserve">. Части этажа с кладовыми следует отделять от помещений другого назначения на этаже, а также от технических помещений, технических коридоров и коридоров для прокладки коммуникаций здания противопожарными перегородками 1-го типа.</w:t>
      </w:r>
    </w:p>
    <w:p>
      <w:pPr>
        <w:pStyle w:val="0"/>
        <w:spacing w:before="200" w:line-rule="auto"/>
        <w:ind w:firstLine="540"/>
        <w:jc w:val="both"/>
      </w:pPr>
      <w:r>
        <w:rPr>
          <w:sz w:val="20"/>
        </w:rPr>
        <w:t xml:space="preserve">Для выделения кладовых различных владельцев друг от друга допускается применять как сетчатые, так и сплошные перегородки. В подвальных и цокольных этажах сплошные перегородки должны выполняться до потолка (либо должно предусматриваться покрытие кладовых сверху) с ограждающими конструкциями из материалов НГ или Г1, материал дверей не нормируется, а площадь такой кладовой не должна превышать 10 м</w:t>
      </w:r>
      <w:r>
        <w:rPr>
          <w:sz w:val="20"/>
          <w:vertAlign w:val="superscript"/>
        </w:rPr>
        <w:t xml:space="preserve">2</w:t>
      </w:r>
      <w:r>
        <w:rPr>
          <w:sz w:val="20"/>
        </w:rPr>
        <w:t xml:space="preserve">.</w:t>
      </w:r>
    </w:p>
    <w:p>
      <w:pPr>
        <w:pStyle w:val="0"/>
        <w:spacing w:before="200" w:line-rule="auto"/>
        <w:ind w:firstLine="540"/>
        <w:jc w:val="both"/>
      </w:pPr>
      <w:r>
        <w:rPr>
          <w:sz w:val="20"/>
        </w:rPr>
        <w:t xml:space="preserve">Внеквартирные хозяйственные кладовые жильцов должны предусматриваться площадью не более 10 м</w:t>
      </w:r>
      <w:r>
        <w:rPr>
          <w:sz w:val="20"/>
          <w:vertAlign w:val="superscript"/>
        </w:rPr>
        <w:t xml:space="preserve">2</w:t>
      </w:r>
      <w:r>
        <w:rPr>
          <w:sz w:val="20"/>
        </w:rPr>
        <w:t xml:space="preserve"> и отделяться от коридоров (в том числе коридоров для прокладки коммуникаций) противопожарными перегородками 1-го типа. Для разделения друг от друга кладовых различных владельцев допускается применять сплошные, возводимые до перекрытия, перегородки с ненормируемыми пределами огнестойкости из негорючих материалов или материалов группы горючести Г1.</w:t>
      </w:r>
    </w:p>
    <w:p>
      <w:pPr>
        <w:pStyle w:val="0"/>
        <w:jc w:val="both"/>
      </w:pPr>
      <w:r>
        <w:rPr>
          <w:sz w:val="20"/>
        </w:rPr>
        <w:t xml:space="preserve">(абзац введен </w:t>
      </w:r>
      <w:hyperlink w:history="0" r:id="rId179"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Приказом</w:t>
        </w:r>
      </w:hyperlink>
      <w:r>
        <w:rPr>
          <w:sz w:val="20"/>
        </w:rPr>
        <w:t xml:space="preserve"> МЧС России от 15.06.2022 N 610)</w:t>
      </w:r>
    </w:p>
    <w:p>
      <w:pPr>
        <w:pStyle w:val="0"/>
        <w:spacing w:before="200" w:line-rule="auto"/>
        <w:ind w:firstLine="540"/>
        <w:jc w:val="both"/>
      </w:pPr>
      <w:r>
        <w:rPr>
          <w:sz w:val="20"/>
        </w:rPr>
        <w:t xml:space="preserve">Хозяйственные кладовые (места хранения) также допускается размещать в обособленных блоках (частях этажа), выделяемых противопожарными стенами 2-го типа или перегородками 1-го типа. Площадь каждого из таких блоков не должна превышать 200 м</w:t>
      </w:r>
      <w:r>
        <w:rPr>
          <w:sz w:val="20"/>
          <w:vertAlign w:val="superscript"/>
        </w:rPr>
        <w:t xml:space="preserve">2</w:t>
      </w:r>
      <w:r>
        <w:rPr>
          <w:sz w:val="20"/>
        </w:rPr>
        <w:t xml:space="preserve">, при этом внутри блока для разделения (в том числе отделения от эвакуационного прохода) кладовых различных владельцев допускается применять как сетчатые, так и сплошные перегородки из негорючих материалов или материалов группы горючести Г1. Сплошные перегородки не должны доходить до перекрытия на величину минимально допустимого зазора для работы систем противопожарной защиты блока.</w:t>
      </w:r>
    </w:p>
    <w:p>
      <w:pPr>
        <w:pStyle w:val="0"/>
        <w:jc w:val="both"/>
      </w:pPr>
      <w:r>
        <w:rPr>
          <w:sz w:val="20"/>
        </w:rPr>
        <w:t xml:space="preserve">(абзац введен </w:t>
      </w:r>
      <w:hyperlink w:history="0" r:id="rId180"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Приказом</w:t>
        </w:r>
      </w:hyperlink>
      <w:r>
        <w:rPr>
          <w:sz w:val="20"/>
        </w:rPr>
        <w:t xml:space="preserve"> МЧС России от 15.06.2022 N 610)</w:t>
      </w:r>
    </w:p>
    <w:p>
      <w:pPr>
        <w:pStyle w:val="0"/>
        <w:jc w:val="both"/>
      </w:pPr>
      <w:r>
        <w:rPr>
          <w:sz w:val="20"/>
        </w:rPr>
        <w:t xml:space="preserve">(п. 5.2.11 в ред. </w:t>
      </w:r>
      <w:hyperlink w:history="0" r:id="rId181"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5.2.12. В блокированных зданиях класса Ф1.4 смежные жилые блоки следует разделять глухими противопожарными стенами с пределом огнестойкости не менее REI 45 и класса пожарной опасности не ниже К1.</w:t>
      </w:r>
    </w:p>
    <w:p>
      <w:pPr>
        <w:pStyle w:val="0"/>
        <w:ind w:firstLine="540"/>
        <w:jc w:val="both"/>
      </w:pPr>
      <w:r>
        <w:rPr>
          <w:sz w:val="20"/>
        </w:rPr>
      </w:r>
    </w:p>
    <w:bookmarkStart w:id="450" w:name="P450"/>
    <w:bookmarkEnd w:id="450"/>
    <w:p>
      <w:pPr>
        <w:pStyle w:val="2"/>
        <w:outlineLvl w:val="2"/>
        <w:ind w:firstLine="540"/>
        <w:jc w:val="both"/>
      </w:pPr>
      <w:r>
        <w:rPr>
          <w:sz w:val="20"/>
        </w:rPr>
        <w:t xml:space="preserve">5.3. Требования к объектам класса функциональной пожарной опасности Ф1.4 при организованной малоэтажной застройке</w:t>
      </w:r>
    </w:p>
    <w:p>
      <w:pPr>
        <w:pStyle w:val="0"/>
        <w:ind w:firstLine="540"/>
        <w:jc w:val="both"/>
      </w:pPr>
      <w:r>
        <w:rPr>
          <w:sz w:val="20"/>
        </w:rPr>
      </w:r>
    </w:p>
    <w:p>
      <w:pPr>
        <w:pStyle w:val="0"/>
        <w:ind w:firstLine="540"/>
        <w:jc w:val="both"/>
      </w:pPr>
      <w:r>
        <w:rPr>
          <w:sz w:val="20"/>
        </w:rPr>
        <w:t xml:space="preserve">5.3.1. Настоящий подраздел содержит требования к объектам класса функциональной опасности Ф1.4 (одноквартирные жилые дома, в том числе блокированные), предназначенным для постоянного проживания и временного (в том числе круглосуточного) пребывания людей при организованной малоэтажной застройке.</w:t>
      </w:r>
    </w:p>
    <w:p>
      <w:pPr>
        <w:pStyle w:val="0"/>
        <w:spacing w:before="200" w:line-rule="auto"/>
        <w:ind w:firstLine="540"/>
        <w:jc w:val="both"/>
      </w:pPr>
      <w:r>
        <w:rPr>
          <w:sz w:val="20"/>
        </w:rPr>
        <w:t xml:space="preserve">5.3.2. 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w:t>
      </w:r>
      <w:hyperlink w:history="0" w:anchor="P455" w:tooltip="Таблица 2">
        <w:r>
          <w:rPr>
            <w:sz w:val="20"/>
            <w:color w:val="0000ff"/>
          </w:rPr>
          <w:t xml:space="preserve">таблицей 2</w:t>
        </w:r>
      </w:hyperlink>
      <w:r>
        <w:rPr>
          <w:sz w:val="20"/>
        </w:rPr>
        <w:t xml:space="preserve">.</w:t>
      </w:r>
    </w:p>
    <w:p>
      <w:pPr>
        <w:pStyle w:val="0"/>
        <w:ind w:firstLine="540"/>
        <w:jc w:val="both"/>
      </w:pPr>
      <w:r>
        <w:rPr>
          <w:sz w:val="20"/>
        </w:rPr>
      </w:r>
    </w:p>
    <w:bookmarkStart w:id="455" w:name="P455"/>
    <w:bookmarkEnd w:id="455"/>
    <w:p>
      <w:pPr>
        <w:pStyle w:val="0"/>
        <w:outlineLvl w:val="3"/>
      </w:pPr>
      <w:r>
        <w:rPr>
          <w:sz w:val="20"/>
        </w:rPr>
        <w:t xml:space="preserve">Таблица 2</w:t>
      </w:r>
    </w:p>
    <w:p>
      <w:pPr>
        <w:pStyle w:val="0"/>
        <w:jc w:val="right"/>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57"/>
        <w:gridCol w:w="2438"/>
        <w:gridCol w:w="2098"/>
        <w:gridCol w:w="2721"/>
      </w:tblGrid>
      <w:tr>
        <w:tc>
          <w:tcPr>
            <w:tcW w:w="1757" w:type="dxa"/>
            <w:vMerge w:val="restart"/>
          </w:tcPr>
          <w:p>
            <w:pPr>
              <w:pStyle w:val="0"/>
              <w:jc w:val="center"/>
            </w:pPr>
            <w:r>
              <w:rPr>
                <w:sz w:val="20"/>
              </w:rPr>
              <w:t xml:space="preserve">Степень огнестойкости здания</w:t>
            </w:r>
          </w:p>
        </w:tc>
        <w:tc>
          <w:tcPr>
            <w:tcW w:w="2438" w:type="dxa"/>
            <w:vMerge w:val="restart"/>
          </w:tcPr>
          <w:p>
            <w:pPr>
              <w:pStyle w:val="0"/>
              <w:jc w:val="center"/>
            </w:pPr>
            <w:r>
              <w:rPr>
                <w:sz w:val="20"/>
              </w:rPr>
              <w:t xml:space="preserve">Класс конструктивной пожарной опасности</w:t>
            </w:r>
          </w:p>
        </w:tc>
        <w:tc>
          <w:tcPr>
            <w:gridSpan w:val="2"/>
            <w:tcW w:w="4819" w:type="dxa"/>
          </w:tcPr>
          <w:p>
            <w:pPr>
              <w:pStyle w:val="0"/>
              <w:jc w:val="center"/>
            </w:pPr>
            <w:r>
              <w:rPr>
                <w:sz w:val="20"/>
              </w:rPr>
              <w:t xml:space="preserve">Минимальные расстояния при степени огнестойкости и классе конструктивной пожарной опасности жилых зданий, м</w:t>
            </w:r>
          </w:p>
        </w:tc>
      </w:tr>
      <w:tr>
        <w:tc>
          <w:tcPr>
            <w:vMerge w:val="continue"/>
          </w:tcPr>
          <w:p/>
        </w:tc>
        <w:tc>
          <w:tcPr>
            <w:vMerge w:val="continue"/>
          </w:tcPr>
          <w:p/>
        </w:tc>
        <w:tc>
          <w:tcPr>
            <w:tcW w:w="2098" w:type="dxa"/>
          </w:tcPr>
          <w:p>
            <w:pPr>
              <w:pStyle w:val="0"/>
              <w:jc w:val="center"/>
            </w:pPr>
            <w:r>
              <w:rPr>
                <w:sz w:val="20"/>
              </w:rPr>
              <w:t xml:space="preserve">I, II, III</w:t>
            </w:r>
          </w:p>
          <w:p>
            <w:pPr>
              <w:pStyle w:val="0"/>
              <w:jc w:val="center"/>
            </w:pPr>
            <w:r>
              <w:rPr>
                <w:sz w:val="20"/>
              </w:rPr>
              <w:t xml:space="preserve">С0</w:t>
            </w:r>
          </w:p>
        </w:tc>
        <w:tc>
          <w:tcPr>
            <w:tcW w:w="2721" w:type="dxa"/>
          </w:tcPr>
          <w:p>
            <w:pPr>
              <w:pStyle w:val="0"/>
              <w:jc w:val="center"/>
            </w:pPr>
            <w:r>
              <w:rPr>
                <w:sz w:val="20"/>
              </w:rPr>
              <w:t xml:space="preserve">II, III</w:t>
            </w:r>
          </w:p>
          <w:p>
            <w:pPr>
              <w:pStyle w:val="0"/>
              <w:jc w:val="center"/>
            </w:pPr>
            <w:r>
              <w:rPr>
                <w:sz w:val="20"/>
              </w:rPr>
              <w:t xml:space="preserve">С1</w:t>
            </w:r>
          </w:p>
        </w:tc>
      </w:tr>
      <w:tr>
        <w:tc>
          <w:tcPr>
            <w:tcW w:w="1757" w:type="dxa"/>
          </w:tcPr>
          <w:p>
            <w:pPr>
              <w:pStyle w:val="0"/>
              <w:jc w:val="center"/>
            </w:pPr>
            <w:r>
              <w:rPr>
                <w:sz w:val="20"/>
              </w:rPr>
              <w:t xml:space="preserve">I, II, III</w:t>
            </w:r>
          </w:p>
        </w:tc>
        <w:tc>
          <w:tcPr>
            <w:tcW w:w="2438" w:type="dxa"/>
          </w:tcPr>
          <w:p>
            <w:pPr>
              <w:pStyle w:val="0"/>
              <w:jc w:val="center"/>
            </w:pPr>
            <w:r>
              <w:rPr>
                <w:sz w:val="20"/>
              </w:rPr>
              <w:t xml:space="preserve">С0</w:t>
            </w:r>
          </w:p>
        </w:tc>
        <w:tc>
          <w:tcPr>
            <w:tcW w:w="2098" w:type="dxa"/>
          </w:tcPr>
          <w:p>
            <w:pPr>
              <w:pStyle w:val="0"/>
              <w:jc w:val="center"/>
            </w:pPr>
            <w:r>
              <w:rPr>
                <w:sz w:val="20"/>
              </w:rPr>
              <w:t xml:space="preserve">6</w:t>
            </w:r>
          </w:p>
        </w:tc>
        <w:tc>
          <w:tcPr>
            <w:tcW w:w="2721" w:type="dxa"/>
          </w:tcPr>
          <w:p>
            <w:pPr>
              <w:pStyle w:val="0"/>
              <w:jc w:val="center"/>
            </w:pPr>
            <w:r>
              <w:rPr>
                <w:sz w:val="20"/>
              </w:rPr>
              <w:t xml:space="preserve">8</w:t>
            </w:r>
          </w:p>
        </w:tc>
      </w:tr>
      <w:tr>
        <w:tc>
          <w:tcPr>
            <w:tcW w:w="1757" w:type="dxa"/>
          </w:tcPr>
          <w:p>
            <w:pPr>
              <w:pStyle w:val="0"/>
              <w:jc w:val="center"/>
            </w:pPr>
            <w:r>
              <w:rPr>
                <w:sz w:val="20"/>
              </w:rPr>
              <w:t xml:space="preserve">II, III</w:t>
            </w:r>
          </w:p>
        </w:tc>
        <w:tc>
          <w:tcPr>
            <w:tcW w:w="2438" w:type="dxa"/>
          </w:tcPr>
          <w:p>
            <w:pPr>
              <w:pStyle w:val="0"/>
              <w:jc w:val="center"/>
            </w:pPr>
            <w:r>
              <w:rPr>
                <w:sz w:val="20"/>
              </w:rPr>
              <w:t xml:space="preserve">С1</w:t>
            </w:r>
          </w:p>
        </w:tc>
        <w:tc>
          <w:tcPr>
            <w:tcW w:w="2098" w:type="dxa"/>
          </w:tcPr>
          <w:p>
            <w:pPr>
              <w:pStyle w:val="0"/>
              <w:jc w:val="center"/>
            </w:pPr>
            <w:r>
              <w:rPr>
                <w:sz w:val="20"/>
              </w:rPr>
              <w:t xml:space="preserve">8</w:t>
            </w:r>
          </w:p>
        </w:tc>
        <w:tc>
          <w:tcPr>
            <w:tcW w:w="2721" w:type="dxa"/>
          </w:tcPr>
          <w:p>
            <w:pPr>
              <w:pStyle w:val="0"/>
              <w:jc w:val="center"/>
            </w:pPr>
            <w:r>
              <w:rPr>
                <w:sz w:val="20"/>
              </w:rPr>
              <w:t xml:space="preserve">8</w:t>
            </w:r>
          </w:p>
        </w:tc>
      </w:tr>
    </w:tbl>
    <w:p>
      <w:pPr>
        <w:pStyle w:val="0"/>
        <w:ind w:firstLine="540"/>
        <w:jc w:val="both"/>
      </w:pPr>
      <w:r>
        <w:rPr>
          <w:sz w:val="20"/>
        </w:rPr>
      </w:r>
    </w:p>
    <w:p>
      <w:pPr>
        <w:pStyle w:val="0"/>
        <w:ind w:firstLine="540"/>
        <w:jc w:val="both"/>
      </w:pPr>
      <w:r>
        <w:rPr>
          <w:sz w:val="20"/>
        </w:rPr>
        <w:t xml:space="preserve">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pPr>
        <w:pStyle w:val="0"/>
        <w:spacing w:before="200" w:line-rule="auto"/>
        <w:ind w:firstLine="540"/>
        <w:jc w:val="both"/>
      </w:pPr>
      <w:r>
        <w:rPr>
          <w:sz w:val="20"/>
        </w:rPr>
        <w:t xml:space="preserve">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w:t>
      </w:r>
      <w:hyperlink w:history="0" r:id="rId182" w:tooltip="&quot;СП 8.13130.2009. Свод правил. Системы противопожарной защиты. Источники наружного противопожарного водоснабжения. Требования пожарной безопасности&quot; (утв. Приказом МЧС России от 25.03.2009 N 178) (ред. от 09.12.2010) ------------ Утратил силу или отменен {КонсультантПлюс}">
        <w:r>
          <w:rPr>
            <w:sz w:val="20"/>
            <w:color w:val="0000ff"/>
          </w:rPr>
          <w:t xml:space="preserve">СП 8.13130</w:t>
        </w:r>
      </w:hyperlink>
      <w:r>
        <w:rPr>
          <w:sz w:val="20"/>
        </w:rPr>
        <w:t xml:space="preserve">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к месту вызова превышает 10 минут).</w:t>
      </w:r>
    </w:p>
    <w:p>
      <w:pPr>
        <w:pStyle w:val="0"/>
        <w:jc w:val="both"/>
      </w:pPr>
      <w:r>
        <w:rPr>
          <w:sz w:val="20"/>
        </w:rPr>
        <w:t xml:space="preserve">(в ред. </w:t>
      </w:r>
      <w:hyperlink w:history="0" r:id="rId183"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5.3.3. Противопожарные расстояния между зданиями I - III степеней огнестойкости класса конструктивной пожарной опасности С0 и С1 допускается уменьшать на 50% при оборудовании каждого из зданий автоматическими установками пожаротушения и устройстве кранов для внутриквартирного пожаротушения.</w:t>
      </w:r>
    </w:p>
    <w:p>
      <w:pPr>
        <w:pStyle w:val="0"/>
        <w:spacing w:before="200" w:line-rule="auto"/>
        <w:ind w:firstLine="540"/>
        <w:jc w:val="both"/>
      </w:pPr>
      <w:r>
        <w:rPr>
          <w:sz w:val="20"/>
        </w:rPr>
        <w:t xml:space="preserve">5.3.4. Противопожарные расстояния между зданиями I - III степеней огнестойкости класса конструктивной пожарной опасности С0 и С1 допускается уменьшать на 50% при условии устройства на территории застройки наружного противопожарного водопровода согласно требованиям </w:t>
      </w:r>
      <w:hyperlink w:history="0" r:id="rId184" w:tooltip="&quot;СП 8.13130.2009. Свод правил. Системы противопожарной защиты. Источники наружного противопожарного водоснабжения. Требования пожарной безопасности&quot; (утв. Приказом МЧС России от 25.03.2009 N 178) (ред. от 09.12.2010) ------------ Утратил силу или отменен {КонсультантПлюс}">
        <w:r>
          <w:rPr>
            <w:sz w:val="20"/>
            <w:color w:val="0000ff"/>
          </w:rPr>
          <w:t xml:space="preserve">СП 8.13130</w:t>
        </w:r>
      </w:hyperlink>
      <w:r>
        <w:rPr>
          <w:sz w:val="20"/>
        </w:rPr>
        <w:t xml:space="preserve"> и создания на территории застройки пожарного депо, оснащенного выездной пожарной техникой.</w:t>
      </w:r>
    </w:p>
    <w:p>
      <w:pPr>
        <w:pStyle w:val="0"/>
        <w:spacing w:before="200" w:line-rule="auto"/>
        <w:ind w:firstLine="540"/>
        <w:jc w:val="both"/>
      </w:pPr>
      <w:r>
        <w:rPr>
          <w:sz w:val="20"/>
        </w:rPr>
        <w:t xml:space="preserve">5.3.5. В случаях, не предусмотренных в настоящем подразделе, надлежит руководствоваться требованиями </w:t>
      </w:r>
      <w:hyperlink w:history="0" w:anchor="P194" w:tooltip="4. Общие требования пожарной безопасности">
        <w:r>
          <w:rPr>
            <w:sz w:val="20"/>
            <w:color w:val="0000ff"/>
          </w:rPr>
          <w:t xml:space="preserve">раздела 4</w:t>
        </w:r>
      </w:hyperlink>
      <w:r>
        <w:rPr>
          <w:sz w:val="20"/>
        </w:rPr>
        <w:t xml:space="preserve">.</w:t>
      </w:r>
    </w:p>
    <w:p>
      <w:pPr>
        <w:pStyle w:val="0"/>
        <w:ind w:firstLine="540"/>
        <w:jc w:val="both"/>
      </w:pPr>
      <w:r>
        <w:rPr>
          <w:sz w:val="20"/>
        </w:rPr>
      </w:r>
    </w:p>
    <w:bookmarkStart w:id="480" w:name="P480"/>
    <w:bookmarkEnd w:id="480"/>
    <w:p>
      <w:pPr>
        <w:pStyle w:val="2"/>
        <w:outlineLvl w:val="2"/>
        <w:ind w:firstLine="540"/>
        <w:jc w:val="both"/>
      </w:pPr>
      <w:r>
        <w:rPr>
          <w:sz w:val="20"/>
        </w:rPr>
        <w:t xml:space="preserve">5.4. Требования к объектам класса функциональной пожарной опасности Ф2</w:t>
      </w:r>
    </w:p>
    <w:p>
      <w:pPr>
        <w:pStyle w:val="0"/>
        <w:ind w:firstLine="540"/>
        <w:jc w:val="both"/>
      </w:pPr>
      <w:r>
        <w:rPr>
          <w:sz w:val="20"/>
        </w:rPr>
      </w:r>
    </w:p>
    <w:p>
      <w:pPr>
        <w:pStyle w:val="0"/>
        <w:ind w:firstLine="540"/>
        <w:jc w:val="both"/>
      </w:pPr>
      <w:r>
        <w:rPr>
          <w:sz w:val="20"/>
        </w:rPr>
        <w:t xml:space="preserve">5.4.1. Утратил силу. - </w:t>
      </w:r>
      <w:hyperlink w:history="0" r:id="rId185"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w:t>
        </w:r>
      </w:hyperlink>
      <w:r>
        <w:rPr>
          <w:sz w:val="20"/>
        </w:rPr>
        <w:t xml:space="preserve"> МЧС России от 14.02.2020 N 89.</w:t>
      </w:r>
    </w:p>
    <w:p>
      <w:pPr>
        <w:pStyle w:val="0"/>
        <w:spacing w:before="200" w:line-rule="auto"/>
        <w:ind w:firstLine="540"/>
        <w:jc w:val="both"/>
      </w:pPr>
      <w:r>
        <w:rPr>
          <w:sz w:val="20"/>
        </w:rPr>
        <w:t xml:space="preserve">5.4.2. Размещаемые в зданиях, сооружениях класса функциональной пожарной опасности Ф2 части зданий или помещения производственного, складского назначения, помещения для инженерного оборудования и технического обслуживания объекта следует выделять противопожарными преградами в соответствии с </w:t>
      </w:r>
      <w:hyperlink w:history="0" w:anchor="P363" w:tooltip="5.1.2. Размещаемые в жилых и общественных зданиях помещения производственного и складского назначения (мастерские, лаборатории, кладовые различного назначения), а также помещения для инженерного оборудования и технического обслуживания с наличием пожароопасных и пожаровзрывоопасных процессов и веществ (котельные, системы газоснабжения, электроснабжения и т.д.) подлежат категорированию по взрывопожарной и пожарной опасности в соответствии с СП 12.13130.">
        <w:r>
          <w:rPr>
            <w:sz w:val="20"/>
            <w:color w:val="0000ff"/>
          </w:rPr>
          <w:t xml:space="preserve">пунктом 5.1.2</w:t>
        </w:r>
      </w:hyperlink>
      <w:r>
        <w:rPr>
          <w:sz w:val="20"/>
        </w:rPr>
        <w:t xml:space="preserve">. Помещения технологического обслуживания демонстрационного комплекса должны выделяться противопожарными перегородками 1-го типа и перекрытиями 3-го типа.</w:t>
      </w:r>
    </w:p>
    <w:p>
      <w:pPr>
        <w:pStyle w:val="0"/>
        <w:jc w:val="both"/>
      </w:pPr>
      <w:r>
        <w:rPr>
          <w:sz w:val="20"/>
        </w:rPr>
        <w:t xml:space="preserve">(в ред. </w:t>
      </w:r>
      <w:hyperlink w:history="0" r:id="rId186"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Помещения для освещения сцены (кроме помещений для освещения сцены, расположенных в пределах габаритов перекрытия сцены), расположенные в пределах габарита зрительного зала, должны иметь противопожарные перегородки 1-го типа.</w:t>
      </w:r>
    </w:p>
    <w:p>
      <w:pPr>
        <w:pStyle w:val="0"/>
        <w:spacing w:before="200" w:line-rule="auto"/>
        <w:ind w:firstLine="540"/>
        <w:jc w:val="both"/>
      </w:pPr>
      <w:r>
        <w:rPr>
          <w:sz w:val="20"/>
        </w:rPr>
        <w:t xml:space="preserve">5.4.3. В зданиях IV и V степеней огнестойкости помещения проекционных, рассчитанных на оборудование кинопроекторами с лампами накаливания, допускается располагать в пристройках со стенами, перегородками, перекрытиями и покрытиями из материалов НГ и группы Г1 с пределом огнестойкости не менее REI 45.</w:t>
      </w:r>
    </w:p>
    <w:p>
      <w:pPr>
        <w:pStyle w:val="0"/>
        <w:spacing w:before="200" w:line-rule="auto"/>
        <w:ind w:firstLine="540"/>
        <w:jc w:val="both"/>
      </w:pPr>
      <w:r>
        <w:rPr>
          <w:sz w:val="20"/>
        </w:rPr>
        <w:t xml:space="preserve">5.4.4. Оркестровая яма должна выделяться от соседних и нижележащих помещений (при наличии) противопожарными перегородками 2-го типа и перекрытием 3-го типа.</w:t>
      </w:r>
    </w:p>
    <w:p>
      <w:pPr>
        <w:pStyle w:val="0"/>
        <w:jc w:val="both"/>
      </w:pPr>
      <w:r>
        <w:rPr>
          <w:sz w:val="20"/>
        </w:rPr>
        <w:t xml:space="preserve">(п. 5.4.4 в ред. </w:t>
      </w:r>
      <w:hyperlink w:history="0" r:id="rId187"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5.4.5. Пределы огнестойкости стены с портальным проемом, отделяющей зрительный зал от глубинной колосниковой сцены (при наличии), должны составлять в зданиях I, II и III степеней огнестойкости - не ниже REI 45, в зданиях IV степени огнестойкости не ниже - REI 15. Для залов вместимостью более 800 мест указанная стена должна быть противопожарной 1-го типа.</w:t>
      </w:r>
    </w:p>
    <w:p>
      <w:pPr>
        <w:pStyle w:val="0"/>
        <w:jc w:val="both"/>
      </w:pPr>
      <w:r>
        <w:rPr>
          <w:sz w:val="20"/>
        </w:rPr>
        <w:t xml:space="preserve">(в ред. </w:t>
      </w:r>
      <w:hyperlink w:history="0" r:id="rId188"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Проем строительного портала сцен с залами вместимостью 800 мест и более должен быть защищен противопожарным занавесом с пределом огнестойкости не менее EI 60. Теплоизоляция занавеса должна быть из материалов НГ. Полотно противопожарного занавеса должно перекрывать проем строительного портала не менее чем на 0,4 м с боковых сторон и на 0,2 м сверху и быть газонепроницаемым.</w:t>
      </w:r>
    </w:p>
    <w:p>
      <w:pPr>
        <w:pStyle w:val="0"/>
        <w:spacing w:before="200" w:line-rule="auto"/>
        <w:ind w:firstLine="540"/>
        <w:jc w:val="both"/>
      </w:pPr>
      <w:r>
        <w:rPr>
          <w:sz w:val="20"/>
        </w:rPr>
        <w:t xml:space="preserve">Дверные проемы в противопожарной стене на уровне трюма и планшета сцены, а также выходы из колосниковых лестниц в трюм и на сцену (при наличии противопожарного занавеса) надлежит защищать тамбур-шлюзами 1-го типа с подпором воздуха при пожаре.</w:t>
      </w:r>
    </w:p>
    <w:p>
      <w:pPr>
        <w:pStyle w:val="0"/>
        <w:spacing w:before="200" w:line-rule="auto"/>
        <w:ind w:firstLine="540"/>
        <w:jc w:val="both"/>
      </w:pPr>
      <w:r>
        <w:rPr>
          <w:sz w:val="20"/>
        </w:rPr>
        <w:t xml:space="preserve">В проемах складов декораций со стороны сцены и карманов необходимо предусматривать противопожарные двери 1-го типа, в колосниковых лестницах - 2-го типа.</w:t>
      </w:r>
    </w:p>
    <w:p>
      <w:pPr>
        <w:pStyle w:val="0"/>
        <w:spacing w:before="200" w:line-rule="auto"/>
        <w:ind w:firstLine="540"/>
        <w:jc w:val="both"/>
      </w:pPr>
      <w:r>
        <w:rPr>
          <w:sz w:val="20"/>
        </w:rPr>
        <w:t xml:space="preserve">5.4.6. Размещение производственных и складских помещений (кладовые, мастерские, помещения для монтажа станковых и объемных декораций, камера пылеудаления, вентиляционные камеры, помещения лебедок противопожарного занавеса, аккумуляторные, трансформаторные подстанции) под зрительным залом и планшетом сцены не допускается, за исключением сейфа скатанных декораций, лебедок противопожарного занавеса и дымовых люков, подъемно-спускных устройств без маслонаполненного оборудования.</w:t>
      </w:r>
    </w:p>
    <w:p>
      <w:pPr>
        <w:pStyle w:val="0"/>
        <w:spacing w:before="200" w:line-rule="auto"/>
        <w:ind w:firstLine="540"/>
        <w:jc w:val="both"/>
      </w:pPr>
      <w:r>
        <w:rPr>
          <w:sz w:val="20"/>
        </w:rPr>
        <w:t xml:space="preserve">Проем сейфа скатанных декораций надлежит защищать щитами с пределом огнестойкости не менее EI 30.</w:t>
      </w:r>
    </w:p>
    <w:p>
      <w:pPr>
        <w:pStyle w:val="0"/>
        <w:spacing w:before="200" w:line-rule="auto"/>
        <w:ind w:firstLine="540"/>
        <w:jc w:val="both"/>
      </w:pPr>
      <w:r>
        <w:rPr>
          <w:sz w:val="20"/>
        </w:rPr>
        <w:t xml:space="preserve">5.4.7. Окна и отверстия из помещений проекционных на сцену или арьерсцену, кинопроекционных, из помещений аппаратных и светопроекционных в зрительный зал, если в них устанавливаются кинопроекторы, должны быть защищены шторами или окнами с пределом огнестойкости не менее EI 15.</w:t>
      </w:r>
    </w:p>
    <w:p>
      <w:pPr>
        <w:pStyle w:val="0"/>
        <w:jc w:val="both"/>
      </w:pPr>
      <w:r>
        <w:rPr>
          <w:sz w:val="20"/>
        </w:rPr>
        <w:t xml:space="preserve">(в ред. </w:t>
      </w:r>
      <w:hyperlink w:history="0" r:id="rId189"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В окнах и отверстиях светопроекционной, оборудованной для динамической проекции, а также кинопроекционной только с цифровыми проекторами (без использования кинопленки), допускается использовать негорючие светопропускающие материалы.</w:t>
      </w:r>
    </w:p>
    <w:p>
      <w:pPr>
        <w:pStyle w:val="0"/>
        <w:jc w:val="both"/>
      </w:pPr>
      <w:r>
        <w:rPr>
          <w:sz w:val="20"/>
        </w:rPr>
        <w:t xml:space="preserve">(в ред. </w:t>
      </w:r>
      <w:hyperlink w:history="0" r:id="rId190"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5.4.8. Обшивку стен и потолков стрелковых галерей и огневых зон тиров, размещенных в подвальных этажах, а также в подтрибунном пространстве закрытых спортивных сооружений, следует выполнять из материалов группы горючести НГ, Г1.</w:t>
      </w:r>
    </w:p>
    <w:p>
      <w:pPr>
        <w:pStyle w:val="0"/>
        <w:jc w:val="both"/>
      </w:pPr>
      <w:r>
        <w:rPr>
          <w:sz w:val="20"/>
        </w:rPr>
        <w:t xml:space="preserve">(в ред. </w:t>
      </w:r>
      <w:hyperlink w:history="0" r:id="rId191"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При размещении тиров для пулевой стрельбы в подтрибунном пространстве склады боеприпасов должны быть вынесены за пределы подтрибунного пространства.</w:t>
      </w:r>
    </w:p>
    <w:p>
      <w:pPr>
        <w:pStyle w:val="0"/>
        <w:spacing w:before="200" w:line-rule="auto"/>
        <w:ind w:firstLine="540"/>
        <w:jc w:val="both"/>
      </w:pPr>
      <w:r>
        <w:rPr>
          <w:sz w:val="20"/>
        </w:rPr>
        <w:t xml:space="preserve">Склады оружия, боеприпасов и оружейная мастерская отделяются от остальных помещений противопожарными стенами 2-го типа и перекрытиями 3-го типа.</w:t>
      </w:r>
    </w:p>
    <w:p>
      <w:pPr>
        <w:pStyle w:val="0"/>
        <w:spacing w:before="200" w:line-rule="auto"/>
        <w:ind w:firstLine="540"/>
        <w:jc w:val="both"/>
      </w:pPr>
      <w:r>
        <w:rPr>
          <w:sz w:val="20"/>
        </w:rPr>
        <w:t xml:space="preserve">5.4.9. Хранилища и книгохранилища библиотек должны быть разделены на секции противопожарными перегородками 1-го типа площадью не более 600 м</w:t>
      </w:r>
      <w:r>
        <w:rPr>
          <w:sz w:val="20"/>
          <w:vertAlign w:val="superscript"/>
        </w:rPr>
        <w:t xml:space="preserve">2</w:t>
      </w:r>
      <w:r>
        <w:rPr>
          <w:sz w:val="20"/>
        </w:rPr>
        <w:t xml:space="preserve">.</w:t>
      </w:r>
    </w:p>
    <w:p>
      <w:pPr>
        <w:pStyle w:val="0"/>
        <w:spacing w:before="200" w:line-rule="auto"/>
        <w:ind w:firstLine="540"/>
        <w:jc w:val="both"/>
      </w:pPr>
      <w:r>
        <w:rPr>
          <w:sz w:val="20"/>
        </w:rPr>
        <w:t xml:space="preserve">5.4.10. Каркас надстроек над негорючими несущими конструкциями балконов, амфитеатра и партера зрительного зала, необходимых для образования уклона или ступенчатого пола, должен быть выполнен из материалов НГ.</w:t>
      </w:r>
    </w:p>
    <w:p>
      <w:pPr>
        <w:pStyle w:val="0"/>
        <w:spacing w:before="200" w:line-rule="auto"/>
        <w:ind w:firstLine="540"/>
        <w:jc w:val="both"/>
      </w:pPr>
      <w:r>
        <w:rPr>
          <w:sz w:val="20"/>
        </w:rPr>
        <w:t xml:space="preserve">Пустоты под надстройками необходимо разделять диафрагмами на секции площадью не более 100 м</w:t>
      </w:r>
      <w:r>
        <w:rPr>
          <w:sz w:val="20"/>
          <w:vertAlign w:val="superscript"/>
        </w:rPr>
        <w:t xml:space="preserve">2</w:t>
      </w:r>
      <w:r>
        <w:rPr>
          <w:sz w:val="20"/>
        </w:rPr>
        <w:t xml:space="preserve">. При высоте пустот более 1,2 м предусматриваются входы для осмотра пустот.</w:t>
      </w:r>
    </w:p>
    <w:p>
      <w:pPr>
        <w:pStyle w:val="0"/>
        <w:spacing w:before="200" w:line-rule="auto"/>
        <w:ind w:firstLine="540"/>
        <w:jc w:val="both"/>
      </w:pPr>
      <w:r>
        <w:rPr>
          <w:sz w:val="20"/>
        </w:rPr>
        <w:t xml:space="preserve">5.4.11. Несущие элементы планшета сцены должны быть выполнены из материалов НГ.</w:t>
      </w:r>
    </w:p>
    <w:p>
      <w:pPr>
        <w:pStyle w:val="0"/>
        <w:spacing w:before="200" w:line-rule="auto"/>
        <w:ind w:firstLine="540"/>
        <w:jc w:val="both"/>
      </w:pPr>
      <w:r>
        <w:rPr>
          <w:sz w:val="20"/>
        </w:rPr>
        <w:t xml:space="preserve">При применении древесины для настила по этим элементам, а также колосникового настила и настила рабочих галерей она должна быть подвергнута огнезащитной обработке огнезащитным составом 1-й группы огнезащитной эффективности.</w:t>
      </w:r>
    </w:p>
    <w:p>
      <w:pPr>
        <w:pStyle w:val="0"/>
        <w:jc w:val="both"/>
      </w:pPr>
      <w:r>
        <w:rPr>
          <w:sz w:val="20"/>
        </w:rPr>
        <w:t xml:space="preserve">(в ред. </w:t>
      </w:r>
      <w:hyperlink w:history="0" r:id="rId192"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5.4.12. Полы эстрады в спортивных, зрелищных залах должны отвечать требованиям, предъявляемым для покрытий полов в зальных помещениях. В спортивных и танцевальных залах, предназначенных только для проведения соревнований, допускается применять покрытия полов из материалов с классом пожарной опасности не ниже КМ4.</w:t>
      </w:r>
    </w:p>
    <w:p>
      <w:pPr>
        <w:pStyle w:val="0"/>
        <w:jc w:val="both"/>
      </w:pPr>
      <w:r>
        <w:rPr>
          <w:sz w:val="20"/>
        </w:rPr>
        <w:t xml:space="preserve">(п. 5.4.12 в ред. </w:t>
      </w:r>
      <w:hyperlink w:history="0" r:id="rId193"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5.4.13. Для сидений на трибунах крытых спортивных сооружений любой вместимости не допускается применение горючих легковоспламеняемых материалов и группы Т4 по токсичности продуктов горения.</w:t>
      </w:r>
    </w:p>
    <w:p>
      <w:pPr>
        <w:pStyle w:val="0"/>
        <w:jc w:val="both"/>
      </w:pPr>
      <w:r>
        <w:rPr>
          <w:sz w:val="20"/>
        </w:rPr>
        <w:t xml:space="preserve">(в ред. </w:t>
      </w:r>
      <w:hyperlink w:history="0" r:id="rId194"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Для сидений в зальных помещениях зрелищных объектов закрытого типа не допускается применение легковоспламеняемых материалов, а применяемые обивочные, набивочные и прокладочные материалы не должны относиться к группе Т4 по токсичности продуктов горения.</w:t>
      </w:r>
    </w:p>
    <w:p>
      <w:pPr>
        <w:pStyle w:val="0"/>
        <w:jc w:val="both"/>
      </w:pPr>
      <w:r>
        <w:rPr>
          <w:sz w:val="20"/>
        </w:rPr>
        <w:t xml:space="preserve">(в ред. </w:t>
      </w:r>
      <w:hyperlink w:history="0" r:id="rId195"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5.4.14. На объектах для проведения соревнований и тренировок по техническим видам спорта для заправки горючим необходимо предусматривать специально отведенные площадки с твердым покрытием и ограждающими бортиками из материалов НГ. Указанные площадки надлежит располагать на расстоянии не менее 25 м от спортивного сооружения.</w:t>
      </w:r>
    </w:p>
    <w:p>
      <w:pPr>
        <w:pStyle w:val="0"/>
        <w:spacing w:before="200" w:line-rule="auto"/>
        <w:ind w:firstLine="540"/>
        <w:jc w:val="both"/>
      </w:pPr>
      <w:r>
        <w:rPr>
          <w:sz w:val="20"/>
        </w:rPr>
        <w:t xml:space="preserve">Площадки и помещения для мелкого ремонта и технического обслуживания, подготовки транспортных средств к старту должны иметь основание с твердым покрытием и уклон в сторону от трибун. Указанные площадки и помещения не должны располагаться под трибунами для зрителей, включая трибуны спортивных сооружений.</w:t>
      </w:r>
    </w:p>
    <w:p>
      <w:pPr>
        <w:pStyle w:val="0"/>
        <w:ind w:firstLine="540"/>
        <w:jc w:val="both"/>
      </w:pPr>
      <w:r>
        <w:rPr>
          <w:sz w:val="20"/>
        </w:rPr>
      </w:r>
    </w:p>
    <w:p>
      <w:pPr>
        <w:pStyle w:val="2"/>
        <w:outlineLvl w:val="2"/>
        <w:ind w:firstLine="540"/>
        <w:jc w:val="both"/>
      </w:pPr>
      <w:r>
        <w:rPr>
          <w:sz w:val="20"/>
        </w:rPr>
        <w:t xml:space="preserve">5.5. Требования к зданиям объектов класса функциональной пожарной опасности Ф3</w:t>
      </w:r>
    </w:p>
    <w:p>
      <w:pPr>
        <w:pStyle w:val="0"/>
        <w:ind w:firstLine="540"/>
        <w:jc w:val="both"/>
      </w:pPr>
      <w:r>
        <w:rPr>
          <w:sz w:val="20"/>
        </w:rPr>
      </w:r>
    </w:p>
    <w:p>
      <w:pPr>
        <w:pStyle w:val="0"/>
        <w:ind w:firstLine="540"/>
        <w:jc w:val="both"/>
      </w:pPr>
      <w:r>
        <w:rPr>
          <w:sz w:val="20"/>
        </w:rPr>
        <w:t xml:space="preserve">5.5.1. Утратил силу. - </w:t>
      </w:r>
      <w:hyperlink w:history="0" r:id="rId196"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w:t>
        </w:r>
      </w:hyperlink>
      <w:r>
        <w:rPr>
          <w:sz w:val="20"/>
        </w:rPr>
        <w:t xml:space="preserve"> МЧС России от 14.02.2020 N 89.</w:t>
      </w:r>
    </w:p>
    <w:bookmarkStart w:id="522" w:name="P522"/>
    <w:bookmarkEnd w:id="522"/>
    <w:p>
      <w:pPr>
        <w:pStyle w:val="0"/>
        <w:spacing w:before="200" w:line-rule="auto"/>
        <w:ind w:firstLine="540"/>
        <w:jc w:val="both"/>
      </w:pPr>
      <w:r>
        <w:rPr>
          <w:sz w:val="20"/>
        </w:rPr>
        <w:t xml:space="preserve">5.5.2. В зданиях и сооружениях классов функциональной пожарной опасности Ф3.1 и Ф3.2, а также в организациях торговли и общественного питания, размещаемых в зданиях, сооружениях других классов функциональной пожарной опасности, помещения производственного, складского назначения, а также помещения для инженерного оборудования и технического обслуживания следует выделять противопожарными преградами в соответствии с требованиями </w:t>
      </w:r>
      <w:hyperlink w:history="0" w:anchor="P363" w:tooltip="5.1.2. Размещаемые в жилых и общественных зданиях помещения производственного и складского назначения (мастерские, лаборатории, кладовые различного назначения), а также помещения для инженерного оборудования и технического обслуживания с наличием пожароопасных и пожаровзрывоопасных процессов и веществ (котельные, системы газоснабжения, электроснабжения и т.д.) подлежат категорированию по взрывопожарной и пожарной опасности в соответствии с СП 12.13130.">
        <w:r>
          <w:rPr>
            <w:sz w:val="20"/>
            <w:color w:val="0000ff"/>
          </w:rPr>
          <w:t xml:space="preserve">пункта 5.1.2</w:t>
        </w:r>
      </w:hyperlink>
      <w:r>
        <w:rPr>
          <w:sz w:val="20"/>
        </w:rPr>
        <w:t xml:space="preserve">.</w:t>
      </w:r>
    </w:p>
    <w:p>
      <w:pPr>
        <w:pStyle w:val="0"/>
        <w:spacing w:before="200" w:line-rule="auto"/>
        <w:ind w:firstLine="540"/>
        <w:jc w:val="both"/>
      </w:pPr>
      <w:r>
        <w:rPr>
          <w:sz w:val="20"/>
        </w:rPr>
        <w:t xml:space="preserve">Пищеблоки, размещаемые в жилых и общественных (кроме класса функциональной пожарной опасности Ф3.2) зданиях, сооружениях I, II и III степеней огнестойкости следует отделять от других помещений и общих коридоров противопожарными перегородками 1-го типа, в зданиях IV степени огнестойкости - перегородками 2-го типа. Точки общественного питания без пищеблоков (буфеты, кафетерии, бутербродные, барные стойки и т.п.) отделять от других помещений и общих коридоров указанными перегородками не требуется.</w:t>
      </w:r>
    </w:p>
    <w:p>
      <w:pPr>
        <w:pStyle w:val="0"/>
        <w:jc w:val="both"/>
      </w:pPr>
      <w:r>
        <w:rPr>
          <w:sz w:val="20"/>
        </w:rPr>
        <w:t xml:space="preserve">(в ред. </w:t>
      </w:r>
      <w:hyperlink w:history="0" r:id="rId197"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Примечание. Под пищеблоком подразумевается обособленная группа помещений (исключая зал для посетителей) для приема, хранения, приготовления и выдачи пищи, включая вспомогательные (при наличии) административно-бытовые и технические помещения.</w:t>
      </w:r>
    </w:p>
    <w:p>
      <w:pPr>
        <w:pStyle w:val="0"/>
        <w:spacing w:before="200" w:line-rule="auto"/>
        <w:ind w:firstLine="540"/>
        <w:jc w:val="both"/>
      </w:pPr>
      <w:r>
        <w:rPr>
          <w:sz w:val="20"/>
        </w:rPr>
        <w:t xml:space="preserve">Отделять пищеблок противопожарной перегородкой от примыкающего зала для посетителей, а также указанный зал от других помещений и коридоров не требуется. При необходимости устройства технологической перегородки между помещениями пищеблока и залом ее следует выполнять из материалов НГ, Г1. В зданиях классов функциональной пожарной опасности Ф1.1 и Ф4.1 над раздаточной зоной (линией), располагаемой между горячим цехом и залом для посетителей, на высоту от 2-х м от пола и до потолка следует предусматривать сплошную перегородку, либо экран из материалов группы горючести НГ, Г1.</w:t>
      </w:r>
    </w:p>
    <w:p>
      <w:pPr>
        <w:pStyle w:val="0"/>
        <w:jc w:val="both"/>
      </w:pPr>
      <w:r>
        <w:rPr>
          <w:sz w:val="20"/>
        </w:rPr>
        <w:t xml:space="preserve">(в ред. </w:t>
      </w:r>
      <w:hyperlink w:history="0" r:id="rId198"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Оборудование для приготовления пищи на открытом огне (мангалы, барбекю и т.п.) следует размещать, как правило, за пределами здания у наружных стен, выполненных (включая свесы кровли) из материалов группы горючести не ниже Г1 или облицованных указанными материалами на расстоянии не менее 3 м от оборудования. Расстояние от оборудования до ближайших оконных и дверных проемов (за исключением проемов с противопожарным заполнением) должно составлять не менее 3 м. Защита оборудования от атмосферных осадков и ограждения должны выполняться из материалов группы горючести не ниже Г1.</w:t>
      </w:r>
    </w:p>
    <w:p>
      <w:pPr>
        <w:pStyle w:val="0"/>
        <w:jc w:val="both"/>
      </w:pPr>
      <w:r>
        <w:rPr>
          <w:sz w:val="20"/>
        </w:rPr>
        <w:t xml:space="preserve">(абзац введен </w:t>
      </w:r>
      <w:hyperlink w:history="0" r:id="rId199"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Приказом</w:t>
        </w:r>
      </w:hyperlink>
      <w:r>
        <w:rPr>
          <w:sz w:val="20"/>
        </w:rPr>
        <w:t xml:space="preserve"> МЧС России от 15.06.2022 N 610)</w:t>
      </w:r>
    </w:p>
    <w:p>
      <w:pPr>
        <w:pStyle w:val="0"/>
        <w:spacing w:before="200" w:line-rule="auto"/>
        <w:ind w:firstLine="540"/>
        <w:jc w:val="both"/>
      </w:pPr>
      <w:r>
        <w:rPr>
          <w:sz w:val="20"/>
        </w:rPr>
        <w:t xml:space="preserve">В зданиях и сооружениях оборудование для приготовления пищи на открытом огне допускается размещать только в пределах кухни или пищеблока в помещении, выделенном в зданиях I, II и III степеней огнестойкости - противопожарными перегородками 1-го типа, в зданиях IV степени огнестойкости - противопожарными перегородками 2-го типа. Полы, стены и потолки помещений с таким оборудованием должны выполняться из материалов группы горючести не ниже Г1. Удаление продуктов горения должно обеспечиваться самостоятельной вытяжной вентиляцией с устройством над оборудованием зонта из негорючих материалов, присоединенного к дымовому каналу.</w:t>
      </w:r>
    </w:p>
    <w:p>
      <w:pPr>
        <w:pStyle w:val="0"/>
        <w:jc w:val="both"/>
      </w:pPr>
      <w:r>
        <w:rPr>
          <w:sz w:val="20"/>
        </w:rPr>
        <w:t xml:space="preserve">(абзац введен </w:t>
      </w:r>
      <w:hyperlink w:history="0" r:id="rId200"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Приказом</w:t>
        </w:r>
      </w:hyperlink>
      <w:r>
        <w:rPr>
          <w:sz w:val="20"/>
        </w:rPr>
        <w:t xml:space="preserve"> МЧС России от 15.06.2022 N 610)</w:t>
      </w:r>
    </w:p>
    <w:p>
      <w:pPr>
        <w:pStyle w:val="0"/>
        <w:ind w:firstLine="540"/>
        <w:jc w:val="both"/>
      </w:pPr>
      <w:r>
        <w:rPr>
          <w:sz w:val="20"/>
        </w:rPr>
      </w:r>
    </w:p>
    <w:p>
      <w:pPr>
        <w:pStyle w:val="0"/>
        <w:jc w:val="both"/>
      </w:pPr>
      <w:r>
        <w:rPr>
          <w:sz w:val="20"/>
        </w:rPr>
        <w:t xml:space="preserve">(п. 5.5.2 в ред. </w:t>
      </w:r>
      <w:hyperlink w:history="0" r:id="rId201"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bookmarkStart w:id="534" w:name="P534"/>
    <w:bookmarkEnd w:id="534"/>
    <w:p>
      <w:pPr>
        <w:pStyle w:val="0"/>
        <w:spacing w:before="200" w:line-rule="auto"/>
        <w:ind w:firstLine="540"/>
        <w:jc w:val="both"/>
      </w:pPr>
      <w:r>
        <w:rPr>
          <w:sz w:val="20"/>
        </w:rPr>
        <w:t xml:space="preserve">5.5.3. Специализированные объекты торговли ГГ, ЛВЖ и ГЖ, бытовой химией и строительными материалами с наличием ГГ, ЛВЖ и ГЖ располагаются в отдельно стоящих зданиях и сооружениях, и только в надземных этажах. Данные объекты допускается встраивать и пристраивать только к объектам торговли другими товарами и объектам бытового и коммунального обслуживания при условии отделения их противопожарными стенами и перекрытиями 1-го типа. Полы на указанных объектах должны выполняться из материалов НГ.</w:t>
      </w:r>
    </w:p>
    <w:p>
      <w:pPr>
        <w:pStyle w:val="0"/>
        <w:spacing w:before="200" w:line-rule="auto"/>
        <w:ind w:firstLine="540"/>
        <w:jc w:val="both"/>
      </w:pPr>
      <w:r>
        <w:rPr>
          <w:sz w:val="20"/>
        </w:rPr>
        <w:t xml:space="preserve">На неспециализированных объектах торговли обращение товаров с наличием ГГ и ЛВЖ допускается только в мелкой расфасовке. Максимальная вместимость потребительской тары для мелкой расфасовки составляет:</w:t>
      </w:r>
    </w:p>
    <w:p>
      <w:pPr>
        <w:pStyle w:val="0"/>
        <w:spacing w:before="200" w:line-rule="auto"/>
        <w:ind w:firstLine="540"/>
        <w:jc w:val="both"/>
      </w:pPr>
      <w:r>
        <w:rPr>
          <w:sz w:val="20"/>
        </w:rPr>
        <w:t xml:space="preserve">- для ГГ - до 0,12 л, для аэрозольных упаковок с ГГ - до 0,82 л;</w:t>
      </w:r>
    </w:p>
    <w:p>
      <w:pPr>
        <w:pStyle w:val="0"/>
        <w:spacing w:before="200" w:line-rule="auto"/>
        <w:ind w:firstLine="540"/>
        <w:jc w:val="both"/>
      </w:pPr>
      <w:r>
        <w:rPr>
          <w:sz w:val="20"/>
        </w:rPr>
        <w:t xml:space="preserve">- для ЛВЖ с температурой вспышки в закрытом тигле до +23 °C: в стеклянной и полимерной упаковке не более 0,5 л, в металлической упаковке не более 1 л;</w:t>
      </w:r>
    </w:p>
    <w:p>
      <w:pPr>
        <w:pStyle w:val="0"/>
        <w:spacing w:before="200" w:line-rule="auto"/>
        <w:ind w:firstLine="540"/>
        <w:jc w:val="both"/>
      </w:pPr>
      <w:r>
        <w:rPr>
          <w:sz w:val="20"/>
        </w:rPr>
        <w:t xml:space="preserve">- для ЛВЖ с температурой вспышки в закрытом тигле от 23 до 61 °C - не более 5 л.</w:t>
      </w:r>
    </w:p>
    <w:p>
      <w:pPr>
        <w:pStyle w:val="0"/>
        <w:spacing w:before="200" w:line-rule="auto"/>
        <w:ind w:firstLine="540"/>
        <w:jc w:val="both"/>
      </w:pPr>
      <w:r>
        <w:rPr>
          <w:sz w:val="20"/>
        </w:rPr>
        <w:t xml:space="preserve">В торговых залах такие товары необходимо располагать рассредоточенно, участками площадью не более 10 м2 и на стеллажах и витринах на высоте не более 1,8 м.</w:t>
      </w:r>
    </w:p>
    <w:p>
      <w:pPr>
        <w:pStyle w:val="0"/>
        <w:spacing w:before="200" w:line-rule="auto"/>
        <w:ind w:firstLine="540"/>
        <w:jc w:val="both"/>
      </w:pPr>
      <w:r>
        <w:rPr>
          <w:sz w:val="20"/>
        </w:rPr>
        <w:t xml:space="preserve">5.5.4. На объектах торговли, за исключением специализированных магазинов по продаже ГГ и ЛВЖ, общее количество аэрозольной продукции 2 и 3-го уровней пожарной опасности в торговом зале не должно превышать (здесь и далее под количеством продукции подразумевается только масса содержимого баллончиков):</w:t>
      </w:r>
    </w:p>
    <w:p>
      <w:pPr>
        <w:pStyle w:val="0"/>
        <w:spacing w:before="200" w:line-rule="auto"/>
        <w:ind w:firstLine="540"/>
        <w:jc w:val="both"/>
      </w:pPr>
      <w:r>
        <w:rPr>
          <w:sz w:val="20"/>
        </w:rPr>
        <w:t xml:space="preserve">- в торговых залах, расположенных в цокольном и на первом этаже здания, - 1100 кг;</w:t>
      </w:r>
    </w:p>
    <w:p>
      <w:pPr>
        <w:pStyle w:val="0"/>
        <w:spacing w:before="200" w:line-rule="auto"/>
        <w:ind w:firstLine="540"/>
        <w:jc w:val="both"/>
      </w:pPr>
      <w:r>
        <w:rPr>
          <w:sz w:val="20"/>
        </w:rPr>
        <w:t xml:space="preserve">- на этажах выше первого - 450 кг.</w:t>
      </w:r>
    </w:p>
    <w:p>
      <w:pPr>
        <w:pStyle w:val="0"/>
        <w:spacing w:before="200" w:line-rule="auto"/>
        <w:ind w:firstLine="540"/>
        <w:jc w:val="both"/>
      </w:pPr>
      <w:r>
        <w:rPr>
          <w:sz w:val="20"/>
        </w:rPr>
        <w:t xml:space="preserve">Хранение продукции в аэрозольных упаковках уровня 2 и 3 по пожарной опасности в магазинах, расположенных в подвальных этажах, не допускается.</w:t>
      </w:r>
    </w:p>
    <w:p>
      <w:pPr>
        <w:pStyle w:val="0"/>
        <w:spacing w:before="200" w:line-rule="auto"/>
        <w:ind w:firstLine="540"/>
        <w:jc w:val="both"/>
      </w:pPr>
      <w:r>
        <w:rPr>
          <w:sz w:val="20"/>
        </w:rPr>
        <w:t xml:space="preserve">Аэрозольную продукцию в торговых залах необходимо извлекать из транспортной тары и надлежит размещать в местах, защищенных от нагрева до температуры выше указанной в документах на продукцию (вдали от отопительных и тепловых приборов, солнечных лучей и т.д.).</w:t>
      </w:r>
    </w:p>
    <w:p>
      <w:pPr>
        <w:pStyle w:val="0"/>
        <w:spacing w:before="200" w:line-rule="auto"/>
        <w:ind w:firstLine="540"/>
        <w:jc w:val="both"/>
      </w:pPr>
      <w:r>
        <w:rPr>
          <w:sz w:val="20"/>
        </w:rPr>
        <w:t xml:space="preserve">К аэрозольной продукции 1-го уровня пожарной опасности требования пожарной безопасности по размещению и хранению должны предъявляться как к горючим товарам.</w:t>
      </w:r>
    </w:p>
    <w:p>
      <w:pPr>
        <w:pStyle w:val="0"/>
        <w:spacing w:before="200" w:line-rule="auto"/>
        <w:ind w:firstLine="540"/>
        <w:jc w:val="both"/>
      </w:pPr>
      <w:r>
        <w:rPr>
          <w:sz w:val="20"/>
        </w:rPr>
        <w:t xml:space="preserve">5.5.5. Аптеки и другие предприятия, осуществляющие торговлю готовыми лекарственными формами (без производства), надлежит относить к объектам торговли Ф 3.1.</w:t>
      </w:r>
    </w:p>
    <w:p>
      <w:pPr>
        <w:pStyle w:val="0"/>
        <w:spacing w:before="200" w:line-rule="auto"/>
        <w:ind w:firstLine="540"/>
        <w:jc w:val="both"/>
      </w:pPr>
      <w:r>
        <w:rPr>
          <w:sz w:val="20"/>
        </w:rPr>
        <w:t xml:space="preserve">5.5.6. На объектах класса Ф 3.4 архивохранилища рентгеновской пленки на нитроцеллюлозной (целлулоидной) основе при емкости до 300 кг надлежит размещать в помещениях, выгороженных противопожарными стенами и перекрытиями 1-го типа. Указанные архивохранилища емкостью более 300 кг должны располагаться в отдельно стоящих зданиях, при этом расстояние до соседних зданий должно быть не менее 15 м. В одном пожарном отсеке архивохранилища допускается хранить не более 500 кг пленки.</w:t>
      </w:r>
    </w:p>
    <w:p>
      <w:pPr>
        <w:pStyle w:val="0"/>
        <w:spacing w:before="200" w:line-rule="auto"/>
        <w:ind w:firstLine="540"/>
        <w:jc w:val="both"/>
      </w:pPr>
      <w:r>
        <w:rPr>
          <w:sz w:val="20"/>
        </w:rPr>
        <w:t xml:space="preserve">5.5.7. Размещаемые в зданиях, сооружениях классов функциональной пожарной опасности Ф3.3 - Ф3.7 части здания, помещения производственного, складского назначения, помещения для инженерного оборудования и технического обслуживания объекта следует выделять противопожарными преградами в соответствии с </w:t>
      </w:r>
      <w:hyperlink w:history="0" w:anchor="P363" w:tooltip="5.1.2. Размещаемые в жилых и общественных зданиях помещения производственного и складского назначения (мастерские, лаборатории, кладовые различного назначения), а также помещения для инженерного оборудования и технического обслуживания с наличием пожароопасных и пожаровзрывоопасных процессов и веществ (котельные, системы газоснабжения, электроснабжения и т.д.) подлежат категорированию по взрывопожарной и пожарной опасности в соответствии с СП 12.13130.">
        <w:r>
          <w:rPr>
            <w:sz w:val="20"/>
            <w:color w:val="0000ff"/>
          </w:rPr>
          <w:t xml:space="preserve">пунктом 5.1.2</w:t>
        </w:r>
      </w:hyperlink>
      <w:r>
        <w:rPr>
          <w:sz w:val="20"/>
        </w:rPr>
        <w:t xml:space="preserve">. Не регламентированные настоящим сводом правил требования к конструктивным и объемно-планировочным решениям зданий, сооружений и помещений класса функциональной пожарной опасности Ф3.7 следует предусматривать в соответствии с </w:t>
      </w:r>
      <w:hyperlink w:history="0" r:id="rId202" w:tooltip="Приказ МЧС России от 23.11.2016 N 615 &quot;Об утверждении свода правил &quot;Объекты религиозного назначения. Требования пожарной безопасности&quot; {КонсультантПлюс}">
        <w:r>
          <w:rPr>
            <w:sz w:val="20"/>
            <w:color w:val="0000ff"/>
          </w:rPr>
          <w:t xml:space="preserve">СП 258.1311500</w:t>
        </w:r>
      </w:hyperlink>
      <w:r>
        <w:rPr>
          <w:sz w:val="20"/>
        </w:rPr>
        <w:t xml:space="preserve">.</w:t>
      </w:r>
    </w:p>
    <w:p>
      <w:pPr>
        <w:pStyle w:val="0"/>
        <w:jc w:val="both"/>
      </w:pPr>
      <w:r>
        <w:rPr>
          <w:sz w:val="20"/>
        </w:rPr>
        <w:t xml:space="preserve">(п. 5.5.7 в ред. </w:t>
      </w:r>
      <w:hyperlink w:history="0" r:id="rId203"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5.5.8. Комплекс помещений встроенных бань (саун) (класс Ф3.6) не допускается размещать под трибунами объектов Ф2, в спальных корпусах объектов класса функциональной пожарной опасности Ф1.1, а также в подвалах.</w:t>
      </w:r>
    </w:p>
    <w:p>
      <w:pPr>
        <w:pStyle w:val="0"/>
        <w:jc w:val="both"/>
      </w:pPr>
      <w:r>
        <w:rPr>
          <w:sz w:val="20"/>
        </w:rPr>
        <w:t xml:space="preserve">(в ред. </w:t>
      </w:r>
      <w:hyperlink w:history="0" r:id="rId204"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Комплекс помещений встроенных бань (саун) следует выделять в зданиях I, II, III степеней огнестойкости стенами (перегородками) с пределами огнестойкости REI 45 (EI 45), в зданиях IV степени огнестойкости - REI 15 (EI 15).</w:t>
      </w:r>
    </w:p>
    <w:p>
      <w:pPr>
        <w:pStyle w:val="0"/>
        <w:jc w:val="both"/>
      </w:pPr>
      <w:r>
        <w:rPr>
          <w:sz w:val="20"/>
        </w:rPr>
        <w:t xml:space="preserve">(в ред. </w:t>
      </w:r>
      <w:hyperlink w:history="0" r:id="rId205"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ind w:firstLine="540"/>
        <w:jc w:val="both"/>
      </w:pPr>
      <w:r>
        <w:rPr>
          <w:sz w:val="20"/>
        </w:rPr>
      </w:r>
    </w:p>
    <w:p>
      <w:pPr>
        <w:pStyle w:val="2"/>
        <w:outlineLvl w:val="2"/>
        <w:ind w:firstLine="540"/>
        <w:jc w:val="both"/>
      </w:pPr>
      <w:r>
        <w:rPr>
          <w:sz w:val="20"/>
        </w:rPr>
        <w:t xml:space="preserve">5.6. Требования к объектам класса функциональной пожарной опасности Ф4</w:t>
      </w:r>
    </w:p>
    <w:p>
      <w:pPr>
        <w:pStyle w:val="0"/>
        <w:ind w:firstLine="540"/>
        <w:jc w:val="both"/>
      </w:pPr>
      <w:r>
        <w:rPr>
          <w:sz w:val="20"/>
        </w:rPr>
      </w:r>
    </w:p>
    <w:p>
      <w:pPr>
        <w:pStyle w:val="0"/>
        <w:ind w:firstLine="540"/>
        <w:jc w:val="both"/>
      </w:pPr>
      <w:r>
        <w:rPr>
          <w:sz w:val="20"/>
        </w:rPr>
        <w:t xml:space="preserve">5.6.1. Утратил силу. - </w:t>
      </w:r>
      <w:hyperlink w:history="0" r:id="rId206"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w:t>
        </w:r>
      </w:hyperlink>
      <w:r>
        <w:rPr>
          <w:sz w:val="20"/>
        </w:rPr>
        <w:t xml:space="preserve"> МЧС России от 14.02.2020 N 89.</w:t>
      </w:r>
    </w:p>
    <w:bookmarkStart w:id="558" w:name="P558"/>
    <w:bookmarkEnd w:id="558"/>
    <w:p>
      <w:pPr>
        <w:pStyle w:val="0"/>
        <w:spacing w:before="200" w:line-rule="auto"/>
        <w:ind w:firstLine="540"/>
        <w:jc w:val="both"/>
      </w:pPr>
      <w:r>
        <w:rPr>
          <w:sz w:val="20"/>
        </w:rPr>
        <w:t xml:space="preserve">5.6.2. Объекты защиты класса функциональной пожарной опасности Ф4.1 должны размещаться в отдельно стоящих зданиях, либо выделяться в самостоятельные пожарные отсеки при размещении в общественных зданиях иного класса функциональной пожарной опасности. Помещения начальной школы допускается размещать в зданиях (ДОО) без выделения противопожарными преградами.</w:t>
      </w:r>
    </w:p>
    <w:p>
      <w:pPr>
        <w:pStyle w:val="0"/>
        <w:spacing w:before="200" w:line-rule="auto"/>
        <w:ind w:firstLine="540"/>
        <w:jc w:val="both"/>
      </w:pPr>
      <w:r>
        <w:rPr>
          <w:sz w:val="20"/>
        </w:rPr>
        <w:t xml:space="preserve">В зданиях класса Ф1.3 размещение встроенных и встроенно-пристроенных помещений класса функциональной пожарной опасности Ф4.1 допускается на первом, втором, а в крупных, крупнейших и сверхкрупных городах на третьем общественных этажах в соответствии с </w:t>
      </w:r>
      <w:hyperlink w:history="0" w:anchor="P414" w:tooltip="5.2.7. В зданиях класса Ф1.3 встроенные и встроенно-пристроенные нежилые помещения и помещения общественного назначения, запроектированные в соответствии с СП 54.13330, следует отделять от жилой части противопожарными перегородками не ниже 1-го типа и перекрытиями не ниже 3-го типа (в зданиях I степени огнестойкости - перекрытиями 2-го типа) без проемов, за исключением случаев, предусмотренных нормативными документами по пожарной безопасности.">
        <w:r>
          <w:rPr>
            <w:sz w:val="20"/>
            <w:color w:val="0000ff"/>
          </w:rPr>
          <w:t xml:space="preserve">пунктом 5.2.7</w:t>
        </w:r>
      </w:hyperlink>
      <w:r>
        <w:rPr>
          <w:sz w:val="20"/>
        </w:rPr>
        <w:t xml:space="preserve">, при этом часть здания с указанными помещениями должна также отделяться от других общественных помещений и организаций противопожарными перегородками 1-го типа без проемов и оборудоваться самостоятельными эвакуационными выходами из здания.</w:t>
      </w:r>
    </w:p>
    <w:p>
      <w:pPr>
        <w:pStyle w:val="0"/>
        <w:spacing w:before="200" w:line-rule="auto"/>
        <w:ind w:firstLine="540"/>
        <w:jc w:val="both"/>
      </w:pPr>
      <w:r>
        <w:rPr>
          <w:sz w:val="20"/>
        </w:rPr>
        <w:t xml:space="preserve">Размещаемые на объектах класса функциональной пожарной опасности Ф4.1 помещения ДОО вместимостью более 25 мест следует отделять стенами (перегородками) с пределами огнестойкости REI 45 (EI 45) - в зданиях I, II и III степеней огнестойкости и REI 15 (EI 15) - в зданиях IV степени огнестойкости и оборудовать самостоятельными эвакуационными выходами. Размещение помещений ДОО в зданиях начальных школ или в отдельных корпусах для начальных классов допускается без выделения противопожарными преградами.</w:t>
      </w:r>
    </w:p>
    <w:p>
      <w:pPr>
        <w:pStyle w:val="0"/>
        <w:jc w:val="both"/>
      </w:pPr>
      <w:r>
        <w:rPr>
          <w:sz w:val="20"/>
        </w:rPr>
        <w:t xml:space="preserve">(п. 5.6.2 в ред. </w:t>
      </w:r>
      <w:hyperlink w:history="0" r:id="rId207"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5.6.3. Утратил силу. - </w:t>
      </w:r>
      <w:hyperlink w:history="0" r:id="rId208"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w:t>
        </w:r>
      </w:hyperlink>
      <w:r>
        <w:rPr>
          <w:sz w:val="20"/>
        </w:rPr>
        <w:t xml:space="preserve"> МЧС России от 14.02.2020 N 89.</w:t>
      </w:r>
    </w:p>
    <w:p>
      <w:pPr>
        <w:pStyle w:val="0"/>
        <w:spacing w:before="200" w:line-rule="auto"/>
        <w:ind w:firstLine="540"/>
        <w:jc w:val="both"/>
      </w:pPr>
      <w:r>
        <w:rPr>
          <w:sz w:val="20"/>
        </w:rPr>
        <w:t xml:space="preserve">5.6.4. Размещаемые в зданиях, сооружениях класса функциональной пожарной опасности Ф4 части здания, помещения производственного, складского назначения, помещения для инженерного оборудования и технического обслуживания объекта следует выделять противопожарными преградами в соответствии с </w:t>
      </w:r>
      <w:hyperlink w:history="0" w:anchor="P363" w:tooltip="5.1.2. Размещаемые в жилых и общественных зданиях помещения производственного и складского назначения (мастерские, лаборатории, кладовые различного назначения), а также помещения для инженерного оборудования и технического обслуживания с наличием пожароопасных и пожаровзрывоопасных процессов и веществ (котельные, системы газоснабжения, электроснабжения и т.д.) подлежат категорированию по взрывопожарной и пожарной опасности в соответствии с СП 12.13130.">
        <w:r>
          <w:rPr>
            <w:sz w:val="20"/>
            <w:color w:val="0000ff"/>
          </w:rPr>
          <w:t xml:space="preserve">пунктом 5.1.2</w:t>
        </w:r>
      </w:hyperlink>
      <w:r>
        <w:rPr>
          <w:sz w:val="20"/>
        </w:rPr>
        <w:t xml:space="preserve">.</w:t>
      </w:r>
    </w:p>
    <w:p>
      <w:pPr>
        <w:pStyle w:val="0"/>
        <w:jc w:val="both"/>
      </w:pPr>
      <w:r>
        <w:rPr>
          <w:sz w:val="20"/>
        </w:rPr>
        <w:t xml:space="preserve">(п. 5.6.4 в ред. </w:t>
      </w:r>
      <w:hyperlink w:history="0" r:id="rId209"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5.6.5. Окна и отверстия из помещения кинопроекционной, если она предусмотрена при конференц-зале, должны быть защищены согласно требованиям, приведенным в </w:t>
      </w:r>
      <w:hyperlink w:history="0" w:anchor="P480" w:tooltip="5.4. Требования к объектам класса функциональной пожарной опасности Ф2">
        <w:r>
          <w:rPr>
            <w:sz w:val="20"/>
            <w:color w:val="0000ff"/>
          </w:rPr>
          <w:t xml:space="preserve">подразделе 5.4</w:t>
        </w:r>
      </w:hyperlink>
      <w:r>
        <w:rPr>
          <w:sz w:val="20"/>
        </w:rPr>
        <w:t xml:space="preserve">.</w:t>
      </w:r>
    </w:p>
    <w:p>
      <w:pPr>
        <w:pStyle w:val="0"/>
        <w:ind w:firstLine="540"/>
        <w:jc w:val="both"/>
      </w:pPr>
      <w:r>
        <w:rPr>
          <w:sz w:val="20"/>
        </w:rPr>
      </w:r>
    </w:p>
    <w:bookmarkStart w:id="567" w:name="P567"/>
    <w:bookmarkEnd w:id="567"/>
    <w:p>
      <w:pPr>
        <w:pStyle w:val="2"/>
        <w:outlineLvl w:val="1"/>
        <w:ind w:firstLine="540"/>
        <w:jc w:val="both"/>
      </w:pPr>
      <w:r>
        <w:rPr>
          <w:sz w:val="20"/>
        </w:rPr>
        <w:t xml:space="preserve">6. Требования к объектам класса функциональной пожарной опасности Ф5</w:t>
      </w:r>
    </w:p>
    <w:p>
      <w:pPr>
        <w:pStyle w:val="0"/>
        <w:jc w:val="both"/>
      </w:pPr>
      <w:r>
        <w:rPr>
          <w:sz w:val="20"/>
        </w:rPr>
        <w:t xml:space="preserve">(в ред. </w:t>
      </w:r>
      <w:hyperlink w:history="0" r:id="rId210"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ind w:firstLine="540"/>
        <w:jc w:val="both"/>
      </w:pPr>
      <w:r>
        <w:rPr>
          <w:sz w:val="20"/>
        </w:rPr>
      </w:r>
    </w:p>
    <w:bookmarkStart w:id="570" w:name="P570"/>
    <w:bookmarkEnd w:id="570"/>
    <w:p>
      <w:pPr>
        <w:pStyle w:val="2"/>
        <w:outlineLvl w:val="2"/>
        <w:ind w:firstLine="540"/>
        <w:jc w:val="both"/>
      </w:pPr>
      <w:r>
        <w:rPr>
          <w:sz w:val="20"/>
        </w:rPr>
        <w:t xml:space="preserve">6.1. Общие требования к объектам класса функциональной пожарной опасности Ф5</w:t>
      </w:r>
    </w:p>
    <w:p>
      <w:pPr>
        <w:pStyle w:val="0"/>
        <w:jc w:val="both"/>
      </w:pPr>
      <w:r>
        <w:rPr>
          <w:sz w:val="20"/>
        </w:rPr>
        <w:t xml:space="preserve">(в ред. </w:t>
      </w:r>
      <w:hyperlink w:history="0" r:id="rId211"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ind w:firstLine="540"/>
        <w:jc w:val="both"/>
      </w:pPr>
      <w:r>
        <w:rPr>
          <w:sz w:val="20"/>
        </w:rPr>
      </w:r>
    </w:p>
    <w:p>
      <w:pPr>
        <w:pStyle w:val="0"/>
        <w:ind w:firstLine="540"/>
        <w:jc w:val="both"/>
      </w:pPr>
      <w:r>
        <w:rPr>
          <w:sz w:val="20"/>
        </w:rPr>
        <w:t xml:space="preserve">6.1.1. В настоящем подразделе свода правил приведены требования, которые должны соблюдаться при проектировании генеральных планов новых, расширяемых и реконструируемых промышленных предприятий, а также при разработке схем генеральных планов групп предприятий с общими объектами (промышленных узлов).</w:t>
      </w:r>
    </w:p>
    <w:p>
      <w:pPr>
        <w:pStyle w:val="0"/>
        <w:spacing w:before="200" w:line-rule="auto"/>
        <w:ind w:firstLine="540"/>
        <w:jc w:val="both"/>
      </w:pPr>
      <w:r>
        <w:rPr>
          <w:sz w:val="20"/>
        </w:rPr>
        <w:t xml:space="preserve">6.1.2. Расстояния между зданиями и сооружениями (далее - здания) на территории производственных объектов в зависимости от степени огнестойкости, класса конструктивной пожарной опасности и категории по взрывопожарной и пожарной опасности принимаются не менее указанных в </w:t>
      </w:r>
      <w:hyperlink w:history="0" w:anchor="P576" w:tooltip="Таблица 3">
        <w:r>
          <w:rPr>
            <w:sz w:val="20"/>
            <w:color w:val="0000ff"/>
          </w:rPr>
          <w:t xml:space="preserve">таблице 3</w:t>
        </w:r>
      </w:hyperlink>
      <w:r>
        <w:rPr>
          <w:sz w:val="20"/>
        </w:rPr>
        <w:t xml:space="preserve">.</w:t>
      </w:r>
    </w:p>
    <w:p>
      <w:pPr>
        <w:pStyle w:val="0"/>
        <w:ind w:firstLine="540"/>
        <w:jc w:val="both"/>
      </w:pPr>
      <w:r>
        <w:rPr>
          <w:sz w:val="20"/>
        </w:rPr>
      </w:r>
    </w:p>
    <w:bookmarkStart w:id="576" w:name="P576"/>
    <w:bookmarkEnd w:id="576"/>
    <w:p>
      <w:pPr>
        <w:pStyle w:val="0"/>
        <w:outlineLvl w:val="3"/>
        <w:jc w:val="both"/>
      </w:pPr>
      <w:r>
        <w:rPr>
          <w:sz w:val="20"/>
        </w:rPr>
        <w:t xml:space="preserve">Таблица 3</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300"/>
        <w:gridCol w:w="2805"/>
        <w:gridCol w:w="2475"/>
        <w:gridCol w:w="3630"/>
      </w:tblGrid>
      <w:tr>
        <w:tc>
          <w:tcPr>
            <w:tcW w:w="3300" w:type="dxa"/>
            <w:vMerge w:val="restart"/>
          </w:tcPr>
          <w:p>
            <w:pPr>
              <w:pStyle w:val="0"/>
              <w:jc w:val="center"/>
            </w:pPr>
            <w:r>
              <w:rPr>
                <w:sz w:val="20"/>
              </w:rPr>
              <w:t xml:space="preserve">Степень огнестойкости и класс конструктивной пожарной опасности</w:t>
            </w:r>
          </w:p>
        </w:tc>
        <w:tc>
          <w:tcPr>
            <w:gridSpan w:val="3"/>
            <w:tcW w:w="8910" w:type="dxa"/>
          </w:tcPr>
          <w:p>
            <w:pPr>
              <w:pStyle w:val="0"/>
              <w:jc w:val="center"/>
            </w:pPr>
            <w:r>
              <w:rPr>
                <w:sz w:val="20"/>
              </w:rPr>
              <w:t xml:space="preserve">Расстояния между зданиями, м</w:t>
            </w:r>
          </w:p>
        </w:tc>
      </w:tr>
      <w:tr>
        <w:tc>
          <w:tcPr>
            <w:vMerge w:val="continue"/>
          </w:tcPr>
          <w:p/>
        </w:tc>
        <w:tc>
          <w:tcPr>
            <w:tcW w:w="2805" w:type="dxa"/>
          </w:tcPr>
          <w:p>
            <w:pPr>
              <w:pStyle w:val="0"/>
              <w:jc w:val="center"/>
            </w:pPr>
            <w:r>
              <w:rPr>
                <w:sz w:val="20"/>
              </w:rPr>
              <w:t xml:space="preserve">I и II степень огнестойкости. III и IV степень огнестойкости класса С0</w:t>
            </w:r>
          </w:p>
        </w:tc>
        <w:tc>
          <w:tcPr>
            <w:tcW w:w="2475" w:type="dxa"/>
          </w:tcPr>
          <w:p>
            <w:pPr>
              <w:pStyle w:val="0"/>
              <w:jc w:val="center"/>
            </w:pPr>
            <w:r>
              <w:rPr>
                <w:sz w:val="20"/>
              </w:rPr>
              <w:t xml:space="preserve">III степень огнестойкости класса С1</w:t>
            </w:r>
          </w:p>
        </w:tc>
        <w:tc>
          <w:tcPr>
            <w:tcW w:w="3630" w:type="dxa"/>
          </w:tcPr>
          <w:p>
            <w:pPr>
              <w:pStyle w:val="0"/>
              <w:jc w:val="center"/>
            </w:pPr>
            <w:r>
              <w:rPr>
                <w:sz w:val="20"/>
              </w:rPr>
              <w:t xml:space="preserve">III степень огнестойкости классов С2 и С3. IV степень огнестойкости классов С1, С2 и С3. V степень огнестойкости</w:t>
            </w:r>
          </w:p>
        </w:tc>
      </w:tr>
      <w:tr>
        <w:tc>
          <w:tcPr>
            <w:tcW w:w="3300" w:type="dxa"/>
          </w:tcPr>
          <w:p>
            <w:pPr>
              <w:pStyle w:val="0"/>
            </w:pPr>
            <w:r>
              <w:rPr>
                <w:sz w:val="20"/>
              </w:rPr>
              <w:t xml:space="preserve">I и II степень огнестойкости. III и IV степень огнестойкости класса С0</w:t>
            </w:r>
          </w:p>
        </w:tc>
        <w:tc>
          <w:tcPr>
            <w:tcW w:w="2805" w:type="dxa"/>
          </w:tcPr>
          <w:p>
            <w:pPr>
              <w:pStyle w:val="0"/>
              <w:jc w:val="center"/>
            </w:pPr>
            <w:r>
              <w:rPr>
                <w:sz w:val="20"/>
              </w:rPr>
              <w:t xml:space="preserve">Не нормируется для зданий категорий Г и Д 9 - для зданий категорий А, Б и В (см. </w:t>
            </w:r>
            <w:hyperlink w:history="0" w:anchor="P605" w:tooltip="6.1.5. Указанное расстояние для зданий I, II, а также III и IV степеней огнестойкости класса конструктивной пожарной опасности С0 категорий А, Б и В по взрывопожарной и пожарной опасности допускается уменьшать с 9 до 6 м при условии оборудования зданий автоматическими установками пожаротушения.">
              <w:r>
                <w:rPr>
                  <w:sz w:val="20"/>
                  <w:color w:val="0000ff"/>
                </w:rPr>
                <w:t xml:space="preserve">пункт 6.1.5</w:t>
              </w:r>
            </w:hyperlink>
            <w:r>
              <w:rPr>
                <w:sz w:val="20"/>
              </w:rPr>
              <w:t xml:space="preserve">)</w:t>
            </w:r>
          </w:p>
        </w:tc>
        <w:tc>
          <w:tcPr>
            <w:tcW w:w="2475" w:type="dxa"/>
          </w:tcPr>
          <w:p>
            <w:pPr>
              <w:pStyle w:val="0"/>
              <w:jc w:val="center"/>
            </w:pPr>
            <w:r>
              <w:rPr>
                <w:sz w:val="20"/>
              </w:rPr>
              <w:t xml:space="preserve">9</w:t>
            </w:r>
          </w:p>
        </w:tc>
        <w:tc>
          <w:tcPr>
            <w:tcW w:w="3630" w:type="dxa"/>
          </w:tcPr>
          <w:p>
            <w:pPr>
              <w:pStyle w:val="0"/>
              <w:jc w:val="center"/>
            </w:pPr>
            <w:r>
              <w:rPr>
                <w:sz w:val="20"/>
              </w:rPr>
              <w:t xml:space="preserve">12</w:t>
            </w:r>
          </w:p>
        </w:tc>
      </w:tr>
      <w:tr>
        <w:tc>
          <w:tcPr>
            <w:tcW w:w="3300" w:type="dxa"/>
          </w:tcPr>
          <w:p>
            <w:pPr>
              <w:pStyle w:val="0"/>
            </w:pPr>
            <w:r>
              <w:rPr>
                <w:sz w:val="20"/>
              </w:rPr>
              <w:t xml:space="preserve">III степень огнестойкости класса С1</w:t>
            </w:r>
          </w:p>
        </w:tc>
        <w:tc>
          <w:tcPr>
            <w:tcW w:w="2805" w:type="dxa"/>
          </w:tcPr>
          <w:p>
            <w:pPr>
              <w:pStyle w:val="0"/>
              <w:jc w:val="center"/>
            </w:pPr>
            <w:r>
              <w:rPr>
                <w:sz w:val="20"/>
              </w:rPr>
              <w:t xml:space="preserve">9</w:t>
            </w:r>
          </w:p>
        </w:tc>
        <w:tc>
          <w:tcPr>
            <w:tcW w:w="2475" w:type="dxa"/>
          </w:tcPr>
          <w:p>
            <w:pPr>
              <w:pStyle w:val="0"/>
              <w:jc w:val="center"/>
            </w:pPr>
            <w:r>
              <w:rPr>
                <w:sz w:val="20"/>
              </w:rPr>
              <w:t xml:space="preserve">12</w:t>
            </w:r>
          </w:p>
        </w:tc>
        <w:tc>
          <w:tcPr>
            <w:tcW w:w="3630" w:type="dxa"/>
          </w:tcPr>
          <w:p>
            <w:pPr>
              <w:pStyle w:val="0"/>
              <w:jc w:val="center"/>
            </w:pPr>
            <w:r>
              <w:rPr>
                <w:sz w:val="20"/>
              </w:rPr>
              <w:t xml:space="preserve">15</w:t>
            </w:r>
          </w:p>
        </w:tc>
      </w:tr>
      <w:tr>
        <w:tc>
          <w:tcPr>
            <w:tcW w:w="3300" w:type="dxa"/>
          </w:tcPr>
          <w:p>
            <w:pPr>
              <w:pStyle w:val="0"/>
            </w:pPr>
            <w:r>
              <w:rPr>
                <w:sz w:val="20"/>
              </w:rPr>
              <w:t xml:space="preserve">III степень огнестойкости классов С2 и С3. IV степень огнестойкости классов С1, С2 и С3. V степень огнестойкости</w:t>
            </w:r>
          </w:p>
        </w:tc>
        <w:tc>
          <w:tcPr>
            <w:tcW w:w="2805" w:type="dxa"/>
          </w:tcPr>
          <w:p>
            <w:pPr>
              <w:pStyle w:val="0"/>
              <w:jc w:val="center"/>
            </w:pPr>
            <w:r>
              <w:rPr>
                <w:sz w:val="20"/>
              </w:rPr>
              <w:t xml:space="preserve">12</w:t>
            </w:r>
          </w:p>
        </w:tc>
        <w:tc>
          <w:tcPr>
            <w:tcW w:w="2475" w:type="dxa"/>
          </w:tcPr>
          <w:p>
            <w:pPr>
              <w:pStyle w:val="0"/>
              <w:jc w:val="center"/>
            </w:pPr>
            <w:r>
              <w:rPr>
                <w:sz w:val="20"/>
              </w:rPr>
              <w:t xml:space="preserve">15</w:t>
            </w:r>
          </w:p>
        </w:tc>
        <w:tc>
          <w:tcPr>
            <w:tcW w:w="3630" w:type="dxa"/>
          </w:tcPr>
          <w:p>
            <w:pPr>
              <w:pStyle w:val="0"/>
              <w:jc w:val="center"/>
            </w:pPr>
            <w:r>
              <w:rPr>
                <w:sz w:val="20"/>
              </w:rPr>
              <w:t xml:space="preserve">18</w:t>
            </w:r>
          </w:p>
        </w:tc>
      </w:tr>
    </w:tbl>
    <w:p>
      <w:pPr>
        <w:sectPr>
          <w:headerReference w:type="default" r:id="rId212"/>
          <w:headerReference w:type="first" r:id="rId212"/>
          <w:footerReference w:type="default" r:id="rId213"/>
          <w:footerReference w:type="first" r:id="rId213"/>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Примечание. Наименьшим расстоянием между зданиями считается расстояние в свету между наружными стенами или конструкциями. При наличии конструкций зданий, выступающих более чем на 1 м и выполненных из материалов группы Г1 - Г4, наименьшим расстоянием считается расстояние между этими конструкциями.</w:t>
      </w:r>
    </w:p>
    <w:p>
      <w:pPr>
        <w:pStyle w:val="0"/>
        <w:ind w:firstLine="540"/>
        <w:jc w:val="both"/>
      </w:pPr>
      <w:r>
        <w:rPr>
          <w:sz w:val="20"/>
        </w:rPr>
      </w:r>
    </w:p>
    <w:p>
      <w:pPr>
        <w:pStyle w:val="0"/>
        <w:ind w:firstLine="540"/>
        <w:jc w:val="both"/>
      </w:pPr>
      <w:r>
        <w:rPr>
          <w:sz w:val="20"/>
        </w:rPr>
        <w:t xml:space="preserve">6.1.3. Расстояние между зданиями класса функциональной пожарной опасности Ф5 не нормируется при выполнении одного из следующих условий:</w:t>
      </w:r>
    </w:p>
    <w:p>
      <w:pPr>
        <w:pStyle w:val="0"/>
        <w:jc w:val="both"/>
      </w:pPr>
      <w:r>
        <w:rPr>
          <w:sz w:val="20"/>
        </w:rPr>
        <w:t xml:space="preserve">(в ред. </w:t>
      </w:r>
      <w:hyperlink w:history="0" r:id="rId214"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а) для двух и более зданий III и IV степени огнестойкости классов конструктивной пожарной опасности С0, С1, С2 и С3, если сумма их площадей застройки не превышает допустимую площадь этажа в пределах пожарного отсека, принимаемую по </w:t>
      </w:r>
      <w:hyperlink w:history="0" r:id="rId215" w:tooltip="Приказ МЧС России от 21.11.2012 N 693 (ред. от 23.10.2013) &quot;Об утверждении свода правил &quot;Системы противопожарной защиты. Обеспечение огнестойкости объектов защиты&quot; (вместе с &quot;СП 2.13130.2012. Свод правил...&quot;) ------------ Утратил силу или отменен {КонсультантПлюс}">
        <w:r>
          <w:rPr>
            <w:sz w:val="20"/>
            <w:color w:val="0000ff"/>
          </w:rPr>
          <w:t xml:space="preserve">СП 2.13130</w:t>
        </w:r>
      </w:hyperlink>
      <w:r>
        <w:rPr>
          <w:sz w:val="20"/>
        </w:rPr>
        <w:t xml:space="preserve">, считая по наиболее пожароопасной категории, низшей степени огнестойкости и низшего класса конструктивной пожарной опасности здания, при условии обеспечения требуемых проездов и подъездов для пожарной техники;</w:t>
      </w:r>
    </w:p>
    <w:p>
      <w:pPr>
        <w:pStyle w:val="0"/>
        <w:jc w:val="both"/>
      </w:pPr>
      <w:r>
        <w:rPr>
          <w:sz w:val="20"/>
        </w:rPr>
        <w:t xml:space="preserve">(пп. "а" в ред. </w:t>
      </w:r>
      <w:hyperlink w:history="0" r:id="rId216"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б) если стена более высокого или широкого здания или сооружения, выходящая в сторону другого здания, является противопожарной 1-го типа;</w:t>
      </w:r>
    </w:p>
    <w:p>
      <w:pPr>
        <w:pStyle w:val="0"/>
        <w:spacing w:before="200" w:line-rule="auto"/>
        <w:ind w:firstLine="540"/>
        <w:jc w:val="both"/>
      </w:pPr>
      <w:r>
        <w:rPr>
          <w:sz w:val="20"/>
        </w:rPr>
        <w:t xml:space="preserve">в) если здания и сооружения III степени огнестойкости независимо от пожарной опасности размещаемых в них помещений имеют противостоящие противопожарные стены 2-го типа с заполнением проемов 2-го типа.</w:t>
      </w:r>
    </w:p>
    <w:p>
      <w:pPr>
        <w:pStyle w:val="0"/>
        <w:spacing w:before="200" w:line-rule="auto"/>
        <w:ind w:firstLine="540"/>
        <w:jc w:val="both"/>
      </w:pPr>
      <w:r>
        <w:rPr>
          <w:sz w:val="20"/>
        </w:rPr>
        <w:t xml:space="preserve">6.1.4. Расстояние от зданий любой степени огнестойкости до зданий III и IV степени огнестойкости классов С1, С2 и С3, а также V степени огнестойкости в местностях, находящихся за Северным полярным кругом, на береговой полосе Берингова и Охотского морей, Татарского пролива, на полуострове Камчатка, на острове Сахалин, на Курильских и Командорских островах, увеличивается на 25%. Ширина береговой полосы принимается 100 км, но не далее чем до ближайшего горного хребта.</w:t>
      </w:r>
    </w:p>
    <w:bookmarkStart w:id="605" w:name="P605"/>
    <w:bookmarkEnd w:id="605"/>
    <w:p>
      <w:pPr>
        <w:pStyle w:val="0"/>
        <w:spacing w:before="200" w:line-rule="auto"/>
        <w:ind w:firstLine="540"/>
        <w:jc w:val="both"/>
      </w:pPr>
      <w:r>
        <w:rPr>
          <w:sz w:val="20"/>
        </w:rPr>
        <w:t xml:space="preserve">6.1.5. Указанное расстояние для зданий I, II, а также III и IV степеней огнестойкости класса конструктивной пожарной опасности С0 категорий А, Б и В по взрывопожарной и пожарной опасности допускается уменьшать с 9 до 6 м при условии оборудования зданий автоматическими установками пожаротушения.</w:t>
      </w:r>
    </w:p>
    <w:p>
      <w:pPr>
        <w:pStyle w:val="0"/>
        <w:jc w:val="both"/>
      </w:pPr>
      <w:r>
        <w:rPr>
          <w:sz w:val="20"/>
        </w:rPr>
        <w:t xml:space="preserve">(в ред. Приказов МЧС России от 14.02.2020 </w:t>
      </w:r>
      <w:hyperlink w:history="0" r:id="rId217"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N 89</w:t>
        </w:r>
      </w:hyperlink>
      <w:r>
        <w:rPr>
          <w:sz w:val="20"/>
        </w:rPr>
        <w:t xml:space="preserve">, от 15.06.2022 </w:t>
      </w:r>
      <w:hyperlink w:history="0" r:id="rId218"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N 610</w:t>
        </w:r>
      </w:hyperlink>
      <w:r>
        <w:rPr>
          <w:sz w:val="20"/>
        </w:rPr>
        <w:t xml:space="preserve">)</w:t>
      </w:r>
    </w:p>
    <w:p>
      <w:pPr>
        <w:pStyle w:val="0"/>
        <w:spacing w:before="200" w:line-rule="auto"/>
        <w:ind w:firstLine="540"/>
        <w:jc w:val="both"/>
      </w:pPr>
      <w:r>
        <w:rPr>
          <w:sz w:val="20"/>
        </w:rPr>
        <w:t xml:space="preserve">6.1.6. Расстояние от зданий производственных объектов (независимо от степени их огнестойкости) до границ лесного массива хвойных пород и мест разработки или открытого залегания торфа принимаются 100 м, смешанных пород - 50 м, а до лиственных пород - 20 м.</w:t>
      </w:r>
    </w:p>
    <w:p>
      <w:pPr>
        <w:pStyle w:val="0"/>
        <w:spacing w:before="200" w:line-rule="auto"/>
        <w:ind w:firstLine="540"/>
        <w:jc w:val="both"/>
      </w:pPr>
      <w:r>
        <w:rPr>
          <w:sz w:val="20"/>
        </w:rPr>
        <w:t xml:space="preserve">При размещении производственных объектов в лесных массивах, когда строительство их связано с вырубкой леса, указанные расстояния до лесного массива хвойных пород допускается сокращать в два раза.</w:t>
      </w:r>
    </w:p>
    <w:p>
      <w:pPr>
        <w:pStyle w:val="0"/>
        <w:spacing w:before="200" w:line-rule="auto"/>
        <w:ind w:firstLine="540"/>
        <w:jc w:val="both"/>
      </w:pPr>
      <w:r>
        <w:rPr>
          <w:sz w:val="20"/>
        </w:rPr>
        <w:t xml:space="preserve">Расстояния от зданий производственных объектов до мест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указанного в настоящем пункте.</w:t>
      </w:r>
    </w:p>
    <w:p>
      <w:pPr>
        <w:pStyle w:val="0"/>
        <w:spacing w:before="200" w:line-rule="auto"/>
        <w:ind w:firstLine="540"/>
        <w:jc w:val="both"/>
      </w:pPr>
      <w:r>
        <w:rPr>
          <w:sz w:val="20"/>
        </w:rPr>
        <w:t xml:space="preserve">6.1.7. Расстояния от открытых наземных складов до зданий производственных объектов, а также расстояния между указанными складами принимаются не менее указанных в </w:t>
      </w:r>
      <w:hyperlink w:history="0" w:anchor="P612" w:tooltip="Таблица 4">
        <w:r>
          <w:rPr>
            <w:sz w:val="20"/>
            <w:color w:val="0000ff"/>
          </w:rPr>
          <w:t xml:space="preserve">таблице 4</w:t>
        </w:r>
      </w:hyperlink>
      <w:r>
        <w:rPr>
          <w:sz w:val="20"/>
        </w:rPr>
        <w:t xml:space="preserve">.</w:t>
      </w:r>
    </w:p>
    <w:p>
      <w:pPr>
        <w:pStyle w:val="0"/>
        <w:ind w:firstLine="540"/>
        <w:jc w:val="both"/>
      </w:pPr>
      <w:r>
        <w:rPr>
          <w:sz w:val="20"/>
        </w:rPr>
      </w:r>
    </w:p>
    <w:bookmarkStart w:id="612" w:name="P612"/>
    <w:bookmarkEnd w:id="612"/>
    <w:p>
      <w:pPr>
        <w:pStyle w:val="0"/>
        <w:outlineLvl w:val="3"/>
        <w:jc w:val="both"/>
      </w:pPr>
      <w:r>
        <w:rPr>
          <w:sz w:val="20"/>
        </w:rPr>
        <w:t xml:space="preserve">Таблица 4</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05"/>
        <w:gridCol w:w="1320"/>
        <w:gridCol w:w="1320"/>
        <w:gridCol w:w="1980"/>
        <w:gridCol w:w="1155"/>
        <w:gridCol w:w="1320"/>
        <w:gridCol w:w="1155"/>
        <w:gridCol w:w="1320"/>
        <w:gridCol w:w="1155"/>
        <w:gridCol w:w="1320"/>
        <w:gridCol w:w="1155"/>
        <w:gridCol w:w="1320"/>
        <w:gridCol w:w="1155"/>
        <w:gridCol w:w="1320"/>
        <w:gridCol w:w="990"/>
        <w:gridCol w:w="990"/>
        <w:gridCol w:w="1155"/>
        <w:gridCol w:w="1320"/>
        <w:gridCol w:w="990"/>
        <w:gridCol w:w="1155"/>
      </w:tblGrid>
      <w:tr>
        <w:tc>
          <w:tcPr>
            <w:tcW w:w="2805" w:type="dxa"/>
            <w:vMerge w:val="restart"/>
          </w:tcPr>
          <w:p>
            <w:pPr>
              <w:pStyle w:val="0"/>
              <w:jc w:val="center"/>
            </w:pPr>
            <w:r>
              <w:rPr>
                <w:sz w:val="20"/>
              </w:rPr>
              <w:t xml:space="preserve">СКЛАДЫ</w:t>
            </w:r>
          </w:p>
        </w:tc>
        <w:tc>
          <w:tcPr>
            <w:gridSpan w:val="19"/>
            <w:tcW w:w="23595" w:type="dxa"/>
          </w:tcPr>
          <w:p>
            <w:pPr>
              <w:pStyle w:val="0"/>
              <w:jc w:val="center"/>
            </w:pPr>
            <w:r>
              <w:rPr>
                <w:sz w:val="20"/>
              </w:rPr>
              <w:t xml:space="preserve">Расстояния от складов до зданий и между складами</w:t>
            </w:r>
          </w:p>
        </w:tc>
      </w:tr>
      <w:tr>
        <w:tc>
          <w:tcPr>
            <w:vMerge w:val="continue"/>
          </w:tcPr>
          <w:p/>
        </w:tc>
        <w:tc>
          <w:tcPr>
            <w:gridSpan w:val="3"/>
            <w:tcW w:w="4620" w:type="dxa"/>
            <w:vMerge w:val="restart"/>
          </w:tcPr>
          <w:p>
            <w:pPr>
              <w:pStyle w:val="0"/>
              <w:jc w:val="center"/>
            </w:pPr>
            <w:r>
              <w:rPr>
                <w:sz w:val="20"/>
              </w:rPr>
              <w:t xml:space="preserve">Здания при степени огнестойкости и классе конструктивной пожарной опасности</w:t>
            </w:r>
          </w:p>
        </w:tc>
        <w:tc>
          <w:tcPr>
            <w:gridSpan w:val="16"/>
            <w:tcW w:w="18975" w:type="dxa"/>
          </w:tcPr>
          <w:p>
            <w:pPr>
              <w:pStyle w:val="0"/>
              <w:jc w:val="center"/>
            </w:pPr>
            <w:r>
              <w:rPr>
                <w:sz w:val="20"/>
              </w:rPr>
              <w:t xml:space="preserve">Склады</w:t>
            </w:r>
          </w:p>
        </w:tc>
      </w:tr>
      <w:tr>
        <w:tc>
          <w:tcPr>
            <w:vMerge w:val="continue"/>
          </w:tcPr>
          <w:p/>
        </w:tc>
        <w:tc>
          <w:tcPr>
            <w:gridSpan w:val="3"/>
            <w:vMerge w:val="continue"/>
          </w:tcPr>
          <w:p/>
        </w:tc>
        <w:tc>
          <w:tcPr>
            <w:gridSpan w:val="2"/>
            <w:tcW w:w="2475" w:type="dxa"/>
          </w:tcPr>
          <w:p>
            <w:pPr>
              <w:pStyle w:val="0"/>
              <w:jc w:val="center"/>
            </w:pPr>
            <w:r>
              <w:rPr>
                <w:sz w:val="20"/>
              </w:rPr>
              <w:t xml:space="preserve">Каменного угля</w:t>
            </w:r>
          </w:p>
        </w:tc>
        <w:tc>
          <w:tcPr>
            <w:gridSpan w:val="2"/>
            <w:tcW w:w="2475" w:type="dxa"/>
          </w:tcPr>
          <w:p>
            <w:pPr>
              <w:pStyle w:val="0"/>
              <w:jc w:val="center"/>
            </w:pPr>
            <w:r>
              <w:rPr>
                <w:sz w:val="20"/>
              </w:rPr>
              <w:t xml:space="preserve">Фрезерного торфа</w:t>
            </w:r>
          </w:p>
        </w:tc>
        <w:tc>
          <w:tcPr>
            <w:gridSpan w:val="2"/>
            <w:tcW w:w="2475" w:type="dxa"/>
          </w:tcPr>
          <w:p>
            <w:pPr>
              <w:pStyle w:val="0"/>
              <w:jc w:val="center"/>
            </w:pPr>
            <w:r>
              <w:rPr>
                <w:sz w:val="20"/>
              </w:rPr>
              <w:t xml:space="preserve">Кускового торфа</w:t>
            </w:r>
          </w:p>
        </w:tc>
        <w:tc>
          <w:tcPr>
            <w:gridSpan w:val="2"/>
            <w:tcW w:w="2475" w:type="dxa"/>
          </w:tcPr>
          <w:p>
            <w:pPr>
              <w:pStyle w:val="0"/>
              <w:jc w:val="center"/>
            </w:pPr>
            <w:r>
              <w:rPr>
                <w:sz w:val="20"/>
              </w:rPr>
              <w:t xml:space="preserve">Лесоматериалов (круглых, пиленых) и дров</w:t>
            </w:r>
          </w:p>
        </w:tc>
        <w:tc>
          <w:tcPr>
            <w:gridSpan w:val="2"/>
            <w:tcW w:w="2475" w:type="dxa"/>
          </w:tcPr>
          <w:p>
            <w:pPr>
              <w:pStyle w:val="0"/>
              <w:jc w:val="center"/>
            </w:pPr>
            <w:r>
              <w:rPr>
                <w:sz w:val="20"/>
              </w:rPr>
              <w:t xml:space="preserve">Щепы и опилок</w:t>
            </w:r>
          </w:p>
        </w:tc>
        <w:tc>
          <w:tcPr>
            <w:gridSpan w:val="3"/>
            <w:tcW w:w="3135" w:type="dxa"/>
          </w:tcPr>
          <w:p>
            <w:pPr>
              <w:pStyle w:val="0"/>
              <w:jc w:val="center"/>
            </w:pPr>
            <w:r>
              <w:rPr>
                <w:sz w:val="20"/>
              </w:rPr>
              <w:t xml:space="preserve">Легковоспламеняющихся жидкостей</w:t>
            </w:r>
          </w:p>
        </w:tc>
        <w:tc>
          <w:tcPr>
            <w:gridSpan w:val="3"/>
            <w:tcW w:w="3465" w:type="dxa"/>
          </w:tcPr>
          <w:p>
            <w:pPr>
              <w:pStyle w:val="0"/>
              <w:jc w:val="center"/>
            </w:pPr>
            <w:r>
              <w:rPr>
                <w:sz w:val="20"/>
              </w:rPr>
              <w:t xml:space="preserve">Горючих жидкостей</w:t>
            </w:r>
          </w:p>
        </w:tc>
      </w:tr>
      <w:tr>
        <w:tc>
          <w:tcPr>
            <w:vMerge w:val="continue"/>
          </w:tcPr>
          <w:p/>
        </w:tc>
        <w:tc>
          <w:tcPr>
            <w:tcW w:w="1320" w:type="dxa"/>
            <w:vMerge w:val="restart"/>
          </w:tcPr>
          <w:p>
            <w:pPr>
              <w:pStyle w:val="0"/>
              <w:jc w:val="center"/>
            </w:pPr>
            <w:r>
              <w:rPr>
                <w:sz w:val="20"/>
              </w:rPr>
              <w:t xml:space="preserve">I и II, III и IV класса С0</w:t>
            </w:r>
          </w:p>
        </w:tc>
        <w:tc>
          <w:tcPr>
            <w:tcW w:w="1320" w:type="dxa"/>
            <w:vMerge w:val="restart"/>
          </w:tcPr>
          <w:p>
            <w:pPr>
              <w:pStyle w:val="0"/>
              <w:jc w:val="center"/>
            </w:pPr>
            <w:r>
              <w:rPr>
                <w:sz w:val="20"/>
              </w:rPr>
              <w:t xml:space="preserve">III класса С1</w:t>
            </w:r>
          </w:p>
        </w:tc>
        <w:tc>
          <w:tcPr>
            <w:tcW w:w="1980" w:type="dxa"/>
            <w:vMerge w:val="restart"/>
          </w:tcPr>
          <w:p>
            <w:pPr>
              <w:pStyle w:val="0"/>
              <w:jc w:val="center"/>
            </w:pPr>
            <w:r>
              <w:rPr>
                <w:sz w:val="20"/>
              </w:rPr>
              <w:t xml:space="preserve">III классов С2 и С3. IV классов С1, С2, С3 и V</w:t>
            </w:r>
          </w:p>
        </w:tc>
        <w:tc>
          <w:tcPr>
            <w:gridSpan w:val="6"/>
            <w:tcW w:w="7425" w:type="dxa"/>
          </w:tcPr>
          <w:p>
            <w:pPr>
              <w:pStyle w:val="0"/>
              <w:jc w:val="center"/>
            </w:pPr>
            <w:r>
              <w:rPr>
                <w:sz w:val="20"/>
              </w:rPr>
              <w:t xml:space="preserve">Емкостью, т</w:t>
            </w:r>
          </w:p>
        </w:tc>
        <w:tc>
          <w:tcPr>
            <w:gridSpan w:val="10"/>
            <w:tcW w:w="11550" w:type="dxa"/>
          </w:tcPr>
          <w:p>
            <w:pPr>
              <w:pStyle w:val="0"/>
              <w:jc w:val="center"/>
            </w:pPr>
            <w:r>
              <w:rPr>
                <w:sz w:val="20"/>
              </w:rPr>
              <w:t xml:space="preserve">Емкостью, м</w:t>
            </w:r>
            <w:r>
              <w:rPr>
                <w:sz w:val="20"/>
                <w:vertAlign w:val="superscript"/>
              </w:rPr>
              <w:t xml:space="preserve">3</w:t>
            </w:r>
          </w:p>
        </w:tc>
      </w:tr>
      <w:tr>
        <w:tc>
          <w:tcPr>
            <w:vMerge w:val="continue"/>
          </w:tcPr>
          <w:p/>
        </w:tc>
        <w:tc>
          <w:tcPr>
            <w:vMerge w:val="continue"/>
          </w:tcPr>
          <w:p/>
        </w:tc>
        <w:tc>
          <w:tcPr>
            <w:vMerge w:val="continue"/>
          </w:tcPr>
          <w:p/>
        </w:tc>
        <w:tc>
          <w:tcPr>
            <w:vMerge w:val="continue"/>
          </w:tcPr>
          <w:p/>
        </w:tc>
        <w:tc>
          <w:tcPr>
            <w:tcW w:w="1155" w:type="dxa"/>
          </w:tcPr>
          <w:p>
            <w:pPr>
              <w:pStyle w:val="0"/>
              <w:jc w:val="center"/>
            </w:pPr>
            <w:r>
              <w:rPr>
                <w:sz w:val="20"/>
              </w:rPr>
              <w:t xml:space="preserve">От 1000 до 100000</w:t>
            </w:r>
          </w:p>
        </w:tc>
        <w:tc>
          <w:tcPr>
            <w:tcW w:w="1320" w:type="dxa"/>
          </w:tcPr>
          <w:p>
            <w:pPr>
              <w:pStyle w:val="0"/>
              <w:jc w:val="center"/>
            </w:pPr>
            <w:r>
              <w:rPr>
                <w:sz w:val="20"/>
              </w:rPr>
              <w:t xml:space="preserve">Менее 1000</w:t>
            </w:r>
          </w:p>
        </w:tc>
        <w:tc>
          <w:tcPr>
            <w:tcW w:w="1155" w:type="dxa"/>
          </w:tcPr>
          <w:p>
            <w:pPr>
              <w:pStyle w:val="0"/>
              <w:jc w:val="center"/>
            </w:pPr>
            <w:r>
              <w:rPr>
                <w:sz w:val="20"/>
              </w:rPr>
              <w:t xml:space="preserve">От 1000 до 10000</w:t>
            </w:r>
          </w:p>
        </w:tc>
        <w:tc>
          <w:tcPr>
            <w:tcW w:w="1320" w:type="dxa"/>
          </w:tcPr>
          <w:p>
            <w:pPr>
              <w:pStyle w:val="0"/>
              <w:jc w:val="center"/>
            </w:pPr>
            <w:r>
              <w:rPr>
                <w:sz w:val="20"/>
              </w:rPr>
              <w:t xml:space="preserve">Менее 1000</w:t>
            </w:r>
          </w:p>
        </w:tc>
        <w:tc>
          <w:tcPr>
            <w:tcW w:w="1155" w:type="dxa"/>
          </w:tcPr>
          <w:p>
            <w:pPr>
              <w:pStyle w:val="0"/>
              <w:jc w:val="center"/>
            </w:pPr>
            <w:r>
              <w:rPr>
                <w:sz w:val="20"/>
              </w:rPr>
              <w:t xml:space="preserve">От 1000 до 10000</w:t>
            </w:r>
          </w:p>
        </w:tc>
        <w:tc>
          <w:tcPr>
            <w:tcW w:w="1320" w:type="dxa"/>
          </w:tcPr>
          <w:p>
            <w:pPr>
              <w:pStyle w:val="0"/>
              <w:jc w:val="center"/>
            </w:pPr>
            <w:r>
              <w:rPr>
                <w:sz w:val="20"/>
              </w:rPr>
              <w:t xml:space="preserve">Менее 1000</w:t>
            </w:r>
          </w:p>
        </w:tc>
        <w:tc>
          <w:tcPr>
            <w:tcW w:w="1155" w:type="dxa"/>
          </w:tcPr>
          <w:p>
            <w:pPr>
              <w:pStyle w:val="0"/>
              <w:jc w:val="center"/>
            </w:pPr>
            <w:r>
              <w:rPr>
                <w:sz w:val="20"/>
              </w:rPr>
              <w:t xml:space="preserve">От 1000 до 10000</w:t>
            </w:r>
          </w:p>
        </w:tc>
        <w:tc>
          <w:tcPr>
            <w:tcW w:w="1320" w:type="dxa"/>
          </w:tcPr>
          <w:p>
            <w:pPr>
              <w:pStyle w:val="0"/>
              <w:jc w:val="center"/>
            </w:pPr>
            <w:r>
              <w:rPr>
                <w:sz w:val="20"/>
              </w:rPr>
              <w:t xml:space="preserve">Менее 1000</w:t>
            </w:r>
          </w:p>
        </w:tc>
        <w:tc>
          <w:tcPr>
            <w:tcW w:w="1155" w:type="dxa"/>
          </w:tcPr>
          <w:p>
            <w:pPr>
              <w:pStyle w:val="0"/>
              <w:jc w:val="center"/>
            </w:pPr>
            <w:r>
              <w:rPr>
                <w:sz w:val="20"/>
              </w:rPr>
              <w:t xml:space="preserve">От 1000 до 5000</w:t>
            </w:r>
          </w:p>
        </w:tc>
        <w:tc>
          <w:tcPr>
            <w:tcW w:w="1320" w:type="dxa"/>
          </w:tcPr>
          <w:p>
            <w:pPr>
              <w:pStyle w:val="0"/>
              <w:jc w:val="center"/>
            </w:pPr>
            <w:r>
              <w:rPr>
                <w:sz w:val="20"/>
              </w:rPr>
              <w:t xml:space="preserve">Менее 1000</w:t>
            </w:r>
          </w:p>
        </w:tc>
        <w:tc>
          <w:tcPr>
            <w:tcW w:w="990" w:type="dxa"/>
          </w:tcPr>
          <w:p>
            <w:pPr>
              <w:pStyle w:val="0"/>
              <w:jc w:val="center"/>
            </w:pPr>
            <w:r>
              <w:rPr>
                <w:sz w:val="20"/>
              </w:rPr>
              <w:t xml:space="preserve">От 1000 до 2000</w:t>
            </w:r>
          </w:p>
        </w:tc>
        <w:tc>
          <w:tcPr>
            <w:tcW w:w="990" w:type="dxa"/>
          </w:tcPr>
          <w:p>
            <w:pPr>
              <w:pStyle w:val="0"/>
              <w:jc w:val="center"/>
            </w:pPr>
            <w:r>
              <w:rPr>
                <w:sz w:val="20"/>
              </w:rPr>
              <w:t xml:space="preserve">От 600 до 1000</w:t>
            </w:r>
          </w:p>
        </w:tc>
        <w:tc>
          <w:tcPr>
            <w:tcW w:w="1155" w:type="dxa"/>
          </w:tcPr>
          <w:p>
            <w:pPr>
              <w:pStyle w:val="0"/>
              <w:jc w:val="center"/>
            </w:pPr>
            <w:r>
              <w:rPr>
                <w:sz w:val="20"/>
              </w:rPr>
              <w:t xml:space="preserve">Менее 600</w:t>
            </w:r>
          </w:p>
        </w:tc>
        <w:tc>
          <w:tcPr>
            <w:tcW w:w="1320" w:type="dxa"/>
          </w:tcPr>
          <w:p>
            <w:pPr>
              <w:pStyle w:val="0"/>
              <w:jc w:val="center"/>
            </w:pPr>
            <w:r>
              <w:rPr>
                <w:sz w:val="20"/>
              </w:rPr>
              <w:t xml:space="preserve">От 5000 до 10000</w:t>
            </w:r>
          </w:p>
        </w:tc>
        <w:tc>
          <w:tcPr>
            <w:tcW w:w="990" w:type="dxa"/>
          </w:tcPr>
          <w:p>
            <w:pPr>
              <w:pStyle w:val="0"/>
              <w:jc w:val="center"/>
            </w:pPr>
            <w:r>
              <w:rPr>
                <w:sz w:val="20"/>
              </w:rPr>
              <w:t xml:space="preserve">От 3000 до 5000</w:t>
            </w:r>
          </w:p>
        </w:tc>
        <w:tc>
          <w:tcPr>
            <w:tcW w:w="1155" w:type="dxa"/>
          </w:tcPr>
          <w:p>
            <w:pPr>
              <w:pStyle w:val="0"/>
              <w:jc w:val="center"/>
            </w:pPr>
            <w:r>
              <w:rPr>
                <w:sz w:val="20"/>
              </w:rPr>
              <w:t xml:space="preserve">Менее 3000</w:t>
            </w:r>
          </w:p>
        </w:tc>
      </w:tr>
      <w:tr>
        <w:tc>
          <w:tcPr>
            <w:gridSpan w:val="20"/>
            <w:tcW w:w="26400" w:type="dxa"/>
          </w:tcPr>
          <w:p>
            <w:pPr>
              <w:pStyle w:val="0"/>
            </w:pPr>
            <w:r>
              <w:rPr>
                <w:sz w:val="20"/>
              </w:rPr>
              <w:t xml:space="preserve">1 </w:t>
            </w:r>
            <w:hyperlink w:history="0" w:anchor="P956" w:tooltip="7. Горючих жидкостей емкостью, м3">
              <w:r>
                <w:rPr>
                  <w:sz w:val="20"/>
                  <w:color w:val="0000ff"/>
                </w:rPr>
                <w:t xml:space="preserve">&lt;*&gt;</w:t>
              </w:r>
            </w:hyperlink>
            <w:r>
              <w:rPr>
                <w:sz w:val="20"/>
              </w:rPr>
              <w:t xml:space="preserve">. Каменного угля емкостью, т:</w:t>
            </w:r>
          </w:p>
        </w:tc>
      </w:tr>
      <w:tr>
        <w:tc>
          <w:tcPr>
            <w:tcW w:w="2805" w:type="dxa"/>
          </w:tcPr>
          <w:p>
            <w:pPr>
              <w:pStyle w:val="0"/>
            </w:pPr>
            <w:r>
              <w:rPr>
                <w:sz w:val="20"/>
              </w:rPr>
              <w:t xml:space="preserve">1000 и более</w:t>
            </w:r>
          </w:p>
        </w:tc>
        <w:tc>
          <w:tcPr>
            <w:tcW w:w="1320" w:type="dxa"/>
          </w:tcPr>
          <w:p>
            <w:pPr>
              <w:pStyle w:val="0"/>
              <w:jc w:val="center"/>
            </w:pPr>
            <w:r>
              <w:rPr>
                <w:sz w:val="20"/>
              </w:rPr>
              <w:t xml:space="preserve">6</w:t>
            </w:r>
          </w:p>
        </w:tc>
        <w:tc>
          <w:tcPr>
            <w:tcW w:w="1320" w:type="dxa"/>
          </w:tcPr>
          <w:p>
            <w:pPr>
              <w:pStyle w:val="0"/>
              <w:jc w:val="center"/>
            </w:pPr>
            <w:r>
              <w:rPr>
                <w:sz w:val="20"/>
              </w:rPr>
              <w:t xml:space="preserve">6</w:t>
            </w:r>
          </w:p>
        </w:tc>
        <w:tc>
          <w:tcPr>
            <w:tcW w:w="1980" w:type="dxa"/>
          </w:tcPr>
          <w:p>
            <w:pPr>
              <w:pStyle w:val="0"/>
              <w:jc w:val="center"/>
            </w:pPr>
            <w:r>
              <w:rPr>
                <w:sz w:val="20"/>
              </w:rPr>
              <w:t xml:space="preserve">12</w:t>
            </w:r>
          </w:p>
        </w:tc>
        <w:tc>
          <w:tcPr>
            <w:tcW w:w="1155" w:type="dxa"/>
          </w:tcPr>
          <w:p>
            <w:pPr>
              <w:pStyle w:val="0"/>
              <w:jc w:val="center"/>
            </w:pPr>
            <w:r>
              <w:rPr>
                <w:sz w:val="20"/>
              </w:rPr>
              <w:t xml:space="preserve">- </w:t>
            </w:r>
            <w:hyperlink w:history="0" w:anchor="P956" w:tooltip="7. Горючих жидкостей емкостью, м3">
              <w:r>
                <w:rPr>
                  <w:sz w:val="20"/>
                  <w:color w:val="0000ff"/>
                </w:rPr>
                <w:t xml:space="preserve">&lt;*&gt;</w:t>
              </w:r>
            </w:hyperlink>
          </w:p>
        </w:tc>
        <w:tc>
          <w:tcPr>
            <w:tcW w:w="1320" w:type="dxa"/>
          </w:tcPr>
          <w:p>
            <w:pPr>
              <w:pStyle w:val="0"/>
              <w:jc w:val="center"/>
            </w:pPr>
            <w:r>
              <w:rPr>
                <w:sz w:val="20"/>
              </w:rPr>
              <w:t xml:space="preserve">- </w:t>
            </w:r>
            <w:hyperlink w:history="0" w:anchor="P956" w:tooltip="7. Горючих жидкостей емкостью, м3">
              <w:r>
                <w:rPr>
                  <w:sz w:val="20"/>
                  <w:color w:val="0000ff"/>
                </w:rPr>
                <w:t xml:space="preserve">&lt;*&gt;</w:t>
              </w:r>
            </w:hyperlink>
          </w:p>
        </w:tc>
        <w:tc>
          <w:tcPr>
            <w:tcW w:w="1155" w:type="dxa"/>
          </w:tcPr>
          <w:p>
            <w:pPr>
              <w:pStyle w:val="0"/>
              <w:jc w:val="center"/>
            </w:pPr>
            <w:r>
              <w:rPr>
                <w:sz w:val="20"/>
              </w:rPr>
              <w:t xml:space="preserve">12</w:t>
            </w:r>
          </w:p>
        </w:tc>
        <w:tc>
          <w:tcPr>
            <w:tcW w:w="1320" w:type="dxa"/>
          </w:tcPr>
          <w:p>
            <w:pPr>
              <w:pStyle w:val="0"/>
              <w:jc w:val="center"/>
            </w:pPr>
            <w:r>
              <w:rPr>
                <w:sz w:val="20"/>
              </w:rPr>
              <w:t xml:space="preserve">12</w:t>
            </w:r>
          </w:p>
        </w:tc>
        <w:tc>
          <w:tcPr>
            <w:tcW w:w="1155" w:type="dxa"/>
          </w:tcPr>
          <w:p>
            <w:pPr>
              <w:pStyle w:val="0"/>
              <w:jc w:val="center"/>
            </w:pPr>
            <w:r>
              <w:rPr>
                <w:sz w:val="20"/>
              </w:rPr>
              <w:t xml:space="preserve">6</w:t>
            </w:r>
          </w:p>
        </w:tc>
        <w:tc>
          <w:tcPr>
            <w:tcW w:w="1320" w:type="dxa"/>
          </w:tcPr>
          <w:p>
            <w:pPr>
              <w:pStyle w:val="0"/>
              <w:jc w:val="center"/>
            </w:pPr>
            <w:r>
              <w:rPr>
                <w:sz w:val="20"/>
              </w:rPr>
              <w:t xml:space="preserve">6</w:t>
            </w:r>
          </w:p>
        </w:tc>
        <w:tc>
          <w:tcPr>
            <w:tcW w:w="1155" w:type="dxa"/>
          </w:tcPr>
          <w:p>
            <w:pPr>
              <w:pStyle w:val="0"/>
              <w:jc w:val="center"/>
            </w:pPr>
            <w:r>
              <w:rPr>
                <w:sz w:val="20"/>
              </w:rPr>
              <w:t xml:space="preserve">24</w:t>
            </w:r>
          </w:p>
        </w:tc>
        <w:tc>
          <w:tcPr>
            <w:tcW w:w="1320" w:type="dxa"/>
          </w:tcPr>
          <w:p>
            <w:pPr>
              <w:pStyle w:val="0"/>
              <w:jc w:val="center"/>
            </w:pPr>
            <w:r>
              <w:rPr>
                <w:sz w:val="20"/>
              </w:rPr>
              <w:t xml:space="preserve">18</w:t>
            </w:r>
          </w:p>
        </w:tc>
        <w:tc>
          <w:tcPr>
            <w:tcW w:w="1155" w:type="dxa"/>
          </w:tcPr>
          <w:p>
            <w:pPr>
              <w:pStyle w:val="0"/>
              <w:jc w:val="center"/>
            </w:pPr>
            <w:r>
              <w:rPr>
                <w:sz w:val="20"/>
              </w:rPr>
              <w:t xml:space="preserve">24</w:t>
            </w:r>
          </w:p>
        </w:tc>
        <w:tc>
          <w:tcPr>
            <w:tcW w:w="1320" w:type="dxa"/>
          </w:tcPr>
          <w:p>
            <w:pPr>
              <w:pStyle w:val="0"/>
              <w:jc w:val="center"/>
            </w:pPr>
            <w:r>
              <w:rPr>
                <w:sz w:val="20"/>
              </w:rPr>
              <w:t xml:space="preserve">18</w:t>
            </w:r>
          </w:p>
        </w:tc>
        <w:tc>
          <w:tcPr>
            <w:tcW w:w="990" w:type="dxa"/>
          </w:tcPr>
          <w:p>
            <w:pPr>
              <w:pStyle w:val="0"/>
              <w:jc w:val="center"/>
            </w:pPr>
            <w:r>
              <w:rPr>
                <w:sz w:val="20"/>
              </w:rPr>
              <w:t xml:space="preserve">18</w:t>
            </w:r>
          </w:p>
        </w:tc>
        <w:tc>
          <w:tcPr>
            <w:tcW w:w="990" w:type="dxa"/>
          </w:tcPr>
          <w:p>
            <w:pPr>
              <w:pStyle w:val="0"/>
              <w:jc w:val="center"/>
            </w:pPr>
            <w:r>
              <w:rPr>
                <w:sz w:val="20"/>
              </w:rPr>
              <w:t xml:space="preserve">12</w:t>
            </w:r>
          </w:p>
        </w:tc>
        <w:tc>
          <w:tcPr>
            <w:tcW w:w="1155" w:type="dxa"/>
          </w:tcPr>
          <w:p>
            <w:pPr>
              <w:pStyle w:val="0"/>
              <w:jc w:val="center"/>
            </w:pPr>
            <w:r>
              <w:rPr>
                <w:sz w:val="20"/>
              </w:rPr>
              <w:t xml:space="preserve">6</w:t>
            </w:r>
          </w:p>
        </w:tc>
        <w:tc>
          <w:tcPr>
            <w:tcW w:w="1320" w:type="dxa"/>
          </w:tcPr>
          <w:p>
            <w:pPr>
              <w:pStyle w:val="0"/>
              <w:jc w:val="center"/>
            </w:pPr>
            <w:r>
              <w:rPr>
                <w:sz w:val="20"/>
              </w:rPr>
              <w:t xml:space="preserve">18</w:t>
            </w:r>
          </w:p>
        </w:tc>
        <w:tc>
          <w:tcPr>
            <w:tcW w:w="990" w:type="dxa"/>
          </w:tcPr>
          <w:p>
            <w:pPr>
              <w:pStyle w:val="0"/>
              <w:jc w:val="center"/>
            </w:pPr>
            <w:r>
              <w:rPr>
                <w:sz w:val="20"/>
              </w:rPr>
              <w:t xml:space="preserve">12</w:t>
            </w:r>
          </w:p>
        </w:tc>
        <w:tc>
          <w:tcPr>
            <w:tcW w:w="1155" w:type="dxa"/>
          </w:tcPr>
          <w:p>
            <w:pPr>
              <w:pStyle w:val="0"/>
              <w:jc w:val="center"/>
            </w:pPr>
            <w:r>
              <w:rPr>
                <w:sz w:val="20"/>
              </w:rPr>
              <w:t xml:space="preserve">6</w:t>
            </w:r>
          </w:p>
        </w:tc>
      </w:tr>
      <w:tr>
        <w:tc>
          <w:tcPr>
            <w:tcW w:w="2805" w:type="dxa"/>
          </w:tcPr>
          <w:p>
            <w:pPr>
              <w:pStyle w:val="0"/>
            </w:pPr>
            <w:r>
              <w:rPr>
                <w:sz w:val="20"/>
              </w:rPr>
              <w:t xml:space="preserve">менее 1000</w:t>
            </w:r>
          </w:p>
        </w:tc>
        <w:tc>
          <w:tcPr>
            <w:tcW w:w="1320" w:type="dxa"/>
          </w:tcPr>
          <w:p>
            <w:pPr>
              <w:pStyle w:val="0"/>
              <w:jc w:val="both"/>
            </w:pPr>
            <w:r>
              <w:rPr>
                <w:sz w:val="20"/>
              </w:rPr>
            </w:r>
          </w:p>
        </w:tc>
        <w:tc>
          <w:tcPr>
            <w:tcW w:w="1320" w:type="dxa"/>
          </w:tcPr>
          <w:p>
            <w:pPr>
              <w:pStyle w:val="0"/>
              <w:jc w:val="center"/>
            </w:pPr>
            <w:r>
              <w:rPr>
                <w:sz w:val="20"/>
              </w:rPr>
              <w:t xml:space="preserve">6</w:t>
            </w:r>
          </w:p>
        </w:tc>
        <w:tc>
          <w:tcPr>
            <w:tcW w:w="1980" w:type="dxa"/>
          </w:tcPr>
          <w:p>
            <w:pPr>
              <w:pStyle w:val="0"/>
              <w:jc w:val="center"/>
            </w:pPr>
            <w:r>
              <w:rPr>
                <w:sz w:val="20"/>
              </w:rPr>
              <w:t xml:space="preserve">12</w:t>
            </w:r>
          </w:p>
        </w:tc>
        <w:tc>
          <w:tcPr>
            <w:tcW w:w="1155" w:type="dxa"/>
          </w:tcPr>
          <w:p>
            <w:pPr>
              <w:pStyle w:val="0"/>
              <w:jc w:val="center"/>
            </w:pPr>
            <w:r>
              <w:rPr>
                <w:sz w:val="20"/>
              </w:rPr>
              <w:t xml:space="preserve">- </w:t>
            </w:r>
            <w:hyperlink w:history="0" w:anchor="P956" w:tooltip="7. Горючих жидкостей емкостью, м3">
              <w:r>
                <w:rPr>
                  <w:sz w:val="20"/>
                  <w:color w:val="0000ff"/>
                </w:rPr>
                <w:t xml:space="preserve">&lt;*&gt;</w:t>
              </w:r>
            </w:hyperlink>
          </w:p>
        </w:tc>
        <w:tc>
          <w:tcPr>
            <w:tcW w:w="1320" w:type="dxa"/>
          </w:tcPr>
          <w:p>
            <w:pPr>
              <w:pStyle w:val="0"/>
              <w:jc w:val="center"/>
            </w:pPr>
            <w:r>
              <w:rPr>
                <w:sz w:val="20"/>
              </w:rPr>
              <w:t xml:space="preserve">- </w:t>
            </w:r>
            <w:hyperlink w:history="0" w:anchor="P956" w:tooltip="7. Горючих жидкостей емкостью, м3">
              <w:r>
                <w:rPr>
                  <w:sz w:val="20"/>
                  <w:color w:val="0000ff"/>
                </w:rPr>
                <w:t xml:space="preserve">&lt;*&gt;</w:t>
              </w:r>
            </w:hyperlink>
          </w:p>
        </w:tc>
        <w:tc>
          <w:tcPr>
            <w:tcW w:w="1155" w:type="dxa"/>
          </w:tcPr>
          <w:p>
            <w:pPr>
              <w:pStyle w:val="0"/>
              <w:jc w:val="center"/>
            </w:pPr>
            <w:r>
              <w:rPr>
                <w:sz w:val="20"/>
              </w:rPr>
              <w:t xml:space="preserve">12</w:t>
            </w:r>
          </w:p>
        </w:tc>
        <w:tc>
          <w:tcPr>
            <w:tcW w:w="1320" w:type="dxa"/>
          </w:tcPr>
          <w:p>
            <w:pPr>
              <w:pStyle w:val="0"/>
              <w:jc w:val="center"/>
            </w:pPr>
            <w:r>
              <w:rPr>
                <w:sz w:val="20"/>
              </w:rPr>
              <w:t xml:space="preserve">12</w:t>
            </w:r>
          </w:p>
        </w:tc>
        <w:tc>
          <w:tcPr>
            <w:tcW w:w="1155" w:type="dxa"/>
          </w:tcPr>
          <w:p>
            <w:pPr>
              <w:pStyle w:val="0"/>
              <w:jc w:val="center"/>
            </w:pPr>
            <w:r>
              <w:rPr>
                <w:sz w:val="20"/>
              </w:rPr>
              <w:t xml:space="preserve">6</w:t>
            </w:r>
          </w:p>
        </w:tc>
        <w:tc>
          <w:tcPr>
            <w:tcW w:w="1320" w:type="dxa"/>
          </w:tcPr>
          <w:p>
            <w:pPr>
              <w:pStyle w:val="0"/>
              <w:jc w:val="center"/>
            </w:pPr>
            <w:r>
              <w:rPr>
                <w:sz w:val="20"/>
              </w:rPr>
              <w:t xml:space="preserve">6</w:t>
            </w:r>
          </w:p>
        </w:tc>
        <w:tc>
          <w:tcPr>
            <w:tcW w:w="1155" w:type="dxa"/>
          </w:tcPr>
          <w:p>
            <w:pPr>
              <w:pStyle w:val="0"/>
              <w:jc w:val="center"/>
            </w:pPr>
            <w:r>
              <w:rPr>
                <w:sz w:val="20"/>
              </w:rPr>
              <w:t xml:space="preserve">24</w:t>
            </w:r>
          </w:p>
        </w:tc>
        <w:tc>
          <w:tcPr>
            <w:tcW w:w="1320" w:type="dxa"/>
          </w:tcPr>
          <w:p>
            <w:pPr>
              <w:pStyle w:val="0"/>
              <w:jc w:val="center"/>
            </w:pPr>
            <w:r>
              <w:rPr>
                <w:sz w:val="20"/>
              </w:rPr>
              <w:t xml:space="preserve">13</w:t>
            </w:r>
          </w:p>
        </w:tc>
        <w:tc>
          <w:tcPr>
            <w:tcW w:w="1155" w:type="dxa"/>
          </w:tcPr>
          <w:p>
            <w:pPr>
              <w:pStyle w:val="0"/>
              <w:jc w:val="center"/>
            </w:pPr>
            <w:r>
              <w:rPr>
                <w:sz w:val="20"/>
              </w:rPr>
              <w:t xml:space="preserve">24</w:t>
            </w:r>
          </w:p>
        </w:tc>
        <w:tc>
          <w:tcPr>
            <w:tcW w:w="1320" w:type="dxa"/>
          </w:tcPr>
          <w:p>
            <w:pPr>
              <w:pStyle w:val="0"/>
              <w:jc w:val="center"/>
            </w:pPr>
            <w:r>
              <w:rPr>
                <w:sz w:val="20"/>
              </w:rPr>
              <w:t xml:space="preserve">18</w:t>
            </w:r>
          </w:p>
        </w:tc>
        <w:tc>
          <w:tcPr>
            <w:tcW w:w="990" w:type="dxa"/>
          </w:tcPr>
          <w:p>
            <w:pPr>
              <w:pStyle w:val="0"/>
              <w:jc w:val="center"/>
            </w:pPr>
            <w:r>
              <w:rPr>
                <w:sz w:val="20"/>
              </w:rPr>
              <w:t xml:space="preserve">18</w:t>
            </w:r>
          </w:p>
        </w:tc>
        <w:tc>
          <w:tcPr>
            <w:tcW w:w="990" w:type="dxa"/>
          </w:tcPr>
          <w:p>
            <w:pPr>
              <w:pStyle w:val="0"/>
              <w:jc w:val="center"/>
            </w:pPr>
            <w:r>
              <w:rPr>
                <w:sz w:val="20"/>
              </w:rPr>
              <w:t xml:space="preserve">12</w:t>
            </w:r>
          </w:p>
        </w:tc>
        <w:tc>
          <w:tcPr>
            <w:tcW w:w="1155" w:type="dxa"/>
          </w:tcPr>
          <w:p>
            <w:pPr>
              <w:pStyle w:val="0"/>
              <w:jc w:val="center"/>
            </w:pPr>
            <w:r>
              <w:rPr>
                <w:sz w:val="20"/>
              </w:rPr>
              <w:t xml:space="preserve">6</w:t>
            </w:r>
          </w:p>
        </w:tc>
        <w:tc>
          <w:tcPr>
            <w:tcW w:w="1320" w:type="dxa"/>
          </w:tcPr>
          <w:p>
            <w:pPr>
              <w:pStyle w:val="0"/>
              <w:jc w:val="center"/>
            </w:pPr>
            <w:r>
              <w:rPr>
                <w:sz w:val="20"/>
              </w:rPr>
              <w:t xml:space="preserve">12</w:t>
            </w:r>
          </w:p>
        </w:tc>
        <w:tc>
          <w:tcPr>
            <w:tcW w:w="990" w:type="dxa"/>
          </w:tcPr>
          <w:p>
            <w:pPr>
              <w:pStyle w:val="0"/>
              <w:jc w:val="center"/>
            </w:pPr>
            <w:r>
              <w:rPr>
                <w:sz w:val="20"/>
              </w:rPr>
              <w:t xml:space="preserve">6</w:t>
            </w:r>
          </w:p>
        </w:tc>
        <w:tc>
          <w:tcPr>
            <w:tcW w:w="1155" w:type="dxa"/>
          </w:tcPr>
          <w:p>
            <w:pPr>
              <w:pStyle w:val="0"/>
              <w:jc w:val="center"/>
            </w:pPr>
            <w:r>
              <w:rPr>
                <w:sz w:val="20"/>
              </w:rPr>
              <w:t xml:space="preserve">6</w:t>
            </w:r>
          </w:p>
        </w:tc>
      </w:tr>
      <w:tr>
        <w:tc>
          <w:tcPr>
            <w:gridSpan w:val="20"/>
            <w:tcW w:w="26400" w:type="dxa"/>
          </w:tcPr>
          <w:p>
            <w:pPr>
              <w:pStyle w:val="0"/>
            </w:pPr>
            <w:r>
              <w:rPr>
                <w:sz w:val="20"/>
              </w:rPr>
              <w:t xml:space="preserve">2. Фрезерного торфа, т:</w:t>
            </w:r>
          </w:p>
        </w:tc>
      </w:tr>
      <w:tr>
        <w:tc>
          <w:tcPr>
            <w:tcW w:w="2805" w:type="dxa"/>
          </w:tcPr>
          <w:p>
            <w:pPr>
              <w:pStyle w:val="0"/>
            </w:pPr>
            <w:r>
              <w:rPr>
                <w:sz w:val="20"/>
              </w:rPr>
              <w:t xml:space="preserve">от 1000 до 10000</w:t>
            </w:r>
          </w:p>
        </w:tc>
        <w:tc>
          <w:tcPr>
            <w:tcW w:w="1320" w:type="dxa"/>
          </w:tcPr>
          <w:p>
            <w:pPr>
              <w:pStyle w:val="0"/>
              <w:jc w:val="center"/>
            </w:pPr>
            <w:r>
              <w:rPr>
                <w:sz w:val="20"/>
              </w:rPr>
              <w:t xml:space="preserve">24</w:t>
            </w:r>
          </w:p>
        </w:tc>
        <w:tc>
          <w:tcPr>
            <w:tcW w:w="1320" w:type="dxa"/>
          </w:tcPr>
          <w:p>
            <w:pPr>
              <w:pStyle w:val="0"/>
              <w:jc w:val="center"/>
            </w:pPr>
            <w:r>
              <w:rPr>
                <w:sz w:val="20"/>
              </w:rPr>
              <w:t xml:space="preserve">30</w:t>
            </w:r>
          </w:p>
        </w:tc>
        <w:tc>
          <w:tcPr>
            <w:tcW w:w="1980" w:type="dxa"/>
          </w:tcPr>
          <w:p>
            <w:pPr>
              <w:pStyle w:val="0"/>
              <w:jc w:val="center"/>
            </w:pPr>
            <w:r>
              <w:rPr>
                <w:sz w:val="20"/>
              </w:rPr>
              <w:t xml:space="preserve">36</w:t>
            </w:r>
          </w:p>
        </w:tc>
        <w:tc>
          <w:tcPr>
            <w:tcW w:w="1155" w:type="dxa"/>
          </w:tcPr>
          <w:p>
            <w:pPr>
              <w:pStyle w:val="0"/>
              <w:jc w:val="center"/>
            </w:pPr>
            <w:r>
              <w:rPr>
                <w:sz w:val="20"/>
              </w:rPr>
              <w:t xml:space="preserve">12</w:t>
            </w:r>
          </w:p>
        </w:tc>
        <w:tc>
          <w:tcPr>
            <w:tcW w:w="1320" w:type="dxa"/>
          </w:tcPr>
          <w:p>
            <w:pPr>
              <w:pStyle w:val="0"/>
              <w:jc w:val="center"/>
            </w:pPr>
            <w:r>
              <w:rPr>
                <w:sz w:val="20"/>
              </w:rPr>
              <w:t xml:space="preserve">12</w:t>
            </w:r>
          </w:p>
        </w:tc>
        <w:tc>
          <w:tcPr>
            <w:tcW w:w="1155" w:type="dxa"/>
          </w:tcPr>
          <w:p>
            <w:pPr>
              <w:pStyle w:val="0"/>
              <w:jc w:val="center"/>
            </w:pPr>
            <w:r>
              <w:rPr>
                <w:sz w:val="20"/>
              </w:rPr>
              <w:t xml:space="preserve">- </w:t>
            </w:r>
            <w:hyperlink w:history="0" w:anchor="P956" w:tooltip="7. Горючих жидкостей емкостью, м3">
              <w:r>
                <w:rPr>
                  <w:sz w:val="20"/>
                  <w:color w:val="0000ff"/>
                </w:rPr>
                <w:t xml:space="preserve">&lt;*&gt;</w:t>
              </w:r>
            </w:hyperlink>
          </w:p>
        </w:tc>
        <w:tc>
          <w:tcPr>
            <w:tcW w:w="1320" w:type="dxa"/>
          </w:tcPr>
          <w:p>
            <w:pPr>
              <w:pStyle w:val="0"/>
              <w:jc w:val="center"/>
            </w:pPr>
            <w:r>
              <w:rPr>
                <w:sz w:val="20"/>
              </w:rPr>
              <w:t xml:space="preserve">- </w:t>
            </w:r>
            <w:hyperlink w:history="0" w:anchor="P956" w:tooltip="7. Горючих жидкостей емкостью, м3">
              <w:r>
                <w:rPr>
                  <w:sz w:val="20"/>
                  <w:color w:val="0000ff"/>
                </w:rPr>
                <w:t xml:space="preserve">&lt;*&gt;</w:t>
              </w:r>
            </w:hyperlink>
          </w:p>
        </w:tc>
        <w:tc>
          <w:tcPr>
            <w:tcW w:w="1155" w:type="dxa"/>
          </w:tcPr>
          <w:p>
            <w:pPr>
              <w:pStyle w:val="0"/>
              <w:jc w:val="center"/>
            </w:pPr>
            <w:r>
              <w:rPr>
                <w:sz w:val="20"/>
              </w:rPr>
              <w:t xml:space="preserve">- </w:t>
            </w:r>
            <w:hyperlink w:history="0" w:anchor="P956" w:tooltip="7. Горючих жидкостей емкостью, м3">
              <w:r>
                <w:rPr>
                  <w:sz w:val="20"/>
                  <w:color w:val="0000ff"/>
                </w:rPr>
                <w:t xml:space="preserve">&lt;*&gt;</w:t>
              </w:r>
            </w:hyperlink>
          </w:p>
        </w:tc>
        <w:tc>
          <w:tcPr>
            <w:tcW w:w="1320" w:type="dxa"/>
          </w:tcPr>
          <w:p>
            <w:pPr>
              <w:pStyle w:val="0"/>
              <w:jc w:val="center"/>
            </w:pPr>
            <w:r>
              <w:rPr>
                <w:sz w:val="20"/>
              </w:rPr>
              <w:t xml:space="preserve">- </w:t>
            </w:r>
            <w:hyperlink w:history="0" w:anchor="P956" w:tooltip="7. Горючих жидкостей емкостью, м3">
              <w:r>
                <w:rPr>
                  <w:sz w:val="20"/>
                  <w:color w:val="0000ff"/>
                </w:rPr>
                <w:t xml:space="preserve">&lt;*&gt;</w:t>
              </w:r>
            </w:hyperlink>
          </w:p>
        </w:tc>
        <w:tc>
          <w:tcPr>
            <w:tcW w:w="1155" w:type="dxa"/>
          </w:tcPr>
          <w:p>
            <w:pPr>
              <w:pStyle w:val="0"/>
              <w:jc w:val="center"/>
            </w:pPr>
            <w:r>
              <w:rPr>
                <w:sz w:val="20"/>
              </w:rPr>
              <w:t xml:space="preserve">42</w:t>
            </w:r>
          </w:p>
        </w:tc>
        <w:tc>
          <w:tcPr>
            <w:tcW w:w="1320" w:type="dxa"/>
          </w:tcPr>
          <w:p>
            <w:pPr>
              <w:pStyle w:val="0"/>
              <w:jc w:val="center"/>
            </w:pPr>
            <w:r>
              <w:rPr>
                <w:sz w:val="20"/>
              </w:rPr>
              <w:t xml:space="preserve">36</w:t>
            </w:r>
          </w:p>
        </w:tc>
        <w:tc>
          <w:tcPr>
            <w:tcW w:w="1155" w:type="dxa"/>
          </w:tcPr>
          <w:p>
            <w:pPr>
              <w:pStyle w:val="0"/>
              <w:jc w:val="center"/>
            </w:pPr>
            <w:r>
              <w:rPr>
                <w:sz w:val="20"/>
              </w:rPr>
              <w:t xml:space="preserve">42</w:t>
            </w:r>
          </w:p>
        </w:tc>
        <w:tc>
          <w:tcPr>
            <w:tcW w:w="1320" w:type="dxa"/>
          </w:tcPr>
          <w:p>
            <w:pPr>
              <w:pStyle w:val="0"/>
              <w:jc w:val="center"/>
            </w:pPr>
            <w:r>
              <w:rPr>
                <w:sz w:val="20"/>
              </w:rPr>
              <w:t xml:space="preserve">36</w:t>
            </w:r>
          </w:p>
        </w:tc>
        <w:tc>
          <w:tcPr>
            <w:tcW w:w="990" w:type="dxa"/>
          </w:tcPr>
          <w:p>
            <w:pPr>
              <w:pStyle w:val="0"/>
              <w:jc w:val="center"/>
            </w:pPr>
            <w:r>
              <w:rPr>
                <w:sz w:val="20"/>
              </w:rPr>
              <w:t xml:space="preserve">42</w:t>
            </w:r>
          </w:p>
        </w:tc>
        <w:tc>
          <w:tcPr>
            <w:tcW w:w="990" w:type="dxa"/>
          </w:tcPr>
          <w:p>
            <w:pPr>
              <w:pStyle w:val="0"/>
              <w:jc w:val="center"/>
            </w:pPr>
            <w:r>
              <w:rPr>
                <w:sz w:val="20"/>
              </w:rPr>
              <w:t xml:space="preserve">36</w:t>
            </w:r>
          </w:p>
        </w:tc>
        <w:tc>
          <w:tcPr>
            <w:tcW w:w="1155" w:type="dxa"/>
          </w:tcPr>
          <w:p>
            <w:pPr>
              <w:pStyle w:val="0"/>
              <w:jc w:val="center"/>
            </w:pPr>
            <w:r>
              <w:rPr>
                <w:sz w:val="20"/>
              </w:rPr>
              <w:t xml:space="preserve">30</w:t>
            </w:r>
          </w:p>
        </w:tc>
        <w:tc>
          <w:tcPr>
            <w:tcW w:w="1320" w:type="dxa"/>
          </w:tcPr>
          <w:p>
            <w:pPr>
              <w:pStyle w:val="0"/>
              <w:jc w:val="center"/>
            </w:pPr>
            <w:r>
              <w:rPr>
                <w:sz w:val="20"/>
              </w:rPr>
              <w:t xml:space="preserve">42</w:t>
            </w:r>
          </w:p>
        </w:tc>
        <w:tc>
          <w:tcPr>
            <w:tcW w:w="990" w:type="dxa"/>
          </w:tcPr>
          <w:p>
            <w:pPr>
              <w:pStyle w:val="0"/>
              <w:jc w:val="center"/>
            </w:pPr>
            <w:r>
              <w:rPr>
                <w:sz w:val="20"/>
              </w:rPr>
              <w:t xml:space="preserve">36</w:t>
            </w:r>
          </w:p>
        </w:tc>
        <w:tc>
          <w:tcPr>
            <w:tcW w:w="1155" w:type="dxa"/>
          </w:tcPr>
          <w:p>
            <w:pPr>
              <w:pStyle w:val="0"/>
              <w:jc w:val="center"/>
            </w:pPr>
            <w:r>
              <w:rPr>
                <w:sz w:val="20"/>
              </w:rPr>
              <w:t xml:space="preserve">30</w:t>
            </w:r>
          </w:p>
        </w:tc>
      </w:tr>
      <w:tr>
        <w:tc>
          <w:tcPr>
            <w:tcW w:w="2805" w:type="dxa"/>
          </w:tcPr>
          <w:p>
            <w:pPr>
              <w:pStyle w:val="0"/>
            </w:pPr>
            <w:r>
              <w:rPr>
                <w:sz w:val="20"/>
              </w:rPr>
              <w:t xml:space="preserve">менее 1000</w:t>
            </w:r>
          </w:p>
        </w:tc>
        <w:tc>
          <w:tcPr>
            <w:tcW w:w="1320" w:type="dxa"/>
          </w:tcPr>
          <w:p>
            <w:pPr>
              <w:pStyle w:val="0"/>
              <w:jc w:val="center"/>
            </w:pPr>
            <w:r>
              <w:rPr>
                <w:sz w:val="20"/>
              </w:rPr>
              <w:t xml:space="preserve">18</w:t>
            </w:r>
          </w:p>
        </w:tc>
        <w:tc>
          <w:tcPr>
            <w:tcW w:w="1320" w:type="dxa"/>
          </w:tcPr>
          <w:p>
            <w:pPr>
              <w:pStyle w:val="0"/>
              <w:jc w:val="center"/>
            </w:pPr>
            <w:r>
              <w:rPr>
                <w:sz w:val="20"/>
              </w:rPr>
              <w:t xml:space="preserve">24</w:t>
            </w:r>
          </w:p>
        </w:tc>
        <w:tc>
          <w:tcPr>
            <w:tcW w:w="1980" w:type="dxa"/>
          </w:tcPr>
          <w:p>
            <w:pPr>
              <w:pStyle w:val="0"/>
              <w:jc w:val="center"/>
            </w:pPr>
            <w:r>
              <w:rPr>
                <w:sz w:val="20"/>
              </w:rPr>
              <w:t xml:space="preserve">30</w:t>
            </w:r>
          </w:p>
        </w:tc>
        <w:tc>
          <w:tcPr>
            <w:tcW w:w="1155" w:type="dxa"/>
          </w:tcPr>
          <w:p>
            <w:pPr>
              <w:pStyle w:val="0"/>
              <w:jc w:val="center"/>
            </w:pPr>
            <w:r>
              <w:rPr>
                <w:sz w:val="20"/>
              </w:rPr>
              <w:t xml:space="preserve">12</w:t>
            </w:r>
          </w:p>
        </w:tc>
        <w:tc>
          <w:tcPr>
            <w:tcW w:w="1320" w:type="dxa"/>
          </w:tcPr>
          <w:p>
            <w:pPr>
              <w:pStyle w:val="0"/>
              <w:jc w:val="center"/>
            </w:pPr>
            <w:r>
              <w:rPr>
                <w:sz w:val="20"/>
              </w:rPr>
              <w:t xml:space="preserve">12</w:t>
            </w:r>
          </w:p>
        </w:tc>
        <w:tc>
          <w:tcPr>
            <w:tcW w:w="1155" w:type="dxa"/>
          </w:tcPr>
          <w:p>
            <w:pPr>
              <w:pStyle w:val="0"/>
              <w:jc w:val="center"/>
            </w:pPr>
            <w:r>
              <w:rPr>
                <w:sz w:val="20"/>
              </w:rPr>
              <w:t xml:space="preserve">- </w:t>
            </w:r>
            <w:hyperlink w:history="0" w:anchor="P956" w:tooltip="7. Горючих жидкостей емкостью, м3">
              <w:r>
                <w:rPr>
                  <w:sz w:val="20"/>
                  <w:color w:val="0000ff"/>
                </w:rPr>
                <w:t xml:space="preserve">&lt;*&gt;</w:t>
              </w:r>
            </w:hyperlink>
          </w:p>
        </w:tc>
        <w:tc>
          <w:tcPr>
            <w:tcW w:w="1320" w:type="dxa"/>
          </w:tcPr>
          <w:p>
            <w:pPr>
              <w:pStyle w:val="0"/>
              <w:jc w:val="center"/>
            </w:pPr>
            <w:r>
              <w:rPr>
                <w:sz w:val="20"/>
              </w:rPr>
              <w:t xml:space="preserve">- </w:t>
            </w:r>
            <w:hyperlink w:history="0" w:anchor="P956" w:tooltip="7. Горючих жидкостей емкостью, м3">
              <w:r>
                <w:rPr>
                  <w:sz w:val="20"/>
                  <w:color w:val="0000ff"/>
                </w:rPr>
                <w:t xml:space="preserve">&lt;*&gt;</w:t>
              </w:r>
            </w:hyperlink>
          </w:p>
        </w:tc>
        <w:tc>
          <w:tcPr>
            <w:tcW w:w="1155" w:type="dxa"/>
          </w:tcPr>
          <w:p>
            <w:pPr>
              <w:pStyle w:val="0"/>
              <w:jc w:val="center"/>
            </w:pPr>
            <w:r>
              <w:rPr>
                <w:sz w:val="20"/>
              </w:rPr>
              <w:t xml:space="preserve">- </w:t>
            </w:r>
            <w:hyperlink w:history="0" w:anchor="P956" w:tooltip="7. Горючих жидкостей емкостью, м3">
              <w:r>
                <w:rPr>
                  <w:sz w:val="20"/>
                  <w:color w:val="0000ff"/>
                </w:rPr>
                <w:t xml:space="preserve">&lt;*&gt;</w:t>
              </w:r>
            </w:hyperlink>
          </w:p>
        </w:tc>
        <w:tc>
          <w:tcPr>
            <w:tcW w:w="1320" w:type="dxa"/>
          </w:tcPr>
          <w:p>
            <w:pPr>
              <w:pStyle w:val="0"/>
              <w:jc w:val="center"/>
            </w:pPr>
            <w:r>
              <w:rPr>
                <w:sz w:val="20"/>
              </w:rPr>
              <w:t xml:space="preserve">- </w:t>
            </w:r>
            <w:hyperlink w:history="0" w:anchor="P956" w:tooltip="7. Горючих жидкостей емкостью, м3">
              <w:r>
                <w:rPr>
                  <w:sz w:val="20"/>
                  <w:color w:val="0000ff"/>
                </w:rPr>
                <w:t xml:space="preserve">&lt;*&gt;</w:t>
              </w:r>
            </w:hyperlink>
          </w:p>
        </w:tc>
        <w:tc>
          <w:tcPr>
            <w:tcW w:w="1155" w:type="dxa"/>
          </w:tcPr>
          <w:p>
            <w:pPr>
              <w:pStyle w:val="0"/>
              <w:jc w:val="center"/>
            </w:pPr>
            <w:r>
              <w:rPr>
                <w:sz w:val="20"/>
              </w:rPr>
              <w:t xml:space="preserve">42</w:t>
            </w:r>
          </w:p>
        </w:tc>
        <w:tc>
          <w:tcPr>
            <w:tcW w:w="1320" w:type="dxa"/>
          </w:tcPr>
          <w:p>
            <w:pPr>
              <w:pStyle w:val="0"/>
              <w:jc w:val="center"/>
            </w:pPr>
            <w:r>
              <w:rPr>
                <w:sz w:val="20"/>
              </w:rPr>
              <w:t xml:space="preserve">36</w:t>
            </w:r>
          </w:p>
        </w:tc>
        <w:tc>
          <w:tcPr>
            <w:tcW w:w="1155" w:type="dxa"/>
          </w:tcPr>
          <w:p>
            <w:pPr>
              <w:pStyle w:val="0"/>
              <w:jc w:val="center"/>
            </w:pPr>
            <w:r>
              <w:rPr>
                <w:sz w:val="20"/>
              </w:rPr>
              <w:t xml:space="preserve">42</w:t>
            </w:r>
          </w:p>
        </w:tc>
        <w:tc>
          <w:tcPr>
            <w:tcW w:w="1320" w:type="dxa"/>
          </w:tcPr>
          <w:p>
            <w:pPr>
              <w:pStyle w:val="0"/>
              <w:jc w:val="center"/>
            </w:pPr>
            <w:r>
              <w:rPr>
                <w:sz w:val="20"/>
              </w:rPr>
              <w:t xml:space="preserve">36</w:t>
            </w:r>
          </w:p>
        </w:tc>
        <w:tc>
          <w:tcPr>
            <w:tcW w:w="990" w:type="dxa"/>
          </w:tcPr>
          <w:p>
            <w:pPr>
              <w:pStyle w:val="0"/>
              <w:jc w:val="center"/>
            </w:pPr>
            <w:r>
              <w:rPr>
                <w:sz w:val="20"/>
              </w:rPr>
              <w:t xml:space="preserve">42</w:t>
            </w:r>
          </w:p>
        </w:tc>
        <w:tc>
          <w:tcPr>
            <w:tcW w:w="990" w:type="dxa"/>
          </w:tcPr>
          <w:p>
            <w:pPr>
              <w:pStyle w:val="0"/>
              <w:jc w:val="center"/>
            </w:pPr>
            <w:r>
              <w:rPr>
                <w:sz w:val="20"/>
              </w:rPr>
              <w:t xml:space="preserve">36</w:t>
            </w:r>
          </w:p>
        </w:tc>
        <w:tc>
          <w:tcPr>
            <w:tcW w:w="1155" w:type="dxa"/>
          </w:tcPr>
          <w:p>
            <w:pPr>
              <w:pStyle w:val="0"/>
              <w:jc w:val="center"/>
            </w:pPr>
            <w:r>
              <w:rPr>
                <w:sz w:val="20"/>
              </w:rPr>
              <w:t xml:space="preserve">30</w:t>
            </w:r>
          </w:p>
        </w:tc>
        <w:tc>
          <w:tcPr>
            <w:tcW w:w="1320" w:type="dxa"/>
          </w:tcPr>
          <w:p>
            <w:pPr>
              <w:pStyle w:val="0"/>
              <w:jc w:val="center"/>
            </w:pPr>
            <w:r>
              <w:rPr>
                <w:sz w:val="20"/>
              </w:rPr>
              <w:t xml:space="preserve">42</w:t>
            </w:r>
          </w:p>
        </w:tc>
        <w:tc>
          <w:tcPr>
            <w:tcW w:w="990" w:type="dxa"/>
          </w:tcPr>
          <w:p>
            <w:pPr>
              <w:pStyle w:val="0"/>
              <w:jc w:val="center"/>
            </w:pPr>
            <w:r>
              <w:rPr>
                <w:sz w:val="20"/>
              </w:rPr>
              <w:t xml:space="preserve">36</w:t>
            </w:r>
          </w:p>
        </w:tc>
        <w:tc>
          <w:tcPr>
            <w:tcW w:w="1155" w:type="dxa"/>
          </w:tcPr>
          <w:p>
            <w:pPr>
              <w:pStyle w:val="0"/>
              <w:jc w:val="center"/>
            </w:pPr>
            <w:r>
              <w:rPr>
                <w:sz w:val="20"/>
              </w:rPr>
              <w:t xml:space="preserve">30</w:t>
            </w:r>
          </w:p>
        </w:tc>
      </w:tr>
      <w:tr>
        <w:tc>
          <w:tcPr>
            <w:gridSpan w:val="20"/>
            <w:tcW w:w="26400" w:type="dxa"/>
          </w:tcPr>
          <w:p>
            <w:pPr>
              <w:pStyle w:val="0"/>
            </w:pPr>
            <w:r>
              <w:rPr>
                <w:sz w:val="20"/>
              </w:rPr>
              <w:t xml:space="preserve">3. Кускового торфа, т:</w:t>
            </w:r>
          </w:p>
        </w:tc>
      </w:tr>
      <w:tr>
        <w:tc>
          <w:tcPr>
            <w:tcW w:w="2805" w:type="dxa"/>
          </w:tcPr>
          <w:p>
            <w:pPr>
              <w:pStyle w:val="0"/>
            </w:pPr>
            <w:r>
              <w:rPr>
                <w:sz w:val="20"/>
              </w:rPr>
              <w:t xml:space="preserve">от 1000 до 10000</w:t>
            </w:r>
          </w:p>
        </w:tc>
        <w:tc>
          <w:tcPr>
            <w:tcW w:w="1320" w:type="dxa"/>
          </w:tcPr>
          <w:p>
            <w:pPr>
              <w:pStyle w:val="0"/>
              <w:jc w:val="center"/>
            </w:pPr>
            <w:r>
              <w:rPr>
                <w:sz w:val="20"/>
              </w:rPr>
              <w:t xml:space="preserve">18</w:t>
            </w:r>
          </w:p>
        </w:tc>
        <w:tc>
          <w:tcPr>
            <w:tcW w:w="1320" w:type="dxa"/>
          </w:tcPr>
          <w:p>
            <w:pPr>
              <w:pStyle w:val="0"/>
              <w:jc w:val="center"/>
            </w:pPr>
            <w:r>
              <w:rPr>
                <w:sz w:val="20"/>
              </w:rPr>
              <w:t xml:space="preserve">18</w:t>
            </w:r>
          </w:p>
        </w:tc>
        <w:tc>
          <w:tcPr>
            <w:tcW w:w="1980" w:type="dxa"/>
          </w:tcPr>
          <w:p>
            <w:pPr>
              <w:pStyle w:val="0"/>
              <w:jc w:val="center"/>
            </w:pPr>
            <w:r>
              <w:rPr>
                <w:sz w:val="20"/>
              </w:rPr>
              <w:t xml:space="preserve">24</w:t>
            </w:r>
          </w:p>
        </w:tc>
        <w:tc>
          <w:tcPr>
            <w:tcW w:w="1155" w:type="dxa"/>
          </w:tcPr>
          <w:p>
            <w:pPr>
              <w:pStyle w:val="0"/>
              <w:jc w:val="center"/>
            </w:pPr>
            <w:r>
              <w:rPr>
                <w:sz w:val="20"/>
              </w:rPr>
              <w:t xml:space="preserve">6</w:t>
            </w:r>
          </w:p>
        </w:tc>
        <w:tc>
          <w:tcPr>
            <w:tcW w:w="1320" w:type="dxa"/>
          </w:tcPr>
          <w:p>
            <w:pPr>
              <w:pStyle w:val="0"/>
              <w:jc w:val="center"/>
            </w:pPr>
            <w:r>
              <w:rPr>
                <w:sz w:val="20"/>
              </w:rPr>
              <w:t xml:space="preserve">6</w:t>
            </w:r>
          </w:p>
        </w:tc>
        <w:tc>
          <w:tcPr>
            <w:tcW w:w="1155" w:type="dxa"/>
          </w:tcPr>
          <w:p>
            <w:pPr>
              <w:pStyle w:val="0"/>
              <w:jc w:val="center"/>
            </w:pPr>
            <w:r>
              <w:rPr>
                <w:sz w:val="20"/>
              </w:rPr>
              <w:t xml:space="preserve">- </w:t>
            </w:r>
            <w:hyperlink w:history="0" w:anchor="P956" w:tooltip="7. Горючих жидкостей емкостью, м3">
              <w:r>
                <w:rPr>
                  <w:sz w:val="20"/>
                  <w:color w:val="0000ff"/>
                </w:rPr>
                <w:t xml:space="preserve">&lt;*&gt;</w:t>
              </w:r>
            </w:hyperlink>
          </w:p>
        </w:tc>
        <w:tc>
          <w:tcPr>
            <w:tcW w:w="1320" w:type="dxa"/>
          </w:tcPr>
          <w:p>
            <w:pPr>
              <w:pStyle w:val="0"/>
              <w:jc w:val="center"/>
            </w:pPr>
            <w:r>
              <w:rPr>
                <w:sz w:val="20"/>
              </w:rPr>
              <w:t xml:space="preserve">- </w:t>
            </w:r>
            <w:hyperlink w:history="0" w:anchor="P956" w:tooltip="7. Горючих жидкостей емкостью, м3">
              <w:r>
                <w:rPr>
                  <w:sz w:val="20"/>
                  <w:color w:val="0000ff"/>
                </w:rPr>
                <w:t xml:space="preserve">&lt;*&gt;</w:t>
              </w:r>
            </w:hyperlink>
          </w:p>
        </w:tc>
        <w:tc>
          <w:tcPr>
            <w:tcW w:w="1155" w:type="dxa"/>
          </w:tcPr>
          <w:p>
            <w:pPr>
              <w:pStyle w:val="0"/>
              <w:jc w:val="center"/>
            </w:pPr>
            <w:r>
              <w:rPr>
                <w:sz w:val="20"/>
              </w:rPr>
              <w:t xml:space="preserve">- </w:t>
            </w:r>
            <w:hyperlink w:history="0" w:anchor="P956" w:tooltip="7. Горючих жидкостей емкостью, м3">
              <w:r>
                <w:rPr>
                  <w:sz w:val="20"/>
                  <w:color w:val="0000ff"/>
                </w:rPr>
                <w:t xml:space="preserve">&lt;*&gt;</w:t>
              </w:r>
            </w:hyperlink>
          </w:p>
        </w:tc>
        <w:tc>
          <w:tcPr>
            <w:tcW w:w="1320" w:type="dxa"/>
          </w:tcPr>
          <w:p>
            <w:pPr>
              <w:pStyle w:val="0"/>
              <w:jc w:val="center"/>
            </w:pPr>
            <w:r>
              <w:rPr>
                <w:sz w:val="20"/>
              </w:rPr>
              <w:t xml:space="preserve">- </w:t>
            </w:r>
            <w:hyperlink w:history="0" w:anchor="P956" w:tooltip="7. Горючих жидкостей емкостью, м3">
              <w:r>
                <w:rPr>
                  <w:sz w:val="20"/>
                  <w:color w:val="0000ff"/>
                </w:rPr>
                <w:t xml:space="preserve">&lt;*&gt;</w:t>
              </w:r>
            </w:hyperlink>
          </w:p>
        </w:tc>
        <w:tc>
          <w:tcPr>
            <w:tcW w:w="1155" w:type="dxa"/>
          </w:tcPr>
          <w:p>
            <w:pPr>
              <w:pStyle w:val="0"/>
              <w:jc w:val="center"/>
            </w:pPr>
            <w:r>
              <w:rPr>
                <w:sz w:val="20"/>
              </w:rPr>
              <w:t xml:space="preserve">42</w:t>
            </w:r>
          </w:p>
        </w:tc>
        <w:tc>
          <w:tcPr>
            <w:tcW w:w="1320" w:type="dxa"/>
          </w:tcPr>
          <w:p>
            <w:pPr>
              <w:pStyle w:val="0"/>
              <w:jc w:val="center"/>
            </w:pPr>
            <w:r>
              <w:rPr>
                <w:sz w:val="20"/>
              </w:rPr>
              <w:t xml:space="preserve">36</w:t>
            </w:r>
          </w:p>
        </w:tc>
        <w:tc>
          <w:tcPr>
            <w:tcW w:w="1155" w:type="dxa"/>
          </w:tcPr>
          <w:p>
            <w:pPr>
              <w:pStyle w:val="0"/>
              <w:jc w:val="center"/>
            </w:pPr>
            <w:r>
              <w:rPr>
                <w:sz w:val="20"/>
              </w:rPr>
              <w:t xml:space="preserve">42</w:t>
            </w:r>
          </w:p>
        </w:tc>
        <w:tc>
          <w:tcPr>
            <w:tcW w:w="1320" w:type="dxa"/>
          </w:tcPr>
          <w:p>
            <w:pPr>
              <w:pStyle w:val="0"/>
              <w:jc w:val="center"/>
            </w:pPr>
            <w:r>
              <w:rPr>
                <w:sz w:val="20"/>
              </w:rPr>
              <w:t xml:space="preserve">36</w:t>
            </w:r>
          </w:p>
        </w:tc>
        <w:tc>
          <w:tcPr>
            <w:tcW w:w="990" w:type="dxa"/>
          </w:tcPr>
          <w:p>
            <w:pPr>
              <w:pStyle w:val="0"/>
              <w:jc w:val="center"/>
            </w:pPr>
            <w:r>
              <w:rPr>
                <w:sz w:val="20"/>
              </w:rPr>
              <w:t xml:space="preserve">36</w:t>
            </w:r>
          </w:p>
        </w:tc>
        <w:tc>
          <w:tcPr>
            <w:tcW w:w="990" w:type="dxa"/>
          </w:tcPr>
          <w:p>
            <w:pPr>
              <w:pStyle w:val="0"/>
              <w:jc w:val="center"/>
            </w:pPr>
            <w:r>
              <w:rPr>
                <w:sz w:val="20"/>
              </w:rPr>
              <w:t xml:space="preserve">30</w:t>
            </w:r>
          </w:p>
        </w:tc>
        <w:tc>
          <w:tcPr>
            <w:tcW w:w="1155" w:type="dxa"/>
          </w:tcPr>
          <w:p>
            <w:pPr>
              <w:pStyle w:val="0"/>
              <w:jc w:val="center"/>
            </w:pPr>
            <w:r>
              <w:rPr>
                <w:sz w:val="20"/>
              </w:rPr>
              <w:t xml:space="preserve">24</w:t>
            </w:r>
          </w:p>
        </w:tc>
        <w:tc>
          <w:tcPr>
            <w:tcW w:w="1320" w:type="dxa"/>
          </w:tcPr>
          <w:p>
            <w:pPr>
              <w:pStyle w:val="0"/>
              <w:jc w:val="center"/>
            </w:pPr>
            <w:r>
              <w:rPr>
                <w:sz w:val="20"/>
              </w:rPr>
              <w:t xml:space="preserve">36</w:t>
            </w:r>
          </w:p>
        </w:tc>
        <w:tc>
          <w:tcPr>
            <w:tcW w:w="990" w:type="dxa"/>
          </w:tcPr>
          <w:p>
            <w:pPr>
              <w:pStyle w:val="0"/>
              <w:jc w:val="center"/>
            </w:pPr>
            <w:r>
              <w:rPr>
                <w:sz w:val="20"/>
              </w:rPr>
              <w:t xml:space="preserve">30</w:t>
            </w:r>
          </w:p>
        </w:tc>
        <w:tc>
          <w:tcPr>
            <w:tcW w:w="1155" w:type="dxa"/>
          </w:tcPr>
          <w:p>
            <w:pPr>
              <w:pStyle w:val="0"/>
              <w:jc w:val="center"/>
            </w:pPr>
            <w:r>
              <w:rPr>
                <w:sz w:val="20"/>
              </w:rPr>
              <w:t xml:space="preserve">24</w:t>
            </w:r>
          </w:p>
        </w:tc>
      </w:tr>
      <w:tr>
        <w:tc>
          <w:tcPr>
            <w:tcW w:w="2805" w:type="dxa"/>
          </w:tcPr>
          <w:p>
            <w:pPr>
              <w:pStyle w:val="0"/>
            </w:pPr>
            <w:r>
              <w:rPr>
                <w:sz w:val="20"/>
              </w:rPr>
              <w:t xml:space="preserve">менее 1000</w:t>
            </w:r>
          </w:p>
        </w:tc>
        <w:tc>
          <w:tcPr>
            <w:tcW w:w="1320" w:type="dxa"/>
          </w:tcPr>
          <w:p>
            <w:pPr>
              <w:pStyle w:val="0"/>
              <w:jc w:val="center"/>
            </w:pPr>
            <w:r>
              <w:rPr>
                <w:sz w:val="20"/>
              </w:rPr>
              <w:t xml:space="preserve">12</w:t>
            </w:r>
          </w:p>
        </w:tc>
        <w:tc>
          <w:tcPr>
            <w:tcW w:w="1320" w:type="dxa"/>
          </w:tcPr>
          <w:p>
            <w:pPr>
              <w:pStyle w:val="0"/>
              <w:jc w:val="center"/>
            </w:pPr>
            <w:r>
              <w:rPr>
                <w:sz w:val="20"/>
              </w:rPr>
              <w:t xml:space="preserve">15</w:t>
            </w:r>
          </w:p>
        </w:tc>
        <w:tc>
          <w:tcPr>
            <w:tcW w:w="1980" w:type="dxa"/>
          </w:tcPr>
          <w:p>
            <w:pPr>
              <w:pStyle w:val="0"/>
              <w:jc w:val="center"/>
            </w:pPr>
            <w:r>
              <w:rPr>
                <w:sz w:val="20"/>
              </w:rPr>
              <w:t xml:space="preserve">18</w:t>
            </w:r>
          </w:p>
        </w:tc>
        <w:tc>
          <w:tcPr>
            <w:tcW w:w="1155" w:type="dxa"/>
          </w:tcPr>
          <w:p>
            <w:pPr>
              <w:pStyle w:val="0"/>
              <w:jc w:val="center"/>
            </w:pPr>
            <w:r>
              <w:rPr>
                <w:sz w:val="20"/>
              </w:rPr>
              <w:t xml:space="preserve">6</w:t>
            </w:r>
          </w:p>
        </w:tc>
        <w:tc>
          <w:tcPr>
            <w:tcW w:w="1320" w:type="dxa"/>
          </w:tcPr>
          <w:p>
            <w:pPr>
              <w:pStyle w:val="0"/>
              <w:jc w:val="center"/>
            </w:pPr>
            <w:r>
              <w:rPr>
                <w:sz w:val="20"/>
              </w:rPr>
              <w:t xml:space="preserve">6</w:t>
            </w:r>
          </w:p>
        </w:tc>
        <w:tc>
          <w:tcPr>
            <w:tcW w:w="1155" w:type="dxa"/>
          </w:tcPr>
          <w:p>
            <w:pPr>
              <w:pStyle w:val="0"/>
              <w:jc w:val="center"/>
            </w:pPr>
            <w:r>
              <w:rPr>
                <w:sz w:val="20"/>
              </w:rPr>
              <w:t xml:space="preserve">- </w:t>
            </w:r>
            <w:hyperlink w:history="0" w:anchor="P956" w:tooltip="7. Горючих жидкостей емкостью, м3">
              <w:r>
                <w:rPr>
                  <w:sz w:val="20"/>
                  <w:color w:val="0000ff"/>
                </w:rPr>
                <w:t xml:space="preserve">&lt;*&gt;</w:t>
              </w:r>
            </w:hyperlink>
          </w:p>
        </w:tc>
        <w:tc>
          <w:tcPr>
            <w:tcW w:w="1320" w:type="dxa"/>
          </w:tcPr>
          <w:p>
            <w:pPr>
              <w:pStyle w:val="0"/>
              <w:jc w:val="center"/>
            </w:pPr>
            <w:r>
              <w:rPr>
                <w:sz w:val="20"/>
              </w:rPr>
              <w:t xml:space="preserve">- </w:t>
            </w:r>
            <w:hyperlink w:history="0" w:anchor="P956" w:tooltip="7. Горючих жидкостей емкостью, м3">
              <w:r>
                <w:rPr>
                  <w:sz w:val="20"/>
                  <w:color w:val="0000ff"/>
                </w:rPr>
                <w:t xml:space="preserve">&lt;*&gt;</w:t>
              </w:r>
            </w:hyperlink>
          </w:p>
        </w:tc>
        <w:tc>
          <w:tcPr>
            <w:tcW w:w="1155" w:type="dxa"/>
          </w:tcPr>
          <w:p>
            <w:pPr>
              <w:pStyle w:val="0"/>
              <w:jc w:val="center"/>
            </w:pPr>
            <w:r>
              <w:rPr>
                <w:sz w:val="20"/>
              </w:rPr>
              <w:t xml:space="preserve">- </w:t>
            </w:r>
            <w:hyperlink w:history="0" w:anchor="P956" w:tooltip="7. Горючих жидкостей емкостью, м3">
              <w:r>
                <w:rPr>
                  <w:sz w:val="20"/>
                  <w:color w:val="0000ff"/>
                </w:rPr>
                <w:t xml:space="preserve">&lt;*&gt;</w:t>
              </w:r>
            </w:hyperlink>
          </w:p>
        </w:tc>
        <w:tc>
          <w:tcPr>
            <w:tcW w:w="1320" w:type="dxa"/>
          </w:tcPr>
          <w:p>
            <w:pPr>
              <w:pStyle w:val="0"/>
              <w:jc w:val="center"/>
            </w:pPr>
            <w:r>
              <w:rPr>
                <w:sz w:val="20"/>
              </w:rPr>
              <w:t xml:space="preserve">- </w:t>
            </w:r>
            <w:hyperlink w:history="0" w:anchor="P956" w:tooltip="7. Горючих жидкостей емкостью, м3">
              <w:r>
                <w:rPr>
                  <w:sz w:val="20"/>
                  <w:color w:val="0000ff"/>
                </w:rPr>
                <w:t xml:space="preserve">&lt;*&gt;</w:t>
              </w:r>
            </w:hyperlink>
          </w:p>
        </w:tc>
        <w:tc>
          <w:tcPr>
            <w:tcW w:w="1155" w:type="dxa"/>
          </w:tcPr>
          <w:p>
            <w:pPr>
              <w:pStyle w:val="0"/>
              <w:jc w:val="center"/>
            </w:pPr>
            <w:r>
              <w:rPr>
                <w:sz w:val="20"/>
              </w:rPr>
              <w:t xml:space="preserve">42</w:t>
            </w:r>
          </w:p>
        </w:tc>
        <w:tc>
          <w:tcPr>
            <w:tcW w:w="1320" w:type="dxa"/>
          </w:tcPr>
          <w:p>
            <w:pPr>
              <w:pStyle w:val="0"/>
              <w:jc w:val="center"/>
            </w:pPr>
            <w:r>
              <w:rPr>
                <w:sz w:val="20"/>
              </w:rPr>
              <w:t xml:space="preserve">36</w:t>
            </w:r>
          </w:p>
        </w:tc>
        <w:tc>
          <w:tcPr>
            <w:tcW w:w="1155" w:type="dxa"/>
          </w:tcPr>
          <w:p>
            <w:pPr>
              <w:pStyle w:val="0"/>
              <w:jc w:val="center"/>
            </w:pPr>
            <w:r>
              <w:rPr>
                <w:sz w:val="20"/>
              </w:rPr>
              <w:t xml:space="preserve">42</w:t>
            </w:r>
          </w:p>
        </w:tc>
        <w:tc>
          <w:tcPr>
            <w:tcW w:w="1320" w:type="dxa"/>
          </w:tcPr>
          <w:p>
            <w:pPr>
              <w:pStyle w:val="0"/>
              <w:jc w:val="center"/>
            </w:pPr>
            <w:r>
              <w:rPr>
                <w:sz w:val="20"/>
              </w:rPr>
              <w:t xml:space="preserve">36</w:t>
            </w:r>
          </w:p>
        </w:tc>
        <w:tc>
          <w:tcPr>
            <w:tcW w:w="990" w:type="dxa"/>
          </w:tcPr>
          <w:p>
            <w:pPr>
              <w:pStyle w:val="0"/>
              <w:jc w:val="center"/>
            </w:pPr>
            <w:r>
              <w:rPr>
                <w:sz w:val="20"/>
              </w:rPr>
              <w:t xml:space="preserve">36</w:t>
            </w:r>
          </w:p>
        </w:tc>
        <w:tc>
          <w:tcPr>
            <w:tcW w:w="990" w:type="dxa"/>
          </w:tcPr>
          <w:p>
            <w:pPr>
              <w:pStyle w:val="0"/>
              <w:jc w:val="center"/>
            </w:pPr>
            <w:r>
              <w:rPr>
                <w:sz w:val="20"/>
              </w:rPr>
              <w:t xml:space="preserve">30</w:t>
            </w:r>
          </w:p>
        </w:tc>
        <w:tc>
          <w:tcPr>
            <w:tcW w:w="1155" w:type="dxa"/>
          </w:tcPr>
          <w:p>
            <w:pPr>
              <w:pStyle w:val="0"/>
              <w:jc w:val="center"/>
            </w:pPr>
            <w:r>
              <w:rPr>
                <w:sz w:val="20"/>
              </w:rPr>
              <w:t xml:space="preserve">24</w:t>
            </w:r>
          </w:p>
        </w:tc>
        <w:tc>
          <w:tcPr>
            <w:tcW w:w="1320" w:type="dxa"/>
          </w:tcPr>
          <w:p>
            <w:pPr>
              <w:pStyle w:val="0"/>
              <w:jc w:val="center"/>
            </w:pPr>
            <w:r>
              <w:rPr>
                <w:sz w:val="20"/>
              </w:rPr>
              <w:t xml:space="preserve">36</w:t>
            </w:r>
          </w:p>
        </w:tc>
        <w:tc>
          <w:tcPr>
            <w:tcW w:w="990" w:type="dxa"/>
          </w:tcPr>
          <w:p>
            <w:pPr>
              <w:pStyle w:val="0"/>
              <w:jc w:val="center"/>
            </w:pPr>
            <w:r>
              <w:rPr>
                <w:sz w:val="20"/>
              </w:rPr>
              <w:t xml:space="preserve">30</w:t>
            </w:r>
          </w:p>
        </w:tc>
        <w:tc>
          <w:tcPr>
            <w:tcW w:w="1155" w:type="dxa"/>
          </w:tcPr>
          <w:p>
            <w:pPr>
              <w:pStyle w:val="0"/>
              <w:jc w:val="center"/>
            </w:pPr>
            <w:r>
              <w:rPr>
                <w:sz w:val="20"/>
              </w:rPr>
              <w:t xml:space="preserve">24</w:t>
            </w:r>
          </w:p>
        </w:tc>
      </w:tr>
      <w:tr>
        <w:tc>
          <w:tcPr>
            <w:gridSpan w:val="20"/>
            <w:tcW w:w="26400" w:type="dxa"/>
          </w:tcPr>
          <w:p>
            <w:pPr>
              <w:pStyle w:val="0"/>
            </w:pPr>
            <w:r>
              <w:rPr>
                <w:sz w:val="20"/>
              </w:rPr>
              <w:t xml:space="preserve">4. Лесоматериалов (круглых, пиленых) и дров, м</w:t>
            </w:r>
            <w:r>
              <w:rPr>
                <w:sz w:val="20"/>
                <w:vertAlign w:val="superscript"/>
              </w:rPr>
              <w:t xml:space="preserve">3</w:t>
            </w:r>
          </w:p>
        </w:tc>
      </w:tr>
      <w:tr>
        <w:tc>
          <w:tcPr>
            <w:tcW w:w="2805" w:type="dxa"/>
          </w:tcPr>
          <w:p>
            <w:pPr>
              <w:pStyle w:val="0"/>
            </w:pPr>
            <w:r>
              <w:rPr>
                <w:sz w:val="20"/>
              </w:rPr>
              <w:t xml:space="preserve">от 1000 до 10000</w:t>
            </w:r>
          </w:p>
        </w:tc>
        <w:tc>
          <w:tcPr>
            <w:tcW w:w="1320" w:type="dxa"/>
          </w:tcPr>
          <w:p>
            <w:pPr>
              <w:pStyle w:val="0"/>
              <w:jc w:val="center"/>
            </w:pPr>
            <w:r>
              <w:rPr>
                <w:sz w:val="20"/>
              </w:rPr>
              <w:t xml:space="preserve">15</w:t>
            </w:r>
          </w:p>
        </w:tc>
        <w:tc>
          <w:tcPr>
            <w:tcW w:w="1320" w:type="dxa"/>
          </w:tcPr>
          <w:p>
            <w:pPr>
              <w:pStyle w:val="0"/>
              <w:jc w:val="center"/>
            </w:pPr>
            <w:r>
              <w:rPr>
                <w:sz w:val="20"/>
              </w:rPr>
              <w:t xml:space="preserve">24</w:t>
            </w:r>
          </w:p>
        </w:tc>
        <w:tc>
          <w:tcPr>
            <w:tcW w:w="1980" w:type="dxa"/>
          </w:tcPr>
          <w:p>
            <w:pPr>
              <w:pStyle w:val="0"/>
              <w:jc w:val="center"/>
            </w:pPr>
            <w:r>
              <w:rPr>
                <w:sz w:val="20"/>
              </w:rPr>
              <w:t xml:space="preserve">30</w:t>
            </w:r>
          </w:p>
        </w:tc>
        <w:tc>
          <w:tcPr>
            <w:tcW w:w="1155" w:type="dxa"/>
          </w:tcPr>
          <w:p>
            <w:pPr>
              <w:pStyle w:val="0"/>
              <w:jc w:val="center"/>
            </w:pPr>
            <w:r>
              <w:rPr>
                <w:sz w:val="20"/>
              </w:rPr>
              <w:t xml:space="preserve">24</w:t>
            </w:r>
          </w:p>
        </w:tc>
        <w:tc>
          <w:tcPr>
            <w:tcW w:w="1320" w:type="dxa"/>
          </w:tcPr>
          <w:p>
            <w:pPr>
              <w:pStyle w:val="0"/>
              <w:jc w:val="center"/>
            </w:pPr>
            <w:r>
              <w:rPr>
                <w:sz w:val="20"/>
              </w:rPr>
              <w:t xml:space="preserve">24</w:t>
            </w:r>
          </w:p>
        </w:tc>
        <w:tc>
          <w:tcPr>
            <w:tcW w:w="1155" w:type="dxa"/>
          </w:tcPr>
          <w:p>
            <w:pPr>
              <w:pStyle w:val="0"/>
              <w:jc w:val="center"/>
            </w:pPr>
            <w:r>
              <w:rPr>
                <w:sz w:val="20"/>
              </w:rPr>
              <w:t xml:space="preserve">42</w:t>
            </w:r>
          </w:p>
        </w:tc>
        <w:tc>
          <w:tcPr>
            <w:tcW w:w="1320" w:type="dxa"/>
          </w:tcPr>
          <w:p>
            <w:pPr>
              <w:pStyle w:val="0"/>
              <w:jc w:val="center"/>
            </w:pPr>
            <w:r>
              <w:rPr>
                <w:sz w:val="20"/>
              </w:rPr>
              <w:t xml:space="preserve">42</w:t>
            </w:r>
          </w:p>
        </w:tc>
        <w:tc>
          <w:tcPr>
            <w:tcW w:w="1155" w:type="dxa"/>
          </w:tcPr>
          <w:p>
            <w:pPr>
              <w:pStyle w:val="0"/>
              <w:jc w:val="center"/>
            </w:pPr>
            <w:r>
              <w:rPr>
                <w:sz w:val="20"/>
              </w:rPr>
              <w:t xml:space="preserve">42</w:t>
            </w:r>
          </w:p>
        </w:tc>
        <w:tc>
          <w:tcPr>
            <w:tcW w:w="1320" w:type="dxa"/>
          </w:tcPr>
          <w:p>
            <w:pPr>
              <w:pStyle w:val="0"/>
              <w:jc w:val="center"/>
            </w:pPr>
            <w:r>
              <w:rPr>
                <w:sz w:val="20"/>
              </w:rPr>
              <w:t xml:space="preserve">42</w:t>
            </w:r>
          </w:p>
        </w:tc>
        <w:tc>
          <w:tcPr>
            <w:tcW w:w="1155" w:type="dxa"/>
          </w:tcPr>
          <w:p>
            <w:pPr>
              <w:pStyle w:val="0"/>
              <w:jc w:val="center"/>
            </w:pPr>
            <w:r>
              <w:rPr>
                <w:sz w:val="20"/>
              </w:rPr>
              <w:t xml:space="preserve">- </w:t>
            </w:r>
            <w:hyperlink w:history="0" w:anchor="P956" w:tooltip="7. Горючих жидкостей емкостью, м3">
              <w:r>
                <w:rPr>
                  <w:sz w:val="20"/>
                  <w:color w:val="0000ff"/>
                </w:rPr>
                <w:t xml:space="preserve">&lt;*&gt;</w:t>
              </w:r>
            </w:hyperlink>
          </w:p>
        </w:tc>
        <w:tc>
          <w:tcPr>
            <w:tcW w:w="1320" w:type="dxa"/>
          </w:tcPr>
          <w:p>
            <w:pPr>
              <w:pStyle w:val="0"/>
              <w:jc w:val="center"/>
            </w:pPr>
            <w:r>
              <w:rPr>
                <w:sz w:val="20"/>
              </w:rPr>
              <w:t xml:space="preserve">- </w:t>
            </w:r>
            <w:hyperlink w:history="0" w:anchor="P956" w:tooltip="7. Горючих жидкостей емкостью, м3">
              <w:r>
                <w:rPr>
                  <w:sz w:val="20"/>
                  <w:color w:val="0000ff"/>
                </w:rPr>
                <w:t xml:space="preserve">&lt;*&gt;</w:t>
              </w:r>
            </w:hyperlink>
          </w:p>
        </w:tc>
        <w:tc>
          <w:tcPr>
            <w:tcW w:w="1155" w:type="dxa"/>
          </w:tcPr>
          <w:p>
            <w:pPr>
              <w:pStyle w:val="0"/>
              <w:jc w:val="center"/>
            </w:pPr>
            <w:r>
              <w:rPr>
                <w:sz w:val="20"/>
              </w:rPr>
              <w:t xml:space="preserve">36</w:t>
            </w:r>
          </w:p>
        </w:tc>
        <w:tc>
          <w:tcPr>
            <w:tcW w:w="1320" w:type="dxa"/>
          </w:tcPr>
          <w:p>
            <w:pPr>
              <w:pStyle w:val="0"/>
              <w:jc w:val="center"/>
            </w:pPr>
            <w:r>
              <w:rPr>
                <w:sz w:val="20"/>
              </w:rPr>
              <w:t xml:space="preserve">30</w:t>
            </w:r>
          </w:p>
        </w:tc>
        <w:tc>
          <w:tcPr>
            <w:tcW w:w="990" w:type="dxa"/>
          </w:tcPr>
          <w:p>
            <w:pPr>
              <w:pStyle w:val="0"/>
              <w:jc w:val="center"/>
            </w:pPr>
            <w:r>
              <w:rPr>
                <w:sz w:val="20"/>
              </w:rPr>
              <w:t xml:space="preserve">42</w:t>
            </w:r>
          </w:p>
        </w:tc>
        <w:tc>
          <w:tcPr>
            <w:tcW w:w="990" w:type="dxa"/>
          </w:tcPr>
          <w:p>
            <w:pPr>
              <w:pStyle w:val="0"/>
              <w:jc w:val="center"/>
            </w:pPr>
            <w:r>
              <w:rPr>
                <w:sz w:val="20"/>
              </w:rPr>
              <w:t xml:space="preserve">36</w:t>
            </w:r>
          </w:p>
        </w:tc>
        <w:tc>
          <w:tcPr>
            <w:tcW w:w="1155" w:type="dxa"/>
          </w:tcPr>
          <w:p>
            <w:pPr>
              <w:pStyle w:val="0"/>
              <w:jc w:val="center"/>
            </w:pPr>
            <w:r>
              <w:rPr>
                <w:sz w:val="20"/>
              </w:rPr>
              <w:t xml:space="preserve">30</w:t>
            </w:r>
          </w:p>
        </w:tc>
        <w:tc>
          <w:tcPr>
            <w:tcW w:w="1320" w:type="dxa"/>
          </w:tcPr>
          <w:p>
            <w:pPr>
              <w:pStyle w:val="0"/>
              <w:jc w:val="center"/>
            </w:pPr>
            <w:r>
              <w:rPr>
                <w:sz w:val="20"/>
              </w:rPr>
              <w:t xml:space="preserve">42</w:t>
            </w:r>
          </w:p>
        </w:tc>
        <w:tc>
          <w:tcPr>
            <w:tcW w:w="990" w:type="dxa"/>
          </w:tcPr>
          <w:p>
            <w:pPr>
              <w:pStyle w:val="0"/>
              <w:jc w:val="center"/>
            </w:pPr>
            <w:r>
              <w:rPr>
                <w:sz w:val="20"/>
              </w:rPr>
              <w:t xml:space="preserve">36</w:t>
            </w:r>
          </w:p>
        </w:tc>
        <w:tc>
          <w:tcPr>
            <w:tcW w:w="1155" w:type="dxa"/>
          </w:tcPr>
          <w:p>
            <w:pPr>
              <w:pStyle w:val="0"/>
              <w:jc w:val="center"/>
            </w:pPr>
            <w:r>
              <w:rPr>
                <w:sz w:val="20"/>
              </w:rPr>
              <w:t xml:space="preserve">30</w:t>
            </w:r>
          </w:p>
        </w:tc>
      </w:tr>
      <w:tr>
        <w:tc>
          <w:tcPr>
            <w:tcW w:w="2805" w:type="dxa"/>
          </w:tcPr>
          <w:p>
            <w:pPr>
              <w:pStyle w:val="0"/>
            </w:pPr>
            <w:r>
              <w:rPr>
                <w:sz w:val="20"/>
              </w:rPr>
              <w:t xml:space="preserve">менее 1000</w:t>
            </w:r>
          </w:p>
        </w:tc>
        <w:tc>
          <w:tcPr>
            <w:tcW w:w="1320" w:type="dxa"/>
          </w:tcPr>
          <w:p>
            <w:pPr>
              <w:pStyle w:val="0"/>
              <w:jc w:val="center"/>
            </w:pPr>
            <w:r>
              <w:rPr>
                <w:sz w:val="20"/>
              </w:rPr>
              <w:t xml:space="preserve">12</w:t>
            </w:r>
          </w:p>
        </w:tc>
        <w:tc>
          <w:tcPr>
            <w:tcW w:w="1320" w:type="dxa"/>
          </w:tcPr>
          <w:p>
            <w:pPr>
              <w:pStyle w:val="0"/>
              <w:jc w:val="center"/>
            </w:pPr>
            <w:r>
              <w:rPr>
                <w:sz w:val="20"/>
              </w:rPr>
              <w:t xml:space="preserve">15</w:t>
            </w:r>
          </w:p>
        </w:tc>
        <w:tc>
          <w:tcPr>
            <w:tcW w:w="1980" w:type="dxa"/>
          </w:tcPr>
          <w:p>
            <w:pPr>
              <w:pStyle w:val="0"/>
              <w:jc w:val="center"/>
            </w:pPr>
            <w:r>
              <w:rPr>
                <w:sz w:val="20"/>
              </w:rPr>
              <w:t xml:space="preserve">18</w:t>
            </w:r>
          </w:p>
        </w:tc>
        <w:tc>
          <w:tcPr>
            <w:tcW w:w="1155" w:type="dxa"/>
          </w:tcPr>
          <w:p>
            <w:pPr>
              <w:pStyle w:val="0"/>
              <w:jc w:val="center"/>
            </w:pPr>
            <w:r>
              <w:rPr>
                <w:sz w:val="20"/>
              </w:rPr>
              <w:t xml:space="preserve">18</w:t>
            </w:r>
          </w:p>
        </w:tc>
        <w:tc>
          <w:tcPr>
            <w:tcW w:w="1320" w:type="dxa"/>
          </w:tcPr>
          <w:p>
            <w:pPr>
              <w:pStyle w:val="0"/>
              <w:jc w:val="center"/>
            </w:pPr>
            <w:r>
              <w:rPr>
                <w:sz w:val="20"/>
              </w:rPr>
              <w:t xml:space="preserve">18</w:t>
            </w:r>
          </w:p>
        </w:tc>
        <w:tc>
          <w:tcPr>
            <w:tcW w:w="1155" w:type="dxa"/>
          </w:tcPr>
          <w:p>
            <w:pPr>
              <w:pStyle w:val="0"/>
              <w:jc w:val="center"/>
            </w:pPr>
            <w:r>
              <w:rPr>
                <w:sz w:val="20"/>
              </w:rPr>
              <w:t xml:space="preserve">36</w:t>
            </w:r>
          </w:p>
        </w:tc>
        <w:tc>
          <w:tcPr>
            <w:tcW w:w="1320" w:type="dxa"/>
          </w:tcPr>
          <w:p>
            <w:pPr>
              <w:pStyle w:val="0"/>
              <w:jc w:val="center"/>
            </w:pPr>
            <w:r>
              <w:rPr>
                <w:sz w:val="20"/>
              </w:rPr>
              <w:t xml:space="preserve">36</w:t>
            </w:r>
          </w:p>
        </w:tc>
        <w:tc>
          <w:tcPr>
            <w:tcW w:w="1155" w:type="dxa"/>
          </w:tcPr>
          <w:p>
            <w:pPr>
              <w:pStyle w:val="0"/>
              <w:jc w:val="center"/>
            </w:pPr>
            <w:r>
              <w:rPr>
                <w:sz w:val="20"/>
              </w:rPr>
              <w:t xml:space="preserve">36</w:t>
            </w:r>
          </w:p>
        </w:tc>
        <w:tc>
          <w:tcPr>
            <w:tcW w:w="1320" w:type="dxa"/>
          </w:tcPr>
          <w:p>
            <w:pPr>
              <w:pStyle w:val="0"/>
              <w:jc w:val="center"/>
            </w:pPr>
            <w:r>
              <w:rPr>
                <w:sz w:val="20"/>
              </w:rPr>
              <w:t xml:space="preserve">36</w:t>
            </w:r>
          </w:p>
        </w:tc>
        <w:tc>
          <w:tcPr>
            <w:tcW w:w="1155" w:type="dxa"/>
          </w:tcPr>
          <w:p>
            <w:pPr>
              <w:pStyle w:val="0"/>
              <w:jc w:val="center"/>
            </w:pPr>
            <w:r>
              <w:rPr>
                <w:sz w:val="20"/>
              </w:rPr>
              <w:t xml:space="preserve">- </w:t>
            </w:r>
            <w:hyperlink w:history="0" w:anchor="P956" w:tooltip="7. Горючих жидкостей емкостью, м3">
              <w:r>
                <w:rPr>
                  <w:sz w:val="20"/>
                  <w:color w:val="0000ff"/>
                </w:rPr>
                <w:t xml:space="preserve">&lt;*&gt;</w:t>
              </w:r>
            </w:hyperlink>
          </w:p>
        </w:tc>
        <w:tc>
          <w:tcPr>
            <w:tcW w:w="1320" w:type="dxa"/>
          </w:tcPr>
          <w:p>
            <w:pPr>
              <w:pStyle w:val="0"/>
              <w:jc w:val="center"/>
            </w:pPr>
            <w:r>
              <w:rPr>
                <w:sz w:val="20"/>
              </w:rPr>
              <w:t xml:space="preserve">- </w:t>
            </w:r>
            <w:hyperlink w:history="0" w:anchor="P956" w:tooltip="7. Горючих жидкостей емкостью, м3">
              <w:r>
                <w:rPr>
                  <w:sz w:val="20"/>
                  <w:color w:val="0000ff"/>
                </w:rPr>
                <w:t xml:space="preserve">&lt;*&gt;</w:t>
              </w:r>
            </w:hyperlink>
          </w:p>
        </w:tc>
        <w:tc>
          <w:tcPr>
            <w:tcW w:w="1155" w:type="dxa"/>
          </w:tcPr>
          <w:p>
            <w:pPr>
              <w:pStyle w:val="0"/>
              <w:jc w:val="center"/>
            </w:pPr>
            <w:r>
              <w:rPr>
                <w:sz w:val="20"/>
              </w:rPr>
              <w:t xml:space="preserve">36</w:t>
            </w:r>
          </w:p>
        </w:tc>
        <w:tc>
          <w:tcPr>
            <w:tcW w:w="1320" w:type="dxa"/>
          </w:tcPr>
          <w:p>
            <w:pPr>
              <w:pStyle w:val="0"/>
              <w:jc w:val="center"/>
            </w:pPr>
            <w:r>
              <w:rPr>
                <w:sz w:val="20"/>
              </w:rPr>
              <w:t xml:space="preserve">30</w:t>
            </w:r>
          </w:p>
        </w:tc>
        <w:tc>
          <w:tcPr>
            <w:tcW w:w="990" w:type="dxa"/>
          </w:tcPr>
          <w:p>
            <w:pPr>
              <w:pStyle w:val="0"/>
              <w:jc w:val="center"/>
            </w:pPr>
            <w:r>
              <w:rPr>
                <w:sz w:val="20"/>
              </w:rPr>
              <w:t xml:space="preserve">36</w:t>
            </w:r>
          </w:p>
        </w:tc>
        <w:tc>
          <w:tcPr>
            <w:tcW w:w="990" w:type="dxa"/>
          </w:tcPr>
          <w:p>
            <w:pPr>
              <w:pStyle w:val="0"/>
              <w:jc w:val="center"/>
            </w:pPr>
            <w:r>
              <w:rPr>
                <w:sz w:val="20"/>
              </w:rPr>
              <w:t xml:space="preserve">30</w:t>
            </w:r>
          </w:p>
        </w:tc>
        <w:tc>
          <w:tcPr>
            <w:tcW w:w="1155" w:type="dxa"/>
          </w:tcPr>
          <w:p>
            <w:pPr>
              <w:pStyle w:val="0"/>
              <w:jc w:val="center"/>
            </w:pPr>
            <w:r>
              <w:rPr>
                <w:sz w:val="20"/>
              </w:rPr>
              <w:t xml:space="preserve">24</w:t>
            </w:r>
          </w:p>
        </w:tc>
        <w:tc>
          <w:tcPr>
            <w:tcW w:w="1320" w:type="dxa"/>
          </w:tcPr>
          <w:p>
            <w:pPr>
              <w:pStyle w:val="0"/>
              <w:jc w:val="center"/>
            </w:pPr>
            <w:r>
              <w:rPr>
                <w:sz w:val="20"/>
              </w:rPr>
              <w:t xml:space="preserve">36</w:t>
            </w:r>
          </w:p>
        </w:tc>
        <w:tc>
          <w:tcPr>
            <w:tcW w:w="990" w:type="dxa"/>
          </w:tcPr>
          <w:p>
            <w:pPr>
              <w:pStyle w:val="0"/>
              <w:jc w:val="center"/>
            </w:pPr>
            <w:r>
              <w:rPr>
                <w:sz w:val="20"/>
              </w:rPr>
              <w:t xml:space="preserve">30</w:t>
            </w:r>
          </w:p>
        </w:tc>
        <w:tc>
          <w:tcPr>
            <w:tcW w:w="1155" w:type="dxa"/>
          </w:tcPr>
          <w:p>
            <w:pPr>
              <w:pStyle w:val="0"/>
              <w:jc w:val="center"/>
            </w:pPr>
            <w:r>
              <w:rPr>
                <w:sz w:val="20"/>
              </w:rPr>
              <w:t xml:space="preserve">24</w:t>
            </w:r>
          </w:p>
        </w:tc>
      </w:tr>
      <w:tr>
        <w:tc>
          <w:tcPr>
            <w:gridSpan w:val="20"/>
            <w:tcW w:w="26400" w:type="dxa"/>
          </w:tcPr>
          <w:p>
            <w:pPr>
              <w:pStyle w:val="0"/>
            </w:pPr>
            <w:r>
              <w:rPr>
                <w:sz w:val="20"/>
              </w:rPr>
              <w:t xml:space="preserve">5. Щепы и опилок, емкостью м3</w:t>
            </w:r>
          </w:p>
        </w:tc>
      </w:tr>
      <w:tr>
        <w:tc>
          <w:tcPr>
            <w:tcW w:w="2805" w:type="dxa"/>
          </w:tcPr>
          <w:p>
            <w:pPr>
              <w:pStyle w:val="0"/>
            </w:pPr>
            <w:r>
              <w:rPr>
                <w:sz w:val="20"/>
              </w:rPr>
              <w:t xml:space="preserve">от 1000 до 5000</w:t>
            </w:r>
          </w:p>
        </w:tc>
        <w:tc>
          <w:tcPr>
            <w:tcW w:w="1320" w:type="dxa"/>
          </w:tcPr>
          <w:p>
            <w:pPr>
              <w:pStyle w:val="0"/>
              <w:jc w:val="center"/>
            </w:pPr>
            <w:r>
              <w:rPr>
                <w:sz w:val="20"/>
              </w:rPr>
              <w:t xml:space="preserve">18</w:t>
            </w:r>
          </w:p>
        </w:tc>
        <w:tc>
          <w:tcPr>
            <w:tcW w:w="1320" w:type="dxa"/>
          </w:tcPr>
          <w:p>
            <w:pPr>
              <w:pStyle w:val="0"/>
              <w:jc w:val="center"/>
            </w:pPr>
            <w:r>
              <w:rPr>
                <w:sz w:val="20"/>
              </w:rPr>
              <w:t xml:space="preserve">30</w:t>
            </w:r>
          </w:p>
        </w:tc>
        <w:tc>
          <w:tcPr>
            <w:tcW w:w="1980" w:type="dxa"/>
          </w:tcPr>
          <w:p>
            <w:pPr>
              <w:pStyle w:val="0"/>
              <w:jc w:val="center"/>
            </w:pPr>
            <w:r>
              <w:rPr>
                <w:sz w:val="20"/>
              </w:rPr>
              <w:t xml:space="preserve">36</w:t>
            </w:r>
          </w:p>
        </w:tc>
        <w:tc>
          <w:tcPr>
            <w:tcW w:w="1155" w:type="dxa"/>
          </w:tcPr>
          <w:p>
            <w:pPr>
              <w:pStyle w:val="0"/>
              <w:jc w:val="center"/>
            </w:pPr>
            <w:r>
              <w:rPr>
                <w:sz w:val="20"/>
              </w:rPr>
              <w:t xml:space="preserve">24</w:t>
            </w:r>
          </w:p>
        </w:tc>
        <w:tc>
          <w:tcPr>
            <w:tcW w:w="1320" w:type="dxa"/>
          </w:tcPr>
          <w:p>
            <w:pPr>
              <w:pStyle w:val="0"/>
              <w:jc w:val="center"/>
            </w:pPr>
            <w:r>
              <w:rPr>
                <w:sz w:val="20"/>
              </w:rPr>
              <w:t xml:space="preserve">24</w:t>
            </w:r>
          </w:p>
        </w:tc>
        <w:tc>
          <w:tcPr>
            <w:tcW w:w="1155" w:type="dxa"/>
          </w:tcPr>
          <w:p>
            <w:pPr>
              <w:pStyle w:val="0"/>
              <w:jc w:val="center"/>
            </w:pPr>
            <w:r>
              <w:rPr>
                <w:sz w:val="20"/>
              </w:rPr>
              <w:t xml:space="preserve">42</w:t>
            </w:r>
          </w:p>
        </w:tc>
        <w:tc>
          <w:tcPr>
            <w:tcW w:w="1320" w:type="dxa"/>
          </w:tcPr>
          <w:p>
            <w:pPr>
              <w:pStyle w:val="0"/>
              <w:jc w:val="center"/>
            </w:pPr>
            <w:r>
              <w:rPr>
                <w:sz w:val="20"/>
              </w:rPr>
              <w:t xml:space="preserve">42</w:t>
            </w:r>
          </w:p>
        </w:tc>
        <w:tc>
          <w:tcPr>
            <w:tcW w:w="1155" w:type="dxa"/>
          </w:tcPr>
          <w:p>
            <w:pPr>
              <w:pStyle w:val="0"/>
              <w:jc w:val="center"/>
            </w:pPr>
            <w:r>
              <w:rPr>
                <w:sz w:val="20"/>
              </w:rPr>
              <w:t xml:space="preserve">42</w:t>
            </w:r>
          </w:p>
        </w:tc>
        <w:tc>
          <w:tcPr>
            <w:tcW w:w="1320" w:type="dxa"/>
          </w:tcPr>
          <w:p>
            <w:pPr>
              <w:pStyle w:val="0"/>
              <w:jc w:val="center"/>
            </w:pPr>
            <w:r>
              <w:rPr>
                <w:sz w:val="20"/>
              </w:rPr>
              <w:t xml:space="preserve">42</w:t>
            </w:r>
          </w:p>
        </w:tc>
        <w:tc>
          <w:tcPr>
            <w:tcW w:w="1155" w:type="dxa"/>
          </w:tcPr>
          <w:p>
            <w:pPr>
              <w:pStyle w:val="0"/>
              <w:jc w:val="center"/>
            </w:pPr>
            <w:r>
              <w:rPr>
                <w:sz w:val="20"/>
              </w:rPr>
              <w:t xml:space="preserve">36</w:t>
            </w:r>
          </w:p>
        </w:tc>
        <w:tc>
          <w:tcPr>
            <w:tcW w:w="1320" w:type="dxa"/>
          </w:tcPr>
          <w:p>
            <w:pPr>
              <w:pStyle w:val="0"/>
              <w:jc w:val="center"/>
            </w:pPr>
            <w:r>
              <w:rPr>
                <w:sz w:val="20"/>
              </w:rPr>
              <w:t xml:space="preserve">36</w:t>
            </w:r>
          </w:p>
        </w:tc>
        <w:tc>
          <w:tcPr>
            <w:tcW w:w="1155" w:type="dxa"/>
          </w:tcPr>
          <w:p>
            <w:pPr>
              <w:pStyle w:val="0"/>
              <w:jc w:val="center"/>
            </w:pPr>
            <w:r>
              <w:rPr>
                <w:sz w:val="20"/>
              </w:rPr>
              <w:t xml:space="preserve">- </w:t>
            </w:r>
            <w:hyperlink w:history="0" w:anchor="P956" w:tooltip="7. Горючих жидкостей емкостью, м3">
              <w:r>
                <w:rPr>
                  <w:sz w:val="20"/>
                  <w:color w:val="0000ff"/>
                </w:rPr>
                <w:t xml:space="preserve">&lt;*&gt;</w:t>
              </w:r>
            </w:hyperlink>
          </w:p>
        </w:tc>
        <w:tc>
          <w:tcPr>
            <w:tcW w:w="1320" w:type="dxa"/>
          </w:tcPr>
          <w:p>
            <w:pPr>
              <w:pStyle w:val="0"/>
              <w:jc w:val="center"/>
            </w:pPr>
            <w:r>
              <w:rPr>
                <w:sz w:val="20"/>
              </w:rPr>
              <w:t xml:space="preserve">- </w:t>
            </w:r>
            <w:hyperlink w:history="0" w:anchor="P956" w:tooltip="7. Горючих жидкостей емкостью, м3">
              <w:r>
                <w:rPr>
                  <w:sz w:val="20"/>
                  <w:color w:val="0000ff"/>
                </w:rPr>
                <w:t xml:space="preserve">&lt;*&gt;</w:t>
              </w:r>
            </w:hyperlink>
          </w:p>
        </w:tc>
        <w:tc>
          <w:tcPr>
            <w:tcW w:w="990" w:type="dxa"/>
          </w:tcPr>
          <w:p>
            <w:pPr>
              <w:pStyle w:val="0"/>
              <w:jc w:val="center"/>
            </w:pPr>
            <w:r>
              <w:rPr>
                <w:sz w:val="20"/>
              </w:rPr>
              <w:t xml:space="preserve">42</w:t>
            </w:r>
          </w:p>
        </w:tc>
        <w:tc>
          <w:tcPr>
            <w:tcW w:w="990" w:type="dxa"/>
          </w:tcPr>
          <w:p>
            <w:pPr>
              <w:pStyle w:val="0"/>
              <w:jc w:val="center"/>
            </w:pPr>
            <w:r>
              <w:rPr>
                <w:sz w:val="20"/>
              </w:rPr>
              <w:t xml:space="preserve">36</w:t>
            </w:r>
          </w:p>
        </w:tc>
        <w:tc>
          <w:tcPr>
            <w:tcW w:w="1155" w:type="dxa"/>
          </w:tcPr>
          <w:p>
            <w:pPr>
              <w:pStyle w:val="0"/>
              <w:jc w:val="center"/>
            </w:pPr>
            <w:r>
              <w:rPr>
                <w:sz w:val="20"/>
              </w:rPr>
              <w:t xml:space="preserve">30</w:t>
            </w:r>
          </w:p>
        </w:tc>
        <w:tc>
          <w:tcPr>
            <w:tcW w:w="1320" w:type="dxa"/>
          </w:tcPr>
          <w:p>
            <w:pPr>
              <w:pStyle w:val="0"/>
              <w:jc w:val="center"/>
            </w:pPr>
            <w:r>
              <w:rPr>
                <w:sz w:val="20"/>
              </w:rPr>
              <w:t xml:space="preserve">42</w:t>
            </w:r>
          </w:p>
        </w:tc>
        <w:tc>
          <w:tcPr>
            <w:tcW w:w="990" w:type="dxa"/>
          </w:tcPr>
          <w:p>
            <w:pPr>
              <w:pStyle w:val="0"/>
              <w:jc w:val="center"/>
            </w:pPr>
            <w:r>
              <w:rPr>
                <w:sz w:val="20"/>
              </w:rPr>
              <w:t xml:space="preserve">36</w:t>
            </w:r>
          </w:p>
        </w:tc>
        <w:tc>
          <w:tcPr>
            <w:tcW w:w="1155" w:type="dxa"/>
          </w:tcPr>
          <w:p>
            <w:pPr>
              <w:pStyle w:val="0"/>
              <w:jc w:val="center"/>
            </w:pPr>
            <w:r>
              <w:rPr>
                <w:sz w:val="20"/>
              </w:rPr>
              <w:t xml:space="preserve">30</w:t>
            </w:r>
          </w:p>
        </w:tc>
      </w:tr>
      <w:tr>
        <w:tc>
          <w:tcPr>
            <w:tcW w:w="2805" w:type="dxa"/>
          </w:tcPr>
          <w:p>
            <w:pPr>
              <w:pStyle w:val="0"/>
            </w:pPr>
            <w:r>
              <w:rPr>
                <w:sz w:val="20"/>
              </w:rPr>
              <w:t xml:space="preserve">менее 1000</w:t>
            </w:r>
          </w:p>
        </w:tc>
        <w:tc>
          <w:tcPr>
            <w:tcW w:w="1320" w:type="dxa"/>
          </w:tcPr>
          <w:p>
            <w:pPr>
              <w:pStyle w:val="0"/>
              <w:jc w:val="center"/>
            </w:pPr>
            <w:r>
              <w:rPr>
                <w:sz w:val="20"/>
              </w:rPr>
              <w:t xml:space="preserve">15</w:t>
            </w:r>
          </w:p>
        </w:tc>
        <w:tc>
          <w:tcPr>
            <w:tcW w:w="1320" w:type="dxa"/>
          </w:tcPr>
          <w:p>
            <w:pPr>
              <w:pStyle w:val="0"/>
              <w:jc w:val="center"/>
            </w:pPr>
            <w:r>
              <w:rPr>
                <w:sz w:val="20"/>
              </w:rPr>
              <w:t xml:space="preserve">18</w:t>
            </w:r>
          </w:p>
        </w:tc>
        <w:tc>
          <w:tcPr>
            <w:tcW w:w="1980" w:type="dxa"/>
          </w:tcPr>
          <w:p>
            <w:pPr>
              <w:pStyle w:val="0"/>
              <w:jc w:val="center"/>
            </w:pPr>
            <w:r>
              <w:rPr>
                <w:sz w:val="20"/>
              </w:rPr>
              <w:t xml:space="preserve">24</w:t>
            </w:r>
          </w:p>
        </w:tc>
        <w:tc>
          <w:tcPr>
            <w:tcW w:w="1155" w:type="dxa"/>
          </w:tcPr>
          <w:p>
            <w:pPr>
              <w:pStyle w:val="0"/>
              <w:jc w:val="center"/>
            </w:pPr>
            <w:r>
              <w:rPr>
                <w:sz w:val="20"/>
              </w:rPr>
              <w:t xml:space="preserve">18</w:t>
            </w:r>
          </w:p>
        </w:tc>
        <w:tc>
          <w:tcPr>
            <w:tcW w:w="1320" w:type="dxa"/>
          </w:tcPr>
          <w:p>
            <w:pPr>
              <w:pStyle w:val="0"/>
              <w:jc w:val="center"/>
            </w:pPr>
            <w:r>
              <w:rPr>
                <w:sz w:val="20"/>
              </w:rPr>
              <w:t xml:space="preserve">16</w:t>
            </w:r>
          </w:p>
        </w:tc>
        <w:tc>
          <w:tcPr>
            <w:tcW w:w="1155" w:type="dxa"/>
          </w:tcPr>
          <w:p>
            <w:pPr>
              <w:pStyle w:val="0"/>
              <w:jc w:val="center"/>
            </w:pPr>
            <w:r>
              <w:rPr>
                <w:sz w:val="20"/>
              </w:rPr>
              <w:t xml:space="preserve">36</w:t>
            </w:r>
          </w:p>
        </w:tc>
        <w:tc>
          <w:tcPr>
            <w:tcW w:w="1320" w:type="dxa"/>
          </w:tcPr>
          <w:p>
            <w:pPr>
              <w:pStyle w:val="0"/>
              <w:jc w:val="center"/>
            </w:pPr>
            <w:r>
              <w:rPr>
                <w:sz w:val="20"/>
              </w:rPr>
              <w:t xml:space="preserve">36</w:t>
            </w:r>
          </w:p>
        </w:tc>
        <w:tc>
          <w:tcPr>
            <w:tcW w:w="1155" w:type="dxa"/>
          </w:tcPr>
          <w:p>
            <w:pPr>
              <w:pStyle w:val="0"/>
              <w:jc w:val="center"/>
            </w:pPr>
            <w:r>
              <w:rPr>
                <w:sz w:val="20"/>
              </w:rPr>
              <w:t xml:space="preserve">36</w:t>
            </w:r>
          </w:p>
        </w:tc>
        <w:tc>
          <w:tcPr>
            <w:tcW w:w="1320" w:type="dxa"/>
          </w:tcPr>
          <w:p>
            <w:pPr>
              <w:pStyle w:val="0"/>
              <w:jc w:val="center"/>
            </w:pPr>
            <w:r>
              <w:rPr>
                <w:sz w:val="20"/>
              </w:rPr>
              <w:t xml:space="preserve">36</w:t>
            </w:r>
          </w:p>
        </w:tc>
        <w:tc>
          <w:tcPr>
            <w:tcW w:w="1155" w:type="dxa"/>
          </w:tcPr>
          <w:p>
            <w:pPr>
              <w:pStyle w:val="0"/>
              <w:jc w:val="center"/>
            </w:pPr>
            <w:r>
              <w:rPr>
                <w:sz w:val="20"/>
              </w:rPr>
              <w:t xml:space="preserve">30</w:t>
            </w:r>
          </w:p>
        </w:tc>
        <w:tc>
          <w:tcPr>
            <w:tcW w:w="1320" w:type="dxa"/>
          </w:tcPr>
          <w:p>
            <w:pPr>
              <w:pStyle w:val="0"/>
              <w:jc w:val="center"/>
            </w:pPr>
            <w:r>
              <w:rPr>
                <w:sz w:val="20"/>
              </w:rPr>
              <w:t xml:space="preserve">24</w:t>
            </w:r>
          </w:p>
        </w:tc>
        <w:tc>
          <w:tcPr>
            <w:tcW w:w="1155" w:type="dxa"/>
          </w:tcPr>
          <w:p>
            <w:pPr>
              <w:pStyle w:val="0"/>
              <w:jc w:val="center"/>
            </w:pPr>
            <w:r>
              <w:rPr>
                <w:sz w:val="20"/>
              </w:rPr>
              <w:t xml:space="preserve">- </w:t>
            </w:r>
            <w:hyperlink w:history="0" w:anchor="P956" w:tooltip="7. Горючих жидкостей емкостью, м3">
              <w:r>
                <w:rPr>
                  <w:sz w:val="20"/>
                  <w:color w:val="0000ff"/>
                </w:rPr>
                <w:t xml:space="preserve">&lt;*&gt;</w:t>
              </w:r>
            </w:hyperlink>
          </w:p>
        </w:tc>
        <w:tc>
          <w:tcPr>
            <w:tcW w:w="1320" w:type="dxa"/>
          </w:tcPr>
          <w:p>
            <w:pPr>
              <w:pStyle w:val="0"/>
              <w:jc w:val="center"/>
            </w:pPr>
            <w:r>
              <w:rPr>
                <w:sz w:val="20"/>
              </w:rPr>
              <w:t xml:space="preserve">- </w:t>
            </w:r>
            <w:hyperlink w:history="0" w:anchor="P956" w:tooltip="7. Горючих жидкостей емкостью, м3">
              <w:r>
                <w:rPr>
                  <w:sz w:val="20"/>
                  <w:color w:val="0000ff"/>
                </w:rPr>
                <w:t xml:space="preserve">&lt;*&gt;</w:t>
              </w:r>
            </w:hyperlink>
          </w:p>
        </w:tc>
        <w:tc>
          <w:tcPr>
            <w:tcW w:w="990" w:type="dxa"/>
          </w:tcPr>
          <w:p>
            <w:pPr>
              <w:pStyle w:val="0"/>
              <w:jc w:val="center"/>
            </w:pPr>
            <w:r>
              <w:rPr>
                <w:sz w:val="20"/>
              </w:rPr>
              <w:t xml:space="preserve">36</w:t>
            </w:r>
          </w:p>
        </w:tc>
        <w:tc>
          <w:tcPr>
            <w:tcW w:w="990" w:type="dxa"/>
          </w:tcPr>
          <w:p>
            <w:pPr>
              <w:pStyle w:val="0"/>
              <w:jc w:val="center"/>
            </w:pPr>
            <w:r>
              <w:rPr>
                <w:sz w:val="20"/>
              </w:rPr>
              <w:t xml:space="preserve">30</w:t>
            </w:r>
          </w:p>
        </w:tc>
        <w:tc>
          <w:tcPr>
            <w:tcW w:w="1155" w:type="dxa"/>
          </w:tcPr>
          <w:p>
            <w:pPr>
              <w:pStyle w:val="0"/>
              <w:jc w:val="center"/>
            </w:pPr>
            <w:r>
              <w:rPr>
                <w:sz w:val="20"/>
              </w:rPr>
              <w:t xml:space="preserve">24</w:t>
            </w:r>
          </w:p>
        </w:tc>
        <w:tc>
          <w:tcPr>
            <w:tcW w:w="1320" w:type="dxa"/>
          </w:tcPr>
          <w:p>
            <w:pPr>
              <w:pStyle w:val="0"/>
              <w:jc w:val="center"/>
            </w:pPr>
            <w:r>
              <w:rPr>
                <w:sz w:val="20"/>
              </w:rPr>
              <w:t xml:space="preserve">36</w:t>
            </w:r>
          </w:p>
        </w:tc>
        <w:tc>
          <w:tcPr>
            <w:tcW w:w="990" w:type="dxa"/>
          </w:tcPr>
          <w:p>
            <w:pPr>
              <w:pStyle w:val="0"/>
              <w:jc w:val="center"/>
            </w:pPr>
            <w:r>
              <w:rPr>
                <w:sz w:val="20"/>
              </w:rPr>
              <w:t xml:space="preserve">30</w:t>
            </w:r>
          </w:p>
        </w:tc>
        <w:tc>
          <w:tcPr>
            <w:tcW w:w="1155" w:type="dxa"/>
          </w:tcPr>
          <w:p>
            <w:pPr>
              <w:pStyle w:val="0"/>
              <w:jc w:val="center"/>
            </w:pPr>
            <w:r>
              <w:rPr>
                <w:sz w:val="20"/>
              </w:rPr>
              <w:t xml:space="preserve">24</w:t>
            </w:r>
          </w:p>
        </w:tc>
      </w:tr>
      <w:tr>
        <w:tc>
          <w:tcPr>
            <w:gridSpan w:val="20"/>
            <w:tcW w:w="26400" w:type="dxa"/>
          </w:tcPr>
          <w:p>
            <w:pPr>
              <w:pStyle w:val="0"/>
            </w:pPr>
            <w:r>
              <w:rPr>
                <w:sz w:val="20"/>
              </w:rPr>
              <w:t xml:space="preserve">6. Легковоспламеняющихся жидкостей емкостью, м</w:t>
            </w:r>
            <w:r>
              <w:rPr>
                <w:sz w:val="20"/>
                <w:vertAlign w:val="superscript"/>
              </w:rPr>
              <w:t xml:space="preserve">3</w:t>
            </w:r>
          </w:p>
        </w:tc>
      </w:tr>
      <w:tr>
        <w:tc>
          <w:tcPr>
            <w:tcW w:w="2805" w:type="dxa"/>
          </w:tcPr>
          <w:p>
            <w:pPr>
              <w:pStyle w:val="0"/>
            </w:pPr>
            <w:r>
              <w:rPr>
                <w:sz w:val="20"/>
              </w:rPr>
              <w:t xml:space="preserve">от 1000 до 2000</w:t>
            </w:r>
          </w:p>
        </w:tc>
        <w:tc>
          <w:tcPr>
            <w:tcW w:w="1320" w:type="dxa"/>
          </w:tcPr>
          <w:p>
            <w:pPr>
              <w:pStyle w:val="0"/>
              <w:jc w:val="center"/>
            </w:pPr>
            <w:r>
              <w:rPr>
                <w:sz w:val="20"/>
              </w:rPr>
              <w:t xml:space="preserve">30</w:t>
            </w:r>
          </w:p>
        </w:tc>
        <w:tc>
          <w:tcPr>
            <w:tcW w:w="1320" w:type="dxa"/>
          </w:tcPr>
          <w:p>
            <w:pPr>
              <w:pStyle w:val="0"/>
              <w:jc w:val="center"/>
            </w:pPr>
            <w:r>
              <w:rPr>
                <w:sz w:val="20"/>
              </w:rPr>
              <w:t xml:space="preserve">30</w:t>
            </w:r>
          </w:p>
        </w:tc>
        <w:tc>
          <w:tcPr>
            <w:tcW w:w="1980" w:type="dxa"/>
          </w:tcPr>
          <w:p>
            <w:pPr>
              <w:pStyle w:val="0"/>
              <w:jc w:val="center"/>
            </w:pPr>
            <w:r>
              <w:rPr>
                <w:sz w:val="20"/>
              </w:rPr>
              <w:t xml:space="preserve">36</w:t>
            </w:r>
          </w:p>
        </w:tc>
        <w:tc>
          <w:tcPr>
            <w:tcW w:w="1155" w:type="dxa"/>
          </w:tcPr>
          <w:p>
            <w:pPr>
              <w:pStyle w:val="0"/>
              <w:jc w:val="center"/>
            </w:pPr>
            <w:r>
              <w:rPr>
                <w:sz w:val="20"/>
              </w:rPr>
              <w:t xml:space="preserve">18</w:t>
            </w:r>
          </w:p>
        </w:tc>
        <w:tc>
          <w:tcPr>
            <w:tcW w:w="1320" w:type="dxa"/>
          </w:tcPr>
          <w:p>
            <w:pPr>
              <w:pStyle w:val="0"/>
              <w:jc w:val="center"/>
            </w:pPr>
            <w:r>
              <w:rPr>
                <w:sz w:val="20"/>
              </w:rPr>
              <w:t xml:space="preserve">18</w:t>
            </w:r>
          </w:p>
        </w:tc>
        <w:tc>
          <w:tcPr>
            <w:tcW w:w="1155" w:type="dxa"/>
          </w:tcPr>
          <w:p>
            <w:pPr>
              <w:pStyle w:val="0"/>
              <w:jc w:val="center"/>
            </w:pPr>
            <w:r>
              <w:rPr>
                <w:sz w:val="20"/>
              </w:rPr>
              <w:t xml:space="preserve">42</w:t>
            </w:r>
          </w:p>
        </w:tc>
        <w:tc>
          <w:tcPr>
            <w:tcW w:w="1320" w:type="dxa"/>
          </w:tcPr>
          <w:p>
            <w:pPr>
              <w:pStyle w:val="0"/>
              <w:jc w:val="center"/>
            </w:pPr>
            <w:r>
              <w:rPr>
                <w:sz w:val="20"/>
              </w:rPr>
              <w:t xml:space="preserve">42</w:t>
            </w:r>
          </w:p>
        </w:tc>
        <w:tc>
          <w:tcPr>
            <w:tcW w:w="1155" w:type="dxa"/>
          </w:tcPr>
          <w:p>
            <w:pPr>
              <w:pStyle w:val="0"/>
              <w:jc w:val="center"/>
            </w:pPr>
            <w:r>
              <w:rPr>
                <w:sz w:val="20"/>
              </w:rPr>
              <w:t xml:space="preserve">36</w:t>
            </w:r>
          </w:p>
        </w:tc>
        <w:tc>
          <w:tcPr>
            <w:tcW w:w="1320" w:type="dxa"/>
          </w:tcPr>
          <w:p>
            <w:pPr>
              <w:pStyle w:val="0"/>
              <w:jc w:val="center"/>
            </w:pPr>
            <w:r>
              <w:rPr>
                <w:sz w:val="20"/>
              </w:rPr>
              <w:t xml:space="preserve">36</w:t>
            </w:r>
          </w:p>
        </w:tc>
        <w:tc>
          <w:tcPr>
            <w:tcW w:w="1155" w:type="dxa"/>
          </w:tcPr>
          <w:p>
            <w:pPr>
              <w:pStyle w:val="0"/>
              <w:jc w:val="center"/>
            </w:pPr>
            <w:r>
              <w:rPr>
                <w:sz w:val="20"/>
              </w:rPr>
              <w:t xml:space="preserve">42</w:t>
            </w:r>
          </w:p>
        </w:tc>
        <w:tc>
          <w:tcPr>
            <w:tcW w:w="1320" w:type="dxa"/>
          </w:tcPr>
          <w:p>
            <w:pPr>
              <w:pStyle w:val="0"/>
              <w:jc w:val="center"/>
            </w:pPr>
            <w:r>
              <w:rPr>
                <w:sz w:val="20"/>
              </w:rPr>
              <w:t xml:space="preserve">36</w:t>
            </w:r>
          </w:p>
        </w:tc>
        <w:tc>
          <w:tcPr>
            <w:tcW w:w="1155" w:type="dxa"/>
          </w:tcPr>
          <w:p>
            <w:pPr>
              <w:pStyle w:val="0"/>
              <w:jc w:val="center"/>
            </w:pPr>
            <w:r>
              <w:rPr>
                <w:sz w:val="20"/>
              </w:rPr>
              <w:t xml:space="preserve">42</w:t>
            </w:r>
          </w:p>
        </w:tc>
        <w:tc>
          <w:tcPr>
            <w:tcW w:w="1320" w:type="dxa"/>
          </w:tcPr>
          <w:p>
            <w:pPr>
              <w:pStyle w:val="0"/>
              <w:jc w:val="center"/>
            </w:pPr>
            <w:r>
              <w:rPr>
                <w:sz w:val="20"/>
              </w:rPr>
              <w:t xml:space="preserve">36</w:t>
            </w:r>
          </w:p>
        </w:tc>
        <w:tc>
          <w:tcPr>
            <w:tcW w:w="990" w:type="dxa"/>
          </w:tcPr>
          <w:p>
            <w:pPr>
              <w:pStyle w:val="0"/>
              <w:jc w:val="center"/>
            </w:pPr>
            <w:r>
              <w:rPr>
                <w:sz w:val="20"/>
              </w:rPr>
              <w:t xml:space="preserve">-</w:t>
            </w:r>
          </w:p>
          <w:p>
            <w:pPr>
              <w:pStyle w:val="0"/>
              <w:jc w:val="center"/>
            </w:pPr>
            <w:hyperlink w:history="0" w:anchor="P956" w:tooltip="7. Горючих жидкостей емкостью, м3">
              <w:r>
                <w:rPr>
                  <w:sz w:val="20"/>
                  <w:color w:val="0000ff"/>
                </w:rPr>
                <w:t xml:space="preserve">&lt;*&gt;</w:t>
              </w:r>
            </w:hyperlink>
          </w:p>
        </w:tc>
        <w:tc>
          <w:tcPr>
            <w:tcW w:w="990" w:type="dxa"/>
          </w:tcPr>
          <w:p>
            <w:pPr>
              <w:pStyle w:val="0"/>
              <w:jc w:val="center"/>
            </w:pPr>
            <w:r>
              <w:rPr>
                <w:sz w:val="20"/>
              </w:rPr>
              <w:t xml:space="preserve">-</w:t>
            </w:r>
          </w:p>
          <w:p>
            <w:pPr>
              <w:pStyle w:val="0"/>
              <w:jc w:val="center"/>
            </w:pPr>
            <w:hyperlink w:history="0" w:anchor="P956" w:tooltip="7. Горючих жидкостей емкостью, м3">
              <w:r>
                <w:rPr>
                  <w:sz w:val="20"/>
                  <w:color w:val="0000ff"/>
                </w:rPr>
                <w:t xml:space="preserve">&lt;*&gt;</w:t>
              </w:r>
            </w:hyperlink>
          </w:p>
        </w:tc>
        <w:tc>
          <w:tcPr>
            <w:tcW w:w="1155" w:type="dxa"/>
          </w:tcPr>
          <w:p>
            <w:pPr>
              <w:pStyle w:val="0"/>
              <w:jc w:val="center"/>
            </w:pPr>
            <w:r>
              <w:rPr>
                <w:sz w:val="20"/>
              </w:rPr>
              <w:t xml:space="preserve">-</w:t>
            </w:r>
          </w:p>
          <w:p>
            <w:pPr>
              <w:pStyle w:val="0"/>
              <w:jc w:val="center"/>
            </w:pPr>
            <w:hyperlink w:history="0" w:anchor="P956" w:tooltip="7. Горючих жидкостей емкостью, м3">
              <w:r>
                <w:rPr>
                  <w:sz w:val="20"/>
                  <w:color w:val="0000ff"/>
                </w:rPr>
                <w:t xml:space="preserve">&lt;*&gt;</w:t>
              </w:r>
            </w:hyperlink>
          </w:p>
        </w:tc>
        <w:tc>
          <w:tcPr>
            <w:tcW w:w="1320" w:type="dxa"/>
          </w:tcPr>
          <w:p>
            <w:pPr>
              <w:pStyle w:val="0"/>
              <w:jc w:val="center"/>
            </w:pPr>
            <w:r>
              <w:rPr>
                <w:sz w:val="20"/>
              </w:rPr>
              <w:t xml:space="preserve">-</w:t>
            </w:r>
          </w:p>
          <w:p>
            <w:pPr>
              <w:pStyle w:val="0"/>
              <w:jc w:val="center"/>
            </w:pPr>
            <w:hyperlink w:history="0" w:anchor="P956" w:tooltip="7. Горючих жидкостей емкостью, м3">
              <w:r>
                <w:rPr>
                  <w:sz w:val="20"/>
                  <w:color w:val="0000ff"/>
                </w:rPr>
                <w:t xml:space="preserve">&lt;*&gt;</w:t>
              </w:r>
            </w:hyperlink>
          </w:p>
        </w:tc>
        <w:tc>
          <w:tcPr>
            <w:tcW w:w="990" w:type="dxa"/>
          </w:tcPr>
          <w:p>
            <w:pPr>
              <w:pStyle w:val="0"/>
              <w:jc w:val="center"/>
            </w:pPr>
            <w:r>
              <w:rPr>
                <w:sz w:val="20"/>
              </w:rPr>
              <w:t xml:space="preserve">-</w:t>
            </w:r>
          </w:p>
          <w:p>
            <w:pPr>
              <w:pStyle w:val="0"/>
              <w:jc w:val="center"/>
            </w:pPr>
            <w:hyperlink w:history="0" w:anchor="P956" w:tooltip="7. Горючих жидкостей емкостью, м3">
              <w:r>
                <w:rPr>
                  <w:sz w:val="20"/>
                  <w:color w:val="0000ff"/>
                </w:rPr>
                <w:t xml:space="preserve">&lt;*&gt;</w:t>
              </w:r>
            </w:hyperlink>
          </w:p>
        </w:tc>
        <w:tc>
          <w:tcPr>
            <w:tcW w:w="1155" w:type="dxa"/>
          </w:tcPr>
          <w:p>
            <w:pPr>
              <w:pStyle w:val="0"/>
              <w:jc w:val="center"/>
            </w:pPr>
            <w:r>
              <w:rPr>
                <w:sz w:val="20"/>
              </w:rPr>
              <w:t xml:space="preserve">-</w:t>
            </w:r>
          </w:p>
          <w:p>
            <w:pPr>
              <w:pStyle w:val="0"/>
              <w:jc w:val="center"/>
            </w:pPr>
            <w:hyperlink w:history="0" w:anchor="P956" w:tooltip="7. Горючих жидкостей емкостью, м3">
              <w:r>
                <w:rPr>
                  <w:sz w:val="20"/>
                  <w:color w:val="0000ff"/>
                </w:rPr>
                <w:t xml:space="preserve">&lt;*&gt;</w:t>
              </w:r>
            </w:hyperlink>
          </w:p>
        </w:tc>
      </w:tr>
      <w:tr>
        <w:tc>
          <w:tcPr>
            <w:tcW w:w="2805" w:type="dxa"/>
          </w:tcPr>
          <w:p>
            <w:pPr>
              <w:pStyle w:val="0"/>
            </w:pPr>
            <w:r>
              <w:rPr>
                <w:sz w:val="20"/>
              </w:rPr>
              <w:t xml:space="preserve">от 600 до 1000</w:t>
            </w:r>
          </w:p>
        </w:tc>
        <w:tc>
          <w:tcPr>
            <w:tcW w:w="1320" w:type="dxa"/>
          </w:tcPr>
          <w:p>
            <w:pPr>
              <w:pStyle w:val="0"/>
              <w:jc w:val="center"/>
            </w:pPr>
            <w:r>
              <w:rPr>
                <w:sz w:val="20"/>
              </w:rPr>
              <w:t xml:space="preserve">24</w:t>
            </w:r>
          </w:p>
        </w:tc>
        <w:tc>
          <w:tcPr>
            <w:tcW w:w="1320" w:type="dxa"/>
          </w:tcPr>
          <w:p>
            <w:pPr>
              <w:pStyle w:val="0"/>
              <w:jc w:val="center"/>
            </w:pPr>
            <w:r>
              <w:rPr>
                <w:sz w:val="20"/>
              </w:rPr>
              <w:t xml:space="preserve">24</w:t>
            </w:r>
          </w:p>
        </w:tc>
        <w:tc>
          <w:tcPr>
            <w:tcW w:w="1980" w:type="dxa"/>
          </w:tcPr>
          <w:p>
            <w:pPr>
              <w:pStyle w:val="0"/>
              <w:jc w:val="center"/>
            </w:pPr>
            <w:r>
              <w:rPr>
                <w:sz w:val="20"/>
              </w:rPr>
              <w:t xml:space="preserve">30</w:t>
            </w:r>
          </w:p>
        </w:tc>
        <w:tc>
          <w:tcPr>
            <w:tcW w:w="1155" w:type="dxa"/>
          </w:tcPr>
          <w:p>
            <w:pPr>
              <w:pStyle w:val="0"/>
              <w:jc w:val="center"/>
            </w:pPr>
            <w:r>
              <w:rPr>
                <w:sz w:val="20"/>
              </w:rPr>
              <w:t xml:space="preserve">12</w:t>
            </w:r>
          </w:p>
        </w:tc>
        <w:tc>
          <w:tcPr>
            <w:tcW w:w="1320" w:type="dxa"/>
          </w:tcPr>
          <w:p>
            <w:pPr>
              <w:pStyle w:val="0"/>
              <w:jc w:val="center"/>
            </w:pPr>
            <w:r>
              <w:rPr>
                <w:sz w:val="20"/>
              </w:rPr>
              <w:t xml:space="preserve">12</w:t>
            </w:r>
          </w:p>
        </w:tc>
        <w:tc>
          <w:tcPr>
            <w:tcW w:w="1155" w:type="dxa"/>
          </w:tcPr>
          <w:p>
            <w:pPr>
              <w:pStyle w:val="0"/>
              <w:jc w:val="center"/>
            </w:pPr>
            <w:r>
              <w:rPr>
                <w:sz w:val="20"/>
              </w:rPr>
              <w:t xml:space="preserve">36</w:t>
            </w:r>
          </w:p>
        </w:tc>
        <w:tc>
          <w:tcPr>
            <w:tcW w:w="1320" w:type="dxa"/>
          </w:tcPr>
          <w:p>
            <w:pPr>
              <w:pStyle w:val="0"/>
              <w:jc w:val="center"/>
            </w:pPr>
            <w:r>
              <w:rPr>
                <w:sz w:val="20"/>
              </w:rPr>
              <w:t xml:space="preserve">36</w:t>
            </w:r>
          </w:p>
        </w:tc>
        <w:tc>
          <w:tcPr>
            <w:tcW w:w="1155" w:type="dxa"/>
          </w:tcPr>
          <w:p>
            <w:pPr>
              <w:pStyle w:val="0"/>
              <w:jc w:val="center"/>
            </w:pPr>
            <w:r>
              <w:rPr>
                <w:sz w:val="20"/>
              </w:rPr>
              <w:t xml:space="preserve">30</w:t>
            </w:r>
          </w:p>
        </w:tc>
        <w:tc>
          <w:tcPr>
            <w:tcW w:w="1320" w:type="dxa"/>
          </w:tcPr>
          <w:p>
            <w:pPr>
              <w:pStyle w:val="0"/>
              <w:jc w:val="center"/>
            </w:pPr>
            <w:r>
              <w:rPr>
                <w:sz w:val="20"/>
              </w:rPr>
              <w:t xml:space="preserve">30</w:t>
            </w:r>
          </w:p>
        </w:tc>
        <w:tc>
          <w:tcPr>
            <w:tcW w:w="1155" w:type="dxa"/>
          </w:tcPr>
          <w:p>
            <w:pPr>
              <w:pStyle w:val="0"/>
              <w:jc w:val="center"/>
            </w:pPr>
            <w:r>
              <w:rPr>
                <w:sz w:val="20"/>
              </w:rPr>
              <w:t xml:space="preserve">36</w:t>
            </w:r>
          </w:p>
        </w:tc>
        <w:tc>
          <w:tcPr>
            <w:tcW w:w="1320" w:type="dxa"/>
          </w:tcPr>
          <w:p>
            <w:pPr>
              <w:pStyle w:val="0"/>
              <w:jc w:val="center"/>
            </w:pPr>
            <w:r>
              <w:rPr>
                <w:sz w:val="20"/>
              </w:rPr>
              <w:t xml:space="preserve">30</w:t>
            </w:r>
          </w:p>
        </w:tc>
        <w:tc>
          <w:tcPr>
            <w:tcW w:w="1155" w:type="dxa"/>
          </w:tcPr>
          <w:p>
            <w:pPr>
              <w:pStyle w:val="0"/>
              <w:jc w:val="center"/>
            </w:pPr>
            <w:r>
              <w:rPr>
                <w:sz w:val="20"/>
              </w:rPr>
              <w:t xml:space="preserve">36</w:t>
            </w:r>
          </w:p>
        </w:tc>
        <w:tc>
          <w:tcPr>
            <w:tcW w:w="1320" w:type="dxa"/>
          </w:tcPr>
          <w:p>
            <w:pPr>
              <w:pStyle w:val="0"/>
              <w:jc w:val="center"/>
            </w:pPr>
            <w:r>
              <w:rPr>
                <w:sz w:val="20"/>
              </w:rPr>
              <w:t xml:space="preserve">30</w:t>
            </w:r>
          </w:p>
        </w:tc>
        <w:tc>
          <w:tcPr>
            <w:tcW w:w="990" w:type="dxa"/>
          </w:tcPr>
          <w:p>
            <w:pPr>
              <w:pStyle w:val="0"/>
              <w:jc w:val="center"/>
            </w:pPr>
            <w:r>
              <w:rPr>
                <w:sz w:val="20"/>
              </w:rPr>
              <w:t xml:space="preserve">-</w:t>
            </w:r>
          </w:p>
          <w:p>
            <w:pPr>
              <w:pStyle w:val="0"/>
              <w:jc w:val="center"/>
            </w:pPr>
            <w:hyperlink w:history="0" w:anchor="P956" w:tooltip="7. Горючих жидкостей емкостью, м3">
              <w:r>
                <w:rPr>
                  <w:sz w:val="20"/>
                  <w:color w:val="0000ff"/>
                </w:rPr>
                <w:t xml:space="preserve">&lt;*&gt;</w:t>
              </w:r>
            </w:hyperlink>
          </w:p>
        </w:tc>
        <w:tc>
          <w:tcPr>
            <w:tcW w:w="990" w:type="dxa"/>
          </w:tcPr>
          <w:p>
            <w:pPr>
              <w:pStyle w:val="0"/>
              <w:jc w:val="center"/>
            </w:pPr>
            <w:r>
              <w:rPr>
                <w:sz w:val="20"/>
              </w:rPr>
              <w:t xml:space="preserve">-</w:t>
            </w:r>
          </w:p>
          <w:p>
            <w:pPr>
              <w:pStyle w:val="0"/>
              <w:jc w:val="center"/>
            </w:pPr>
            <w:hyperlink w:history="0" w:anchor="P956" w:tooltip="7. Горючих жидкостей емкостью, м3">
              <w:r>
                <w:rPr>
                  <w:sz w:val="20"/>
                  <w:color w:val="0000ff"/>
                </w:rPr>
                <w:t xml:space="preserve">&lt;*&gt;</w:t>
              </w:r>
            </w:hyperlink>
          </w:p>
        </w:tc>
        <w:tc>
          <w:tcPr>
            <w:tcW w:w="1155" w:type="dxa"/>
          </w:tcPr>
          <w:p>
            <w:pPr>
              <w:pStyle w:val="0"/>
              <w:jc w:val="center"/>
            </w:pPr>
            <w:r>
              <w:rPr>
                <w:sz w:val="20"/>
              </w:rPr>
              <w:t xml:space="preserve">-</w:t>
            </w:r>
          </w:p>
          <w:p>
            <w:pPr>
              <w:pStyle w:val="0"/>
              <w:jc w:val="center"/>
            </w:pPr>
            <w:hyperlink w:history="0" w:anchor="P956" w:tooltip="7. Горючих жидкостей емкостью, м3">
              <w:r>
                <w:rPr>
                  <w:sz w:val="20"/>
                  <w:color w:val="0000ff"/>
                </w:rPr>
                <w:t xml:space="preserve">&lt;*&gt;</w:t>
              </w:r>
            </w:hyperlink>
          </w:p>
        </w:tc>
        <w:tc>
          <w:tcPr>
            <w:tcW w:w="1320" w:type="dxa"/>
          </w:tcPr>
          <w:p>
            <w:pPr>
              <w:pStyle w:val="0"/>
              <w:jc w:val="center"/>
            </w:pPr>
            <w:r>
              <w:rPr>
                <w:sz w:val="20"/>
              </w:rPr>
              <w:t xml:space="preserve">-</w:t>
            </w:r>
          </w:p>
          <w:p>
            <w:pPr>
              <w:pStyle w:val="0"/>
              <w:jc w:val="center"/>
            </w:pPr>
            <w:hyperlink w:history="0" w:anchor="P956" w:tooltip="7. Горючих жидкостей емкостью, м3">
              <w:r>
                <w:rPr>
                  <w:sz w:val="20"/>
                  <w:color w:val="0000ff"/>
                </w:rPr>
                <w:t xml:space="preserve">&lt;*&gt;</w:t>
              </w:r>
            </w:hyperlink>
          </w:p>
        </w:tc>
        <w:tc>
          <w:tcPr>
            <w:tcW w:w="990" w:type="dxa"/>
          </w:tcPr>
          <w:p>
            <w:pPr>
              <w:pStyle w:val="0"/>
              <w:jc w:val="center"/>
            </w:pPr>
            <w:r>
              <w:rPr>
                <w:sz w:val="20"/>
              </w:rPr>
              <w:t xml:space="preserve">-</w:t>
            </w:r>
          </w:p>
          <w:p>
            <w:pPr>
              <w:pStyle w:val="0"/>
              <w:jc w:val="center"/>
            </w:pPr>
            <w:hyperlink w:history="0" w:anchor="P956" w:tooltip="7. Горючих жидкостей емкостью, м3">
              <w:r>
                <w:rPr>
                  <w:sz w:val="20"/>
                  <w:color w:val="0000ff"/>
                </w:rPr>
                <w:t xml:space="preserve">&lt;*&gt;</w:t>
              </w:r>
            </w:hyperlink>
          </w:p>
        </w:tc>
        <w:tc>
          <w:tcPr>
            <w:tcW w:w="1155" w:type="dxa"/>
          </w:tcPr>
          <w:p>
            <w:pPr>
              <w:pStyle w:val="0"/>
              <w:jc w:val="center"/>
            </w:pPr>
            <w:r>
              <w:rPr>
                <w:sz w:val="20"/>
              </w:rPr>
              <w:t xml:space="preserve">-</w:t>
            </w:r>
          </w:p>
          <w:p>
            <w:pPr>
              <w:pStyle w:val="0"/>
              <w:jc w:val="center"/>
            </w:pPr>
            <w:hyperlink w:history="0" w:anchor="P956" w:tooltip="7. Горючих жидкостей емкостью, м3">
              <w:r>
                <w:rPr>
                  <w:sz w:val="20"/>
                  <w:color w:val="0000ff"/>
                </w:rPr>
                <w:t xml:space="preserve">&lt;*&gt;</w:t>
              </w:r>
            </w:hyperlink>
          </w:p>
        </w:tc>
      </w:tr>
      <w:tr>
        <w:tc>
          <w:tcPr>
            <w:tcW w:w="2805" w:type="dxa"/>
          </w:tcPr>
          <w:p>
            <w:pPr>
              <w:pStyle w:val="0"/>
            </w:pPr>
            <w:r>
              <w:rPr>
                <w:sz w:val="20"/>
              </w:rPr>
              <w:t xml:space="preserve">от 300 до 600</w:t>
            </w:r>
          </w:p>
        </w:tc>
        <w:tc>
          <w:tcPr>
            <w:tcW w:w="1320" w:type="dxa"/>
          </w:tcPr>
          <w:p>
            <w:pPr>
              <w:pStyle w:val="0"/>
              <w:jc w:val="center"/>
            </w:pPr>
            <w:r>
              <w:rPr>
                <w:sz w:val="20"/>
              </w:rPr>
              <w:t xml:space="preserve">18</w:t>
            </w:r>
          </w:p>
        </w:tc>
        <w:tc>
          <w:tcPr>
            <w:tcW w:w="1320" w:type="dxa"/>
          </w:tcPr>
          <w:p>
            <w:pPr>
              <w:pStyle w:val="0"/>
              <w:jc w:val="center"/>
            </w:pPr>
            <w:r>
              <w:rPr>
                <w:sz w:val="20"/>
              </w:rPr>
              <w:t xml:space="preserve">18</w:t>
            </w:r>
          </w:p>
        </w:tc>
        <w:tc>
          <w:tcPr>
            <w:tcW w:w="1980" w:type="dxa"/>
          </w:tcPr>
          <w:p>
            <w:pPr>
              <w:pStyle w:val="0"/>
              <w:jc w:val="center"/>
            </w:pPr>
            <w:r>
              <w:rPr>
                <w:sz w:val="20"/>
              </w:rPr>
              <w:t xml:space="preserve">24</w:t>
            </w:r>
          </w:p>
        </w:tc>
        <w:tc>
          <w:tcPr>
            <w:tcW w:w="1155" w:type="dxa"/>
          </w:tcPr>
          <w:p>
            <w:pPr>
              <w:pStyle w:val="0"/>
              <w:jc w:val="center"/>
            </w:pPr>
            <w:r>
              <w:rPr>
                <w:sz w:val="20"/>
              </w:rPr>
              <w:t xml:space="preserve">6</w:t>
            </w:r>
          </w:p>
        </w:tc>
        <w:tc>
          <w:tcPr>
            <w:tcW w:w="1320" w:type="dxa"/>
          </w:tcPr>
          <w:p>
            <w:pPr>
              <w:pStyle w:val="0"/>
              <w:jc w:val="center"/>
            </w:pPr>
            <w:r>
              <w:rPr>
                <w:sz w:val="20"/>
              </w:rPr>
              <w:t xml:space="preserve">6</w:t>
            </w:r>
          </w:p>
        </w:tc>
        <w:tc>
          <w:tcPr>
            <w:tcW w:w="1155" w:type="dxa"/>
          </w:tcPr>
          <w:p>
            <w:pPr>
              <w:pStyle w:val="0"/>
              <w:jc w:val="center"/>
            </w:pPr>
            <w:r>
              <w:rPr>
                <w:sz w:val="20"/>
              </w:rPr>
              <w:t xml:space="preserve">30</w:t>
            </w:r>
          </w:p>
        </w:tc>
        <w:tc>
          <w:tcPr>
            <w:tcW w:w="1320" w:type="dxa"/>
          </w:tcPr>
          <w:p>
            <w:pPr>
              <w:pStyle w:val="0"/>
              <w:jc w:val="center"/>
            </w:pPr>
            <w:r>
              <w:rPr>
                <w:sz w:val="20"/>
              </w:rPr>
              <w:t xml:space="preserve">30</w:t>
            </w:r>
          </w:p>
        </w:tc>
        <w:tc>
          <w:tcPr>
            <w:tcW w:w="1155" w:type="dxa"/>
          </w:tcPr>
          <w:p>
            <w:pPr>
              <w:pStyle w:val="0"/>
              <w:jc w:val="center"/>
            </w:pPr>
            <w:r>
              <w:rPr>
                <w:sz w:val="20"/>
              </w:rPr>
              <w:t xml:space="preserve">24</w:t>
            </w:r>
          </w:p>
        </w:tc>
        <w:tc>
          <w:tcPr>
            <w:tcW w:w="1320" w:type="dxa"/>
          </w:tcPr>
          <w:p>
            <w:pPr>
              <w:pStyle w:val="0"/>
              <w:jc w:val="center"/>
            </w:pPr>
            <w:r>
              <w:rPr>
                <w:sz w:val="20"/>
              </w:rPr>
              <w:t xml:space="preserve">24</w:t>
            </w:r>
          </w:p>
        </w:tc>
        <w:tc>
          <w:tcPr>
            <w:tcW w:w="1155" w:type="dxa"/>
          </w:tcPr>
          <w:p>
            <w:pPr>
              <w:pStyle w:val="0"/>
              <w:jc w:val="center"/>
            </w:pPr>
            <w:r>
              <w:rPr>
                <w:sz w:val="20"/>
              </w:rPr>
              <w:t xml:space="preserve">30</w:t>
            </w:r>
          </w:p>
        </w:tc>
        <w:tc>
          <w:tcPr>
            <w:tcW w:w="1320" w:type="dxa"/>
          </w:tcPr>
          <w:p>
            <w:pPr>
              <w:pStyle w:val="0"/>
              <w:jc w:val="center"/>
            </w:pPr>
            <w:r>
              <w:rPr>
                <w:sz w:val="20"/>
              </w:rPr>
              <w:t xml:space="preserve">24</w:t>
            </w:r>
          </w:p>
        </w:tc>
        <w:tc>
          <w:tcPr>
            <w:tcW w:w="1155" w:type="dxa"/>
          </w:tcPr>
          <w:p>
            <w:pPr>
              <w:pStyle w:val="0"/>
              <w:jc w:val="center"/>
            </w:pPr>
            <w:r>
              <w:rPr>
                <w:sz w:val="20"/>
              </w:rPr>
              <w:t xml:space="preserve">30</w:t>
            </w:r>
          </w:p>
        </w:tc>
        <w:tc>
          <w:tcPr>
            <w:tcW w:w="1320" w:type="dxa"/>
          </w:tcPr>
          <w:p>
            <w:pPr>
              <w:pStyle w:val="0"/>
              <w:jc w:val="center"/>
            </w:pPr>
            <w:r>
              <w:rPr>
                <w:sz w:val="20"/>
              </w:rPr>
              <w:t xml:space="preserve">24</w:t>
            </w:r>
          </w:p>
        </w:tc>
        <w:tc>
          <w:tcPr>
            <w:tcW w:w="990" w:type="dxa"/>
          </w:tcPr>
          <w:p>
            <w:pPr>
              <w:pStyle w:val="0"/>
              <w:jc w:val="center"/>
            </w:pPr>
            <w:r>
              <w:rPr>
                <w:sz w:val="20"/>
              </w:rPr>
              <w:t xml:space="preserve">-</w:t>
            </w:r>
          </w:p>
          <w:p>
            <w:pPr>
              <w:pStyle w:val="0"/>
              <w:jc w:val="center"/>
            </w:pPr>
            <w:hyperlink w:history="0" w:anchor="P956" w:tooltip="7. Горючих жидкостей емкостью, м3">
              <w:r>
                <w:rPr>
                  <w:sz w:val="20"/>
                  <w:color w:val="0000ff"/>
                </w:rPr>
                <w:t xml:space="preserve">&lt;*&gt;</w:t>
              </w:r>
            </w:hyperlink>
          </w:p>
        </w:tc>
        <w:tc>
          <w:tcPr>
            <w:tcW w:w="990" w:type="dxa"/>
          </w:tcPr>
          <w:p>
            <w:pPr>
              <w:pStyle w:val="0"/>
              <w:jc w:val="center"/>
            </w:pPr>
            <w:r>
              <w:rPr>
                <w:sz w:val="20"/>
              </w:rPr>
              <w:t xml:space="preserve">-</w:t>
            </w:r>
          </w:p>
          <w:p>
            <w:pPr>
              <w:pStyle w:val="0"/>
              <w:jc w:val="center"/>
            </w:pPr>
            <w:hyperlink w:history="0" w:anchor="P956" w:tooltip="7. Горючих жидкостей емкостью, м3">
              <w:r>
                <w:rPr>
                  <w:sz w:val="20"/>
                  <w:color w:val="0000ff"/>
                </w:rPr>
                <w:t xml:space="preserve">&lt;*&gt;</w:t>
              </w:r>
            </w:hyperlink>
          </w:p>
        </w:tc>
        <w:tc>
          <w:tcPr>
            <w:tcW w:w="1155" w:type="dxa"/>
          </w:tcPr>
          <w:p>
            <w:pPr>
              <w:pStyle w:val="0"/>
              <w:jc w:val="center"/>
            </w:pPr>
            <w:r>
              <w:rPr>
                <w:sz w:val="20"/>
              </w:rPr>
              <w:t xml:space="preserve">-</w:t>
            </w:r>
          </w:p>
          <w:p>
            <w:pPr>
              <w:pStyle w:val="0"/>
              <w:jc w:val="center"/>
            </w:pPr>
            <w:hyperlink w:history="0" w:anchor="P956" w:tooltip="7. Горючих жидкостей емкостью, м3">
              <w:r>
                <w:rPr>
                  <w:sz w:val="20"/>
                  <w:color w:val="0000ff"/>
                </w:rPr>
                <w:t xml:space="preserve">&lt;*&gt;</w:t>
              </w:r>
            </w:hyperlink>
          </w:p>
        </w:tc>
        <w:tc>
          <w:tcPr>
            <w:tcW w:w="1320" w:type="dxa"/>
          </w:tcPr>
          <w:p>
            <w:pPr>
              <w:pStyle w:val="0"/>
              <w:jc w:val="center"/>
            </w:pPr>
            <w:r>
              <w:rPr>
                <w:sz w:val="20"/>
              </w:rPr>
              <w:t xml:space="preserve">-</w:t>
            </w:r>
          </w:p>
          <w:p>
            <w:pPr>
              <w:pStyle w:val="0"/>
              <w:jc w:val="center"/>
            </w:pPr>
            <w:hyperlink w:history="0" w:anchor="P956" w:tooltip="7. Горючих жидкостей емкостью, м3">
              <w:r>
                <w:rPr>
                  <w:sz w:val="20"/>
                  <w:color w:val="0000ff"/>
                </w:rPr>
                <w:t xml:space="preserve">&lt;*&gt;</w:t>
              </w:r>
            </w:hyperlink>
          </w:p>
        </w:tc>
        <w:tc>
          <w:tcPr>
            <w:tcW w:w="990" w:type="dxa"/>
          </w:tcPr>
          <w:p>
            <w:pPr>
              <w:pStyle w:val="0"/>
              <w:jc w:val="center"/>
            </w:pPr>
            <w:r>
              <w:rPr>
                <w:sz w:val="20"/>
              </w:rPr>
              <w:t xml:space="preserve">-</w:t>
            </w:r>
          </w:p>
          <w:p>
            <w:pPr>
              <w:pStyle w:val="0"/>
              <w:jc w:val="center"/>
            </w:pPr>
            <w:hyperlink w:history="0" w:anchor="P956" w:tooltip="7. Горючих жидкостей емкостью, м3">
              <w:r>
                <w:rPr>
                  <w:sz w:val="20"/>
                  <w:color w:val="0000ff"/>
                </w:rPr>
                <w:t xml:space="preserve">&lt;*&gt;</w:t>
              </w:r>
            </w:hyperlink>
          </w:p>
        </w:tc>
        <w:tc>
          <w:tcPr>
            <w:tcW w:w="1155" w:type="dxa"/>
          </w:tcPr>
          <w:p>
            <w:pPr>
              <w:pStyle w:val="0"/>
              <w:jc w:val="center"/>
            </w:pPr>
            <w:r>
              <w:rPr>
                <w:sz w:val="20"/>
              </w:rPr>
              <w:t xml:space="preserve">-</w:t>
            </w:r>
          </w:p>
          <w:p>
            <w:pPr>
              <w:pStyle w:val="0"/>
              <w:jc w:val="center"/>
            </w:pPr>
            <w:hyperlink w:history="0" w:anchor="P956" w:tooltip="7. Горючих жидкостей емкостью, м3">
              <w:r>
                <w:rPr>
                  <w:sz w:val="20"/>
                  <w:color w:val="0000ff"/>
                </w:rPr>
                <w:t xml:space="preserve">&lt;*&gt;</w:t>
              </w:r>
            </w:hyperlink>
          </w:p>
        </w:tc>
      </w:tr>
      <w:tr>
        <w:tc>
          <w:tcPr>
            <w:tcW w:w="2805" w:type="dxa"/>
          </w:tcPr>
          <w:p>
            <w:pPr>
              <w:pStyle w:val="0"/>
            </w:pPr>
            <w:r>
              <w:rPr>
                <w:sz w:val="20"/>
              </w:rPr>
              <w:t xml:space="preserve">менее 300</w:t>
            </w:r>
          </w:p>
        </w:tc>
        <w:tc>
          <w:tcPr>
            <w:tcW w:w="1320" w:type="dxa"/>
          </w:tcPr>
          <w:p>
            <w:pPr>
              <w:pStyle w:val="0"/>
              <w:jc w:val="center"/>
            </w:pPr>
            <w:r>
              <w:rPr>
                <w:sz w:val="20"/>
              </w:rPr>
              <w:t xml:space="preserve">12</w:t>
            </w:r>
          </w:p>
        </w:tc>
        <w:tc>
          <w:tcPr>
            <w:tcW w:w="1320" w:type="dxa"/>
          </w:tcPr>
          <w:p>
            <w:pPr>
              <w:pStyle w:val="0"/>
              <w:jc w:val="center"/>
            </w:pPr>
            <w:r>
              <w:rPr>
                <w:sz w:val="20"/>
              </w:rPr>
              <w:t xml:space="preserve">12</w:t>
            </w:r>
          </w:p>
        </w:tc>
        <w:tc>
          <w:tcPr>
            <w:tcW w:w="1980" w:type="dxa"/>
          </w:tcPr>
          <w:p>
            <w:pPr>
              <w:pStyle w:val="0"/>
              <w:jc w:val="center"/>
            </w:pPr>
            <w:r>
              <w:rPr>
                <w:sz w:val="20"/>
              </w:rPr>
              <w:t xml:space="preserve">18</w:t>
            </w:r>
          </w:p>
        </w:tc>
        <w:tc>
          <w:tcPr>
            <w:tcW w:w="1155" w:type="dxa"/>
          </w:tcPr>
          <w:p>
            <w:pPr>
              <w:pStyle w:val="0"/>
              <w:jc w:val="center"/>
            </w:pPr>
            <w:r>
              <w:rPr>
                <w:sz w:val="20"/>
              </w:rPr>
              <w:t xml:space="preserve">6</w:t>
            </w:r>
          </w:p>
        </w:tc>
        <w:tc>
          <w:tcPr>
            <w:tcW w:w="1320" w:type="dxa"/>
          </w:tcPr>
          <w:p>
            <w:pPr>
              <w:pStyle w:val="0"/>
              <w:jc w:val="center"/>
            </w:pPr>
            <w:r>
              <w:rPr>
                <w:sz w:val="20"/>
              </w:rPr>
              <w:t xml:space="preserve">6</w:t>
            </w:r>
          </w:p>
        </w:tc>
        <w:tc>
          <w:tcPr>
            <w:tcW w:w="1155" w:type="dxa"/>
          </w:tcPr>
          <w:p>
            <w:pPr>
              <w:pStyle w:val="0"/>
              <w:jc w:val="center"/>
            </w:pPr>
            <w:r>
              <w:rPr>
                <w:sz w:val="20"/>
              </w:rPr>
              <w:t xml:space="preserve">24</w:t>
            </w:r>
          </w:p>
        </w:tc>
        <w:tc>
          <w:tcPr>
            <w:tcW w:w="1320" w:type="dxa"/>
          </w:tcPr>
          <w:p>
            <w:pPr>
              <w:pStyle w:val="0"/>
              <w:jc w:val="center"/>
            </w:pPr>
            <w:r>
              <w:rPr>
                <w:sz w:val="20"/>
              </w:rPr>
              <w:t xml:space="preserve">24</w:t>
            </w:r>
          </w:p>
        </w:tc>
        <w:tc>
          <w:tcPr>
            <w:tcW w:w="1155" w:type="dxa"/>
          </w:tcPr>
          <w:p>
            <w:pPr>
              <w:pStyle w:val="0"/>
              <w:jc w:val="center"/>
            </w:pPr>
            <w:r>
              <w:rPr>
                <w:sz w:val="20"/>
              </w:rPr>
              <w:t xml:space="preserve">18</w:t>
            </w:r>
          </w:p>
        </w:tc>
        <w:tc>
          <w:tcPr>
            <w:tcW w:w="1320" w:type="dxa"/>
          </w:tcPr>
          <w:p>
            <w:pPr>
              <w:pStyle w:val="0"/>
              <w:jc w:val="center"/>
            </w:pPr>
            <w:r>
              <w:rPr>
                <w:sz w:val="20"/>
              </w:rPr>
              <w:t xml:space="preserve">18</w:t>
            </w:r>
          </w:p>
        </w:tc>
        <w:tc>
          <w:tcPr>
            <w:tcW w:w="1155" w:type="dxa"/>
          </w:tcPr>
          <w:p>
            <w:pPr>
              <w:pStyle w:val="0"/>
              <w:jc w:val="center"/>
            </w:pPr>
            <w:r>
              <w:rPr>
                <w:sz w:val="20"/>
              </w:rPr>
              <w:t xml:space="preserve">24</w:t>
            </w:r>
          </w:p>
        </w:tc>
        <w:tc>
          <w:tcPr>
            <w:tcW w:w="1320" w:type="dxa"/>
          </w:tcPr>
          <w:p>
            <w:pPr>
              <w:pStyle w:val="0"/>
              <w:jc w:val="center"/>
            </w:pPr>
            <w:r>
              <w:rPr>
                <w:sz w:val="20"/>
              </w:rPr>
              <w:t xml:space="preserve">18</w:t>
            </w:r>
          </w:p>
        </w:tc>
        <w:tc>
          <w:tcPr>
            <w:tcW w:w="1155" w:type="dxa"/>
          </w:tcPr>
          <w:p>
            <w:pPr>
              <w:pStyle w:val="0"/>
              <w:jc w:val="center"/>
            </w:pPr>
            <w:r>
              <w:rPr>
                <w:sz w:val="20"/>
              </w:rPr>
              <w:t xml:space="preserve">24</w:t>
            </w:r>
          </w:p>
        </w:tc>
        <w:tc>
          <w:tcPr>
            <w:tcW w:w="1320" w:type="dxa"/>
          </w:tcPr>
          <w:p>
            <w:pPr>
              <w:pStyle w:val="0"/>
              <w:jc w:val="center"/>
            </w:pPr>
            <w:r>
              <w:rPr>
                <w:sz w:val="20"/>
              </w:rPr>
              <w:t xml:space="preserve">18</w:t>
            </w:r>
          </w:p>
        </w:tc>
        <w:tc>
          <w:tcPr>
            <w:tcW w:w="990" w:type="dxa"/>
          </w:tcPr>
          <w:p>
            <w:pPr>
              <w:pStyle w:val="0"/>
              <w:jc w:val="center"/>
            </w:pPr>
            <w:r>
              <w:rPr>
                <w:sz w:val="20"/>
              </w:rPr>
              <w:t xml:space="preserve">-</w:t>
            </w:r>
          </w:p>
          <w:p>
            <w:pPr>
              <w:pStyle w:val="0"/>
              <w:jc w:val="center"/>
            </w:pPr>
            <w:hyperlink w:history="0" w:anchor="P956" w:tooltip="7. Горючих жидкостей емкостью, м3">
              <w:r>
                <w:rPr>
                  <w:sz w:val="20"/>
                  <w:color w:val="0000ff"/>
                </w:rPr>
                <w:t xml:space="preserve">&lt;*&gt;</w:t>
              </w:r>
            </w:hyperlink>
          </w:p>
        </w:tc>
        <w:tc>
          <w:tcPr>
            <w:tcW w:w="990" w:type="dxa"/>
          </w:tcPr>
          <w:p>
            <w:pPr>
              <w:pStyle w:val="0"/>
              <w:jc w:val="center"/>
            </w:pPr>
            <w:r>
              <w:rPr>
                <w:sz w:val="20"/>
              </w:rPr>
              <w:t xml:space="preserve">-</w:t>
            </w:r>
          </w:p>
          <w:p>
            <w:pPr>
              <w:pStyle w:val="0"/>
              <w:jc w:val="center"/>
            </w:pPr>
            <w:hyperlink w:history="0" w:anchor="P956" w:tooltip="7. Горючих жидкостей емкостью, м3">
              <w:r>
                <w:rPr>
                  <w:sz w:val="20"/>
                  <w:color w:val="0000ff"/>
                </w:rPr>
                <w:t xml:space="preserve">&lt;*&gt;</w:t>
              </w:r>
            </w:hyperlink>
          </w:p>
        </w:tc>
        <w:tc>
          <w:tcPr>
            <w:tcW w:w="1155" w:type="dxa"/>
          </w:tcPr>
          <w:p>
            <w:pPr>
              <w:pStyle w:val="0"/>
              <w:jc w:val="center"/>
            </w:pPr>
            <w:r>
              <w:rPr>
                <w:sz w:val="20"/>
              </w:rPr>
              <w:t xml:space="preserve">-</w:t>
            </w:r>
          </w:p>
          <w:p>
            <w:pPr>
              <w:pStyle w:val="0"/>
              <w:jc w:val="center"/>
            </w:pPr>
            <w:hyperlink w:history="0" w:anchor="P956" w:tooltip="7. Горючих жидкостей емкостью, м3">
              <w:r>
                <w:rPr>
                  <w:sz w:val="20"/>
                  <w:color w:val="0000ff"/>
                </w:rPr>
                <w:t xml:space="preserve">&lt;*&gt;</w:t>
              </w:r>
            </w:hyperlink>
          </w:p>
        </w:tc>
        <w:tc>
          <w:tcPr>
            <w:tcW w:w="1320" w:type="dxa"/>
          </w:tcPr>
          <w:p>
            <w:pPr>
              <w:pStyle w:val="0"/>
              <w:jc w:val="center"/>
            </w:pPr>
            <w:r>
              <w:rPr>
                <w:sz w:val="20"/>
              </w:rPr>
              <w:t xml:space="preserve">-</w:t>
            </w:r>
          </w:p>
          <w:p>
            <w:pPr>
              <w:pStyle w:val="0"/>
              <w:jc w:val="center"/>
            </w:pPr>
            <w:hyperlink w:history="0" w:anchor="P956" w:tooltip="7. Горючих жидкостей емкостью, м3">
              <w:r>
                <w:rPr>
                  <w:sz w:val="20"/>
                  <w:color w:val="0000ff"/>
                </w:rPr>
                <w:t xml:space="preserve">&lt;*&gt;</w:t>
              </w:r>
            </w:hyperlink>
          </w:p>
        </w:tc>
        <w:tc>
          <w:tcPr>
            <w:tcW w:w="990" w:type="dxa"/>
          </w:tcPr>
          <w:p>
            <w:pPr>
              <w:pStyle w:val="0"/>
              <w:jc w:val="center"/>
            </w:pPr>
            <w:r>
              <w:rPr>
                <w:sz w:val="20"/>
              </w:rPr>
              <w:t xml:space="preserve">-</w:t>
            </w:r>
          </w:p>
          <w:p>
            <w:pPr>
              <w:pStyle w:val="0"/>
              <w:jc w:val="center"/>
            </w:pPr>
            <w:hyperlink w:history="0" w:anchor="P956" w:tooltip="7. Горючих жидкостей емкостью, м3">
              <w:r>
                <w:rPr>
                  <w:sz w:val="20"/>
                  <w:color w:val="0000ff"/>
                </w:rPr>
                <w:t xml:space="preserve">&lt;*&gt;</w:t>
              </w:r>
            </w:hyperlink>
          </w:p>
        </w:tc>
        <w:tc>
          <w:tcPr>
            <w:tcW w:w="1155" w:type="dxa"/>
          </w:tcPr>
          <w:p>
            <w:pPr>
              <w:pStyle w:val="0"/>
              <w:jc w:val="center"/>
            </w:pPr>
            <w:r>
              <w:rPr>
                <w:sz w:val="20"/>
              </w:rPr>
              <w:t xml:space="preserve">-</w:t>
            </w:r>
          </w:p>
          <w:p>
            <w:pPr>
              <w:pStyle w:val="0"/>
              <w:jc w:val="center"/>
            </w:pPr>
            <w:hyperlink w:history="0" w:anchor="P956" w:tooltip="7. Горючих жидкостей емкостью, м3">
              <w:r>
                <w:rPr>
                  <w:sz w:val="20"/>
                  <w:color w:val="0000ff"/>
                </w:rPr>
                <w:t xml:space="preserve">&lt;*&gt;</w:t>
              </w:r>
            </w:hyperlink>
          </w:p>
        </w:tc>
      </w:tr>
      <w:tr>
        <w:tblPrEx>
          <w:tblBorders>
            <w:insideH w:val="nil"/>
          </w:tblBorders>
        </w:tblPrEx>
        <w:tc>
          <w:tcPr>
            <w:gridSpan w:val="20"/>
            <w:tcW w:w="26400" w:type="dxa"/>
            <w:tcBorders>
              <w:bottom w:val="nil"/>
            </w:tcBorders>
          </w:tcPr>
          <w:bookmarkStart w:id="956" w:name="P956"/>
          <w:bookmarkEnd w:id="956"/>
          <w:p>
            <w:pPr>
              <w:pStyle w:val="0"/>
            </w:pPr>
            <w:r>
              <w:rPr>
                <w:sz w:val="20"/>
              </w:rPr>
              <w:t xml:space="preserve">7. Горючих жидкостей емкостью, м</w:t>
            </w:r>
            <w:r>
              <w:rPr>
                <w:sz w:val="20"/>
                <w:vertAlign w:val="superscript"/>
              </w:rPr>
              <w:t xml:space="preserve">3</w:t>
            </w:r>
          </w:p>
        </w:tc>
      </w:tr>
      <w:tr>
        <w:tblPrEx>
          <w:tblBorders>
            <w:insideH w:val="nil"/>
          </w:tblBorders>
        </w:tblPrEx>
        <w:tc>
          <w:tcPr>
            <w:gridSpan w:val="20"/>
            <w:tcW w:w="26400" w:type="dxa"/>
            <w:tcBorders>
              <w:top w:val="nil"/>
            </w:tcBorders>
          </w:tcPr>
          <w:p>
            <w:pPr>
              <w:pStyle w:val="0"/>
              <w:jc w:val="both"/>
            </w:pPr>
            <w:r>
              <w:rPr>
                <w:sz w:val="20"/>
              </w:rPr>
              <w:t xml:space="preserve">(в ред. </w:t>
            </w:r>
            <w:hyperlink w:history="0" r:id="rId219"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tc>
      </w:tr>
      <w:tr>
        <w:tc>
          <w:tcPr>
            <w:tcW w:w="2805" w:type="dxa"/>
          </w:tcPr>
          <w:p>
            <w:pPr>
              <w:pStyle w:val="0"/>
            </w:pPr>
            <w:r>
              <w:rPr>
                <w:sz w:val="20"/>
              </w:rPr>
              <w:t xml:space="preserve">от 5000 до 10000</w:t>
            </w:r>
          </w:p>
        </w:tc>
        <w:tc>
          <w:tcPr>
            <w:tcW w:w="1320" w:type="dxa"/>
          </w:tcPr>
          <w:p>
            <w:pPr>
              <w:pStyle w:val="0"/>
              <w:jc w:val="center"/>
            </w:pPr>
            <w:r>
              <w:rPr>
                <w:sz w:val="20"/>
              </w:rPr>
              <w:t xml:space="preserve">30</w:t>
            </w:r>
          </w:p>
        </w:tc>
        <w:tc>
          <w:tcPr>
            <w:tcW w:w="1320" w:type="dxa"/>
          </w:tcPr>
          <w:p>
            <w:pPr>
              <w:pStyle w:val="0"/>
              <w:jc w:val="center"/>
            </w:pPr>
            <w:r>
              <w:rPr>
                <w:sz w:val="20"/>
              </w:rPr>
              <w:t xml:space="preserve">30</w:t>
            </w:r>
          </w:p>
        </w:tc>
        <w:tc>
          <w:tcPr>
            <w:tcW w:w="1980" w:type="dxa"/>
          </w:tcPr>
          <w:p>
            <w:pPr>
              <w:pStyle w:val="0"/>
              <w:jc w:val="center"/>
            </w:pPr>
            <w:r>
              <w:rPr>
                <w:sz w:val="20"/>
              </w:rPr>
              <w:t xml:space="preserve">36</w:t>
            </w:r>
          </w:p>
        </w:tc>
        <w:tc>
          <w:tcPr>
            <w:tcW w:w="1155" w:type="dxa"/>
          </w:tcPr>
          <w:p>
            <w:pPr>
              <w:pStyle w:val="0"/>
              <w:jc w:val="center"/>
            </w:pPr>
            <w:r>
              <w:rPr>
                <w:sz w:val="20"/>
              </w:rPr>
              <w:t xml:space="preserve">18</w:t>
            </w:r>
          </w:p>
        </w:tc>
        <w:tc>
          <w:tcPr>
            <w:tcW w:w="1320" w:type="dxa"/>
          </w:tcPr>
          <w:p>
            <w:pPr>
              <w:pStyle w:val="0"/>
              <w:jc w:val="center"/>
            </w:pPr>
            <w:r>
              <w:rPr>
                <w:sz w:val="20"/>
              </w:rPr>
              <w:t xml:space="preserve">18</w:t>
            </w:r>
          </w:p>
        </w:tc>
        <w:tc>
          <w:tcPr>
            <w:tcW w:w="1155" w:type="dxa"/>
          </w:tcPr>
          <w:p>
            <w:pPr>
              <w:pStyle w:val="0"/>
              <w:jc w:val="center"/>
            </w:pPr>
            <w:r>
              <w:rPr>
                <w:sz w:val="20"/>
              </w:rPr>
              <w:t xml:space="preserve">42</w:t>
            </w:r>
          </w:p>
        </w:tc>
        <w:tc>
          <w:tcPr>
            <w:tcW w:w="1320" w:type="dxa"/>
          </w:tcPr>
          <w:p>
            <w:pPr>
              <w:pStyle w:val="0"/>
              <w:jc w:val="center"/>
            </w:pPr>
            <w:r>
              <w:rPr>
                <w:sz w:val="20"/>
              </w:rPr>
              <w:t xml:space="preserve">42</w:t>
            </w:r>
          </w:p>
        </w:tc>
        <w:tc>
          <w:tcPr>
            <w:tcW w:w="1155" w:type="dxa"/>
          </w:tcPr>
          <w:p>
            <w:pPr>
              <w:pStyle w:val="0"/>
              <w:jc w:val="center"/>
            </w:pPr>
            <w:r>
              <w:rPr>
                <w:sz w:val="20"/>
              </w:rPr>
              <w:t xml:space="preserve">36</w:t>
            </w:r>
          </w:p>
        </w:tc>
        <w:tc>
          <w:tcPr>
            <w:tcW w:w="1320" w:type="dxa"/>
          </w:tcPr>
          <w:p>
            <w:pPr>
              <w:pStyle w:val="0"/>
              <w:jc w:val="center"/>
            </w:pPr>
            <w:r>
              <w:rPr>
                <w:sz w:val="20"/>
              </w:rPr>
              <w:t xml:space="preserve">36</w:t>
            </w:r>
          </w:p>
        </w:tc>
        <w:tc>
          <w:tcPr>
            <w:tcW w:w="1155" w:type="dxa"/>
          </w:tcPr>
          <w:p>
            <w:pPr>
              <w:pStyle w:val="0"/>
              <w:jc w:val="center"/>
            </w:pPr>
            <w:r>
              <w:rPr>
                <w:sz w:val="20"/>
              </w:rPr>
              <w:t xml:space="preserve">42</w:t>
            </w:r>
          </w:p>
        </w:tc>
        <w:tc>
          <w:tcPr>
            <w:tcW w:w="1320" w:type="dxa"/>
          </w:tcPr>
          <w:p>
            <w:pPr>
              <w:pStyle w:val="0"/>
              <w:jc w:val="center"/>
            </w:pPr>
            <w:r>
              <w:rPr>
                <w:sz w:val="20"/>
              </w:rPr>
              <w:t xml:space="preserve">36</w:t>
            </w:r>
          </w:p>
        </w:tc>
        <w:tc>
          <w:tcPr>
            <w:tcW w:w="1155" w:type="dxa"/>
          </w:tcPr>
          <w:p>
            <w:pPr>
              <w:pStyle w:val="0"/>
              <w:jc w:val="center"/>
            </w:pPr>
            <w:r>
              <w:rPr>
                <w:sz w:val="20"/>
              </w:rPr>
              <w:t xml:space="preserve">42</w:t>
            </w:r>
          </w:p>
        </w:tc>
        <w:tc>
          <w:tcPr>
            <w:tcW w:w="1320" w:type="dxa"/>
          </w:tcPr>
          <w:p>
            <w:pPr>
              <w:pStyle w:val="0"/>
              <w:jc w:val="center"/>
            </w:pPr>
            <w:r>
              <w:rPr>
                <w:sz w:val="20"/>
              </w:rPr>
              <w:t xml:space="preserve">36</w:t>
            </w:r>
          </w:p>
        </w:tc>
        <w:tc>
          <w:tcPr>
            <w:tcW w:w="990" w:type="dxa"/>
          </w:tcPr>
          <w:p>
            <w:pPr>
              <w:pStyle w:val="0"/>
              <w:jc w:val="center"/>
            </w:pPr>
            <w:r>
              <w:rPr>
                <w:sz w:val="20"/>
              </w:rPr>
              <w:t xml:space="preserve">- &lt;*&gt;</w:t>
            </w:r>
          </w:p>
        </w:tc>
        <w:tc>
          <w:tcPr>
            <w:tcW w:w="990" w:type="dxa"/>
          </w:tcPr>
          <w:p>
            <w:pPr>
              <w:pStyle w:val="0"/>
              <w:jc w:val="center"/>
            </w:pPr>
            <w:r>
              <w:rPr>
                <w:sz w:val="20"/>
              </w:rPr>
              <w:t xml:space="preserve">- &lt;*&gt;</w:t>
            </w:r>
          </w:p>
        </w:tc>
        <w:tc>
          <w:tcPr>
            <w:tcW w:w="1155" w:type="dxa"/>
          </w:tcPr>
          <w:p>
            <w:pPr>
              <w:pStyle w:val="0"/>
              <w:jc w:val="center"/>
            </w:pPr>
            <w:r>
              <w:rPr>
                <w:sz w:val="20"/>
              </w:rPr>
              <w:t xml:space="preserve">- &lt;*&gt;</w:t>
            </w:r>
          </w:p>
        </w:tc>
        <w:tc>
          <w:tcPr>
            <w:tcW w:w="1320" w:type="dxa"/>
          </w:tcPr>
          <w:p>
            <w:pPr>
              <w:pStyle w:val="0"/>
              <w:jc w:val="center"/>
            </w:pPr>
            <w:r>
              <w:rPr>
                <w:sz w:val="20"/>
              </w:rPr>
              <w:t xml:space="preserve">- &lt;*&gt;</w:t>
            </w:r>
          </w:p>
        </w:tc>
        <w:tc>
          <w:tcPr>
            <w:tcW w:w="990" w:type="dxa"/>
          </w:tcPr>
          <w:p>
            <w:pPr>
              <w:pStyle w:val="0"/>
              <w:jc w:val="center"/>
            </w:pPr>
            <w:r>
              <w:rPr>
                <w:sz w:val="20"/>
              </w:rPr>
              <w:t xml:space="preserve">- &lt;*&gt;</w:t>
            </w:r>
          </w:p>
        </w:tc>
        <w:tc>
          <w:tcPr>
            <w:tcW w:w="1155" w:type="dxa"/>
          </w:tcPr>
          <w:p>
            <w:pPr>
              <w:pStyle w:val="0"/>
              <w:jc w:val="center"/>
            </w:pPr>
            <w:r>
              <w:rPr>
                <w:sz w:val="20"/>
              </w:rPr>
              <w:t xml:space="preserve">- &lt;*&gt;</w:t>
            </w:r>
          </w:p>
        </w:tc>
      </w:tr>
      <w:tr>
        <w:tc>
          <w:tcPr>
            <w:tcW w:w="2805" w:type="dxa"/>
          </w:tcPr>
          <w:p>
            <w:pPr>
              <w:pStyle w:val="0"/>
            </w:pPr>
            <w:r>
              <w:rPr>
                <w:sz w:val="20"/>
              </w:rPr>
              <w:t xml:space="preserve">от 3000 до 5000</w:t>
            </w:r>
          </w:p>
        </w:tc>
        <w:tc>
          <w:tcPr>
            <w:tcW w:w="1320" w:type="dxa"/>
          </w:tcPr>
          <w:p>
            <w:pPr>
              <w:pStyle w:val="0"/>
              <w:jc w:val="center"/>
            </w:pPr>
            <w:r>
              <w:rPr>
                <w:sz w:val="20"/>
              </w:rPr>
              <w:t xml:space="preserve">24</w:t>
            </w:r>
          </w:p>
        </w:tc>
        <w:tc>
          <w:tcPr>
            <w:tcW w:w="1320" w:type="dxa"/>
          </w:tcPr>
          <w:p>
            <w:pPr>
              <w:pStyle w:val="0"/>
              <w:jc w:val="center"/>
            </w:pPr>
            <w:r>
              <w:rPr>
                <w:sz w:val="20"/>
              </w:rPr>
              <w:t xml:space="preserve">24</w:t>
            </w:r>
          </w:p>
        </w:tc>
        <w:tc>
          <w:tcPr>
            <w:tcW w:w="1980" w:type="dxa"/>
          </w:tcPr>
          <w:p>
            <w:pPr>
              <w:pStyle w:val="0"/>
              <w:jc w:val="center"/>
            </w:pPr>
            <w:r>
              <w:rPr>
                <w:sz w:val="20"/>
              </w:rPr>
              <w:t xml:space="preserve">30</w:t>
            </w:r>
          </w:p>
        </w:tc>
        <w:tc>
          <w:tcPr>
            <w:tcW w:w="1155" w:type="dxa"/>
          </w:tcPr>
          <w:p>
            <w:pPr>
              <w:pStyle w:val="0"/>
              <w:jc w:val="center"/>
            </w:pPr>
            <w:r>
              <w:rPr>
                <w:sz w:val="20"/>
              </w:rPr>
              <w:t xml:space="preserve">12</w:t>
            </w:r>
          </w:p>
        </w:tc>
        <w:tc>
          <w:tcPr>
            <w:tcW w:w="1320" w:type="dxa"/>
          </w:tcPr>
          <w:p>
            <w:pPr>
              <w:pStyle w:val="0"/>
              <w:jc w:val="center"/>
            </w:pPr>
            <w:r>
              <w:rPr>
                <w:sz w:val="20"/>
              </w:rPr>
              <w:t xml:space="preserve">12</w:t>
            </w:r>
          </w:p>
        </w:tc>
        <w:tc>
          <w:tcPr>
            <w:tcW w:w="1155" w:type="dxa"/>
          </w:tcPr>
          <w:p>
            <w:pPr>
              <w:pStyle w:val="0"/>
              <w:jc w:val="center"/>
            </w:pPr>
            <w:r>
              <w:rPr>
                <w:sz w:val="20"/>
              </w:rPr>
              <w:t xml:space="preserve">36</w:t>
            </w:r>
          </w:p>
        </w:tc>
        <w:tc>
          <w:tcPr>
            <w:tcW w:w="1320" w:type="dxa"/>
          </w:tcPr>
          <w:p>
            <w:pPr>
              <w:pStyle w:val="0"/>
              <w:jc w:val="center"/>
            </w:pPr>
            <w:r>
              <w:rPr>
                <w:sz w:val="20"/>
              </w:rPr>
              <w:t xml:space="preserve">36</w:t>
            </w:r>
          </w:p>
        </w:tc>
        <w:tc>
          <w:tcPr>
            <w:tcW w:w="1155" w:type="dxa"/>
          </w:tcPr>
          <w:p>
            <w:pPr>
              <w:pStyle w:val="0"/>
              <w:jc w:val="center"/>
            </w:pPr>
            <w:r>
              <w:rPr>
                <w:sz w:val="20"/>
              </w:rPr>
              <w:t xml:space="preserve">30</w:t>
            </w:r>
          </w:p>
        </w:tc>
        <w:tc>
          <w:tcPr>
            <w:tcW w:w="1320" w:type="dxa"/>
          </w:tcPr>
          <w:p>
            <w:pPr>
              <w:pStyle w:val="0"/>
              <w:jc w:val="center"/>
            </w:pPr>
            <w:r>
              <w:rPr>
                <w:sz w:val="20"/>
              </w:rPr>
              <w:t xml:space="preserve">30</w:t>
            </w:r>
          </w:p>
        </w:tc>
        <w:tc>
          <w:tcPr>
            <w:tcW w:w="1155" w:type="dxa"/>
          </w:tcPr>
          <w:p>
            <w:pPr>
              <w:pStyle w:val="0"/>
              <w:jc w:val="center"/>
            </w:pPr>
            <w:r>
              <w:rPr>
                <w:sz w:val="20"/>
              </w:rPr>
              <w:t xml:space="preserve">36</w:t>
            </w:r>
          </w:p>
        </w:tc>
        <w:tc>
          <w:tcPr>
            <w:tcW w:w="1320" w:type="dxa"/>
          </w:tcPr>
          <w:p>
            <w:pPr>
              <w:pStyle w:val="0"/>
              <w:jc w:val="center"/>
            </w:pPr>
            <w:r>
              <w:rPr>
                <w:sz w:val="20"/>
              </w:rPr>
              <w:t xml:space="preserve">30</w:t>
            </w:r>
          </w:p>
        </w:tc>
        <w:tc>
          <w:tcPr>
            <w:tcW w:w="1155" w:type="dxa"/>
          </w:tcPr>
          <w:p>
            <w:pPr>
              <w:pStyle w:val="0"/>
              <w:jc w:val="center"/>
            </w:pPr>
            <w:r>
              <w:rPr>
                <w:sz w:val="20"/>
              </w:rPr>
              <w:t xml:space="preserve">36</w:t>
            </w:r>
          </w:p>
        </w:tc>
        <w:tc>
          <w:tcPr>
            <w:tcW w:w="1320" w:type="dxa"/>
          </w:tcPr>
          <w:p>
            <w:pPr>
              <w:pStyle w:val="0"/>
              <w:jc w:val="center"/>
            </w:pPr>
            <w:r>
              <w:rPr>
                <w:sz w:val="20"/>
              </w:rPr>
              <w:t xml:space="preserve">30</w:t>
            </w:r>
          </w:p>
        </w:tc>
        <w:tc>
          <w:tcPr>
            <w:tcW w:w="990" w:type="dxa"/>
          </w:tcPr>
          <w:p>
            <w:pPr>
              <w:pStyle w:val="0"/>
              <w:jc w:val="center"/>
            </w:pPr>
            <w:r>
              <w:rPr>
                <w:sz w:val="20"/>
              </w:rPr>
              <w:t xml:space="preserve">- &lt;*&gt;</w:t>
            </w:r>
          </w:p>
        </w:tc>
        <w:tc>
          <w:tcPr>
            <w:tcW w:w="990" w:type="dxa"/>
          </w:tcPr>
          <w:p>
            <w:pPr>
              <w:pStyle w:val="0"/>
              <w:jc w:val="center"/>
            </w:pPr>
            <w:r>
              <w:rPr>
                <w:sz w:val="20"/>
              </w:rPr>
              <w:t xml:space="preserve">- &lt;*&gt;</w:t>
            </w:r>
          </w:p>
        </w:tc>
        <w:tc>
          <w:tcPr>
            <w:tcW w:w="1155" w:type="dxa"/>
          </w:tcPr>
          <w:p>
            <w:pPr>
              <w:pStyle w:val="0"/>
              <w:jc w:val="center"/>
            </w:pPr>
            <w:r>
              <w:rPr>
                <w:sz w:val="20"/>
              </w:rPr>
              <w:t xml:space="preserve">- &lt;*&gt;</w:t>
            </w:r>
          </w:p>
        </w:tc>
        <w:tc>
          <w:tcPr>
            <w:tcW w:w="1320" w:type="dxa"/>
          </w:tcPr>
          <w:p>
            <w:pPr>
              <w:pStyle w:val="0"/>
              <w:jc w:val="center"/>
            </w:pPr>
            <w:r>
              <w:rPr>
                <w:sz w:val="20"/>
              </w:rPr>
              <w:t xml:space="preserve">- &lt;*&gt;</w:t>
            </w:r>
          </w:p>
        </w:tc>
        <w:tc>
          <w:tcPr>
            <w:tcW w:w="990" w:type="dxa"/>
          </w:tcPr>
          <w:p>
            <w:pPr>
              <w:pStyle w:val="0"/>
              <w:jc w:val="center"/>
            </w:pPr>
            <w:r>
              <w:rPr>
                <w:sz w:val="20"/>
              </w:rPr>
              <w:t xml:space="preserve">- &lt;*&gt;</w:t>
            </w:r>
          </w:p>
        </w:tc>
        <w:tc>
          <w:tcPr>
            <w:tcW w:w="1155" w:type="dxa"/>
          </w:tcPr>
          <w:p>
            <w:pPr>
              <w:pStyle w:val="0"/>
              <w:jc w:val="center"/>
            </w:pPr>
            <w:r>
              <w:rPr>
                <w:sz w:val="20"/>
              </w:rPr>
              <w:t xml:space="preserve">- &lt;*&gt;</w:t>
            </w:r>
          </w:p>
        </w:tc>
      </w:tr>
      <w:tr>
        <w:tc>
          <w:tcPr>
            <w:tcW w:w="2805" w:type="dxa"/>
          </w:tcPr>
          <w:p>
            <w:pPr>
              <w:pStyle w:val="0"/>
            </w:pPr>
            <w:r>
              <w:rPr>
                <w:sz w:val="20"/>
              </w:rPr>
              <w:t xml:space="preserve">от 1500 до 3000</w:t>
            </w:r>
          </w:p>
        </w:tc>
        <w:tc>
          <w:tcPr>
            <w:tcW w:w="1320" w:type="dxa"/>
          </w:tcPr>
          <w:p>
            <w:pPr>
              <w:pStyle w:val="0"/>
              <w:jc w:val="center"/>
            </w:pPr>
            <w:r>
              <w:rPr>
                <w:sz w:val="20"/>
              </w:rPr>
              <w:t xml:space="preserve">18</w:t>
            </w:r>
          </w:p>
        </w:tc>
        <w:tc>
          <w:tcPr>
            <w:tcW w:w="1320" w:type="dxa"/>
          </w:tcPr>
          <w:p>
            <w:pPr>
              <w:pStyle w:val="0"/>
              <w:jc w:val="center"/>
            </w:pPr>
            <w:r>
              <w:rPr>
                <w:sz w:val="20"/>
              </w:rPr>
              <w:t xml:space="preserve">18</w:t>
            </w:r>
          </w:p>
        </w:tc>
        <w:tc>
          <w:tcPr>
            <w:tcW w:w="1980" w:type="dxa"/>
          </w:tcPr>
          <w:p>
            <w:pPr>
              <w:pStyle w:val="0"/>
              <w:jc w:val="center"/>
            </w:pPr>
            <w:r>
              <w:rPr>
                <w:sz w:val="20"/>
              </w:rPr>
              <w:t xml:space="preserve">24</w:t>
            </w:r>
          </w:p>
        </w:tc>
        <w:tc>
          <w:tcPr>
            <w:tcW w:w="1155" w:type="dxa"/>
          </w:tcPr>
          <w:p>
            <w:pPr>
              <w:pStyle w:val="0"/>
              <w:jc w:val="center"/>
            </w:pPr>
            <w:r>
              <w:rPr>
                <w:sz w:val="20"/>
              </w:rPr>
              <w:t xml:space="preserve">6</w:t>
            </w:r>
          </w:p>
        </w:tc>
        <w:tc>
          <w:tcPr>
            <w:tcW w:w="1320" w:type="dxa"/>
          </w:tcPr>
          <w:p>
            <w:pPr>
              <w:pStyle w:val="0"/>
              <w:jc w:val="center"/>
            </w:pPr>
            <w:r>
              <w:rPr>
                <w:sz w:val="20"/>
              </w:rPr>
              <w:t xml:space="preserve">6</w:t>
            </w:r>
          </w:p>
        </w:tc>
        <w:tc>
          <w:tcPr>
            <w:tcW w:w="1155" w:type="dxa"/>
          </w:tcPr>
          <w:p>
            <w:pPr>
              <w:pStyle w:val="0"/>
              <w:jc w:val="center"/>
            </w:pPr>
            <w:r>
              <w:rPr>
                <w:sz w:val="20"/>
              </w:rPr>
              <w:t xml:space="preserve">30</w:t>
            </w:r>
          </w:p>
        </w:tc>
        <w:tc>
          <w:tcPr>
            <w:tcW w:w="1320" w:type="dxa"/>
          </w:tcPr>
          <w:p>
            <w:pPr>
              <w:pStyle w:val="0"/>
              <w:jc w:val="center"/>
            </w:pPr>
            <w:r>
              <w:rPr>
                <w:sz w:val="20"/>
              </w:rPr>
              <w:t xml:space="preserve">30</w:t>
            </w:r>
          </w:p>
        </w:tc>
        <w:tc>
          <w:tcPr>
            <w:tcW w:w="1155" w:type="dxa"/>
          </w:tcPr>
          <w:p>
            <w:pPr>
              <w:pStyle w:val="0"/>
              <w:jc w:val="center"/>
            </w:pPr>
            <w:r>
              <w:rPr>
                <w:sz w:val="20"/>
              </w:rPr>
              <w:t xml:space="preserve">24</w:t>
            </w:r>
          </w:p>
        </w:tc>
        <w:tc>
          <w:tcPr>
            <w:tcW w:w="1320" w:type="dxa"/>
          </w:tcPr>
          <w:p>
            <w:pPr>
              <w:pStyle w:val="0"/>
              <w:jc w:val="center"/>
            </w:pPr>
            <w:r>
              <w:rPr>
                <w:sz w:val="20"/>
              </w:rPr>
              <w:t xml:space="preserve">24</w:t>
            </w:r>
          </w:p>
        </w:tc>
        <w:tc>
          <w:tcPr>
            <w:tcW w:w="1155" w:type="dxa"/>
          </w:tcPr>
          <w:p>
            <w:pPr>
              <w:pStyle w:val="0"/>
              <w:jc w:val="center"/>
            </w:pPr>
            <w:r>
              <w:rPr>
                <w:sz w:val="20"/>
              </w:rPr>
              <w:t xml:space="preserve">30</w:t>
            </w:r>
          </w:p>
        </w:tc>
        <w:tc>
          <w:tcPr>
            <w:tcW w:w="1320" w:type="dxa"/>
          </w:tcPr>
          <w:p>
            <w:pPr>
              <w:pStyle w:val="0"/>
              <w:jc w:val="center"/>
            </w:pPr>
            <w:r>
              <w:rPr>
                <w:sz w:val="20"/>
              </w:rPr>
              <w:t xml:space="preserve">24</w:t>
            </w:r>
          </w:p>
        </w:tc>
        <w:tc>
          <w:tcPr>
            <w:tcW w:w="1155" w:type="dxa"/>
          </w:tcPr>
          <w:p>
            <w:pPr>
              <w:pStyle w:val="0"/>
              <w:jc w:val="center"/>
            </w:pPr>
            <w:r>
              <w:rPr>
                <w:sz w:val="20"/>
              </w:rPr>
              <w:t xml:space="preserve">30</w:t>
            </w:r>
          </w:p>
        </w:tc>
        <w:tc>
          <w:tcPr>
            <w:tcW w:w="1320" w:type="dxa"/>
          </w:tcPr>
          <w:p>
            <w:pPr>
              <w:pStyle w:val="0"/>
              <w:jc w:val="center"/>
            </w:pPr>
            <w:r>
              <w:rPr>
                <w:sz w:val="20"/>
              </w:rPr>
              <w:t xml:space="preserve">24</w:t>
            </w:r>
          </w:p>
        </w:tc>
        <w:tc>
          <w:tcPr>
            <w:tcW w:w="990" w:type="dxa"/>
          </w:tcPr>
          <w:p>
            <w:pPr>
              <w:pStyle w:val="0"/>
              <w:jc w:val="center"/>
            </w:pPr>
            <w:r>
              <w:rPr>
                <w:sz w:val="20"/>
              </w:rPr>
              <w:t xml:space="preserve">- &lt;*&gt;</w:t>
            </w:r>
          </w:p>
        </w:tc>
        <w:tc>
          <w:tcPr>
            <w:tcW w:w="990" w:type="dxa"/>
          </w:tcPr>
          <w:p>
            <w:pPr>
              <w:pStyle w:val="0"/>
              <w:jc w:val="center"/>
            </w:pPr>
            <w:r>
              <w:rPr>
                <w:sz w:val="20"/>
              </w:rPr>
              <w:t xml:space="preserve">- &lt;*&gt;</w:t>
            </w:r>
          </w:p>
        </w:tc>
        <w:tc>
          <w:tcPr>
            <w:tcW w:w="1155" w:type="dxa"/>
          </w:tcPr>
          <w:p>
            <w:pPr>
              <w:pStyle w:val="0"/>
              <w:jc w:val="center"/>
            </w:pPr>
            <w:r>
              <w:rPr>
                <w:sz w:val="20"/>
              </w:rPr>
              <w:t xml:space="preserve">- &lt;*&gt;</w:t>
            </w:r>
          </w:p>
        </w:tc>
        <w:tc>
          <w:tcPr>
            <w:tcW w:w="1320" w:type="dxa"/>
          </w:tcPr>
          <w:p>
            <w:pPr>
              <w:pStyle w:val="0"/>
              <w:jc w:val="center"/>
            </w:pPr>
            <w:r>
              <w:rPr>
                <w:sz w:val="20"/>
              </w:rPr>
              <w:t xml:space="preserve">- &lt;*&gt;</w:t>
            </w:r>
          </w:p>
        </w:tc>
        <w:tc>
          <w:tcPr>
            <w:tcW w:w="990" w:type="dxa"/>
          </w:tcPr>
          <w:p>
            <w:pPr>
              <w:pStyle w:val="0"/>
              <w:jc w:val="center"/>
            </w:pPr>
            <w:r>
              <w:rPr>
                <w:sz w:val="20"/>
              </w:rPr>
              <w:t xml:space="preserve">- &lt;*&gt;</w:t>
            </w:r>
          </w:p>
        </w:tc>
        <w:tc>
          <w:tcPr>
            <w:tcW w:w="1155" w:type="dxa"/>
          </w:tcPr>
          <w:p>
            <w:pPr>
              <w:pStyle w:val="0"/>
              <w:jc w:val="center"/>
            </w:pPr>
            <w:r>
              <w:rPr>
                <w:sz w:val="20"/>
              </w:rPr>
              <w:t xml:space="preserve">- &lt;*&gt;</w:t>
            </w:r>
          </w:p>
        </w:tc>
      </w:tr>
      <w:tr>
        <w:tc>
          <w:tcPr>
            <w:tcW w:w="2805" w:type="dxa"/>
          </w:tcPr>
          <w:p>
            <w:pPr>
              <w:pStyle w:val="0"/>
            </w:pPr>
            <w:r>
              <w:rPr>
                <w:sz w:val="20"/>
              </w:rPr>
              <w:t xml:space="preserve">менее 1500</w:t>
            </w:r>
          </w:p>
        </w:tc>
        <w:tc>
          <w:tcPr>
            <w:tcW w:w="1320" w:type="dxa"/>
          </w:tcPr>
          <w:p>
            <w:pPr>
              <w:pStyle w:val="0"/>
              <w:jc w:val="center"/>
            </w:pPr>
            <w:r>
              <w:rPr>
                <w:sz w:val="20"/>
              </w:rPr>
              <w:t xml:space="preserve">12</w:t>
            </w:r>
          </w:p>
        </w:tc>
        <w:tc>
          <w:tcPr>
            <w:tcW w:w="1320" w:type="dxa"/>
          </w:tcPr>
          <w:p>
            <w:pPr>
              <w:pStyle w:val="0"/>
              <w:jc w:val="center"/>
            </w:pPr>
            <w:r>
              <w:rPr>
                <w:sz w:val="20"/>
              </w:rPr>
              <w:t xml:space="preserve">12</w:t>
            </w:r>
          </w:p>
        </w:tc>
        <w:tc>
          <w:tcPr>
            <w:tcW w:w="1980" w:type="dxa"/>
          </w:tcPr>
          <w:p>
            <w:pPr>
              <w:pStyle w:val="0"/>
              <w:jc w:val="center"/>
            </w:pPr>
            <w:r>
              <w:rPr>
                <w:sz w:val="20"/>
              </w:rPr>
              <w:t xml:space="preserve">18</w:t>
            </w:r>
          </w:p>
        </w:tc>
        <w:tc>
          <w:tcPr>
            <w:tcW w:w="1155" w:type="dxa"/>
          </w:tcPr>
          <w:p>
            <w:pPr>
              <w:pStyle w:val="0"/>
              <w:jc w:val="center"/>
            </w:pPr>
            <w:r>
              <w:rPr>
                <w:sz w:val="20"/>
              </w:rPr>
              <w:t xml:space="preserve">6</w:t>
            </w:r>
          </w:p>
        </w:tc>
        <w:tc>
          <w:tcPr>
            <w:tcW w:w="1320" w:type="dxa"/>
          </w:tcPr>
          <w:p>
            <w:pPr>
              <w:pStyle w:val="0"/>
              <w:jc w:val="center"/>
            </w:pPr>
            <w:r>
              <w:rPr>
                <w:sz w:val="20"/>
              </w:rPr>
              <w:t xml:space="preserve">6</w:t>
            </w:r>
          </w:p>
        </w:tc>
        <w:tc>
          <w:tcPr>
            <w:tcW w:w="1155" w:type="dxa"/>
          </w:tcPr>
          <w:p>
            <w:pPr>
              <w:pStyle w:val="0"/>
              <w:jc w:val="center"/>
            </w:pPr>
            <w:r>
              <w:rPr>
                <w:sz w:val="20"/>
              </w:rPr>
              <w:t xml:space="preserve">24</w:t>
            </w:r>
          </w:p>
        </w:tc>
        <w:tc>
          <w:tcPr>
            <w:tcW w:w="1320" w:type="dxa"/>
          </w:tcPr>
          <w:p>
            <w:pPr>
              <w:pStyle w:val="0"/>
              <w:jc w:val="center"/>
            </w:pPr>
            <w:r>
              <w:rPr>
                <w:sz w:val="20"/>
              </w:rPr>
              <w:t xml:space="preserve">24</w:t>
            </w:r>
          </w:p>
        </w:tc>
        <w:tc>
          <w:tcPr>
            <w:tcW w:w="1155" w:type="dxa"/>
          </w:tcPr>
          <w:p>
            <w:pPr>
              <w:pStyle w:val="0"/>
              <w:jc w:val="center"/>
            </w:pPr>
            <w:r>
              <w:rPr>
                <w:sz w:val="20"/>
              </w:rPr>
              <w:t xml:space="preserve">18</w:t>
            </w:r>
          </w:p>
        </w:tc>
        <w:tc>
          <w:tcPr>
            <w:tcW w:w="1320" w:type="dxa"/>
          </w:tcPr>
          <w:p>
            <w:pPr>
              <w:pStyle w:val="0"/>
              <w:jc w:val="center"/>
            </w:pPr>
            <w:r>
              <w:rPr>
                <w:sz w:val="20"/>
              </w:rPr>
              <w:t xml:space="preserve">18</w:t>
            </w:r>
          </w:p>
        </w:tc>
        <w:tc>
          <w:tcPr>
            <w:tcW w:w="1155" w:type="dxa"/>
          </w:tcPr>
          <w:p>
            <w:pPr>
              <w:pStyle w:val="0"/>
              <w:jc w:val="center"/>
            </w:pPr>
            <w:r>
              <w:rPr>
                <w:sz w:val="20"/>
              </w:rPr>
              <w:t xml:space="preserve">24</w:t>
            </w:r>
          </w:p>
        </w:tc>
        <w:tc>
          <w:tcPr>
            <w:tcW w:w="1320" w:type="dxa"/>
          </w:tcPr>
          <w:p>
            <w:pPr>
              <w:pStyle w:val="0"/>
              <w:jc w:val="center"/>
            </w:pPr>
            <w:r>
              <w:rPr>
                <w:sz w:val="20"/>
              </w:rPr>
              <w:t xml:space="preserve">18</w:t>
            </w:r>
          </w:p>
        </w:tc>
        <w:tc>
          <w:tcPr>
            <w:tcW w:w="1155" w:type="dxa"/>
          </w:tcPr>
          <w:p>
            <w:pPr>
              <w:pStyle w:val="0"/>
              <w:jc w:val="center"/>
            </w:pPr>
            <w:r>
              <w:rPr>
                <w:sz w:val="20"/>
              </w:rPr>
              <w:t xml:space="preserve">24</w:t>
            </w:r>
          </w:p>
        </w:tc>
        <w:tc>
          <w:tcPr>
            <w:tcW w:w="1320" w:type="dxa"/>
          </w:tcPr>
          <w:p>
            <w:pPr>
              <w:pStyle w:val="0"/>
              <w:jc w:val="center"/>
            </w:pPr>
            <w:r>
              <w:rPr>
                <w:sz w:val="20"/>
              </w:rPr>
              <w:t xml:space="preserve">18</w:t>
            </w:r>
          </w:p>
        </w:tc>
        <w:tc>
          <w:tcPr>
            <w:tcW w:w="990" w:type="dxa"/>
          </w:tcPr>
          <w:p>
            <w:pPr>
              <w:pStyle w:val="0"/>
              <w:jc w:val="center"/>
            </w:pPr>
            <w:r>
              <w:rPr>
                <w:sz w:val="20"/>
              </w:rPr>
              <w:t xml:space="preserve">- &lt;*&gt;</w:t>
            </w:r>
          </w:p>
        </w:tc>
        <w:tc>
          <w:tcPr>
            <w:tcW w:w="990" w:type="dxa"/>
          </w:tcPr>
          <w:p>
            <w:pPr>
              <w:pStyle w:val="0"/>
              <w:jc w:val="center"/>
            </w:pPr>
            <w:r>
              <w:rPr>
                <w:sz w:val="20"/>
              </w:rPr>
              <w:t xml:space="preserve">- &lt;*&gt;</w:t>
            </w:r>
          </w:p>
        </w:tc>
        <w:tc>
          <w:tcPr>
            <w:tcW w:w="1155" w:type="dxa"/>
          </w:tcPr>
          <w:p>
            <w:pPr>
              <w:pStyle w:val="0"/>
              <w:jc w:val="center"/>
            </w:pPr>
            <w:r>
              <w:rPr>
                <w:sz w:val="20"/>
              </w:rPr>
              <w:t xml:space="preserve">- &lt;*&gt;</w:t>
            </w:r>
          </w:p>
        </w:tc>
        <w:tc>
          <w:tcPr>
            <w:tcW w:w="1320" w:type="dxa"/>
          </w:tcPr>
          <w:p>
            <w:pPr>
              <w:pStyle w:val="0"/>
              <w:jc w:val="center"/>
            </w:pPr>
            <w:r>
              <w:rPr>
                <w:sz w:val="20"/>
              </w:rPr>
              <w:t xml:space="preserve">- &lt;*&gt;</w:t>
            </w:r>
          </w:p>
        </w:tc>
        <w:tc>
          <w:tcPr>
            <w:tcW w:w="990" w:type="dxa"/>
          </w:tcPr>
          <w:p>
            <w:pPr>
              <w:pStyle w:val="0"/>
              <w:jc w:val="center"/>
            </w:pPr>
            <w:r>
              <w:rPr>
                <w:sz w:val="20"/>
              </w:rPr>
              <w:t xml:space="preserve">- &lt;*&gt;</w:t>
            </w:r>
          </w:p>
        </w:tc>
        <w:tc>
          <w:tcPr>
            <w:tcW w:w="1155" w:type="dxa"/>
          </w:tcPr>
          <w:p>
            <w:pPr>
              <w:pStyle w:val="0"/>
              <w:jc w:val="center"/>
            </w:pPr>
            <w:r>
              <w:rPr>
                <w:sz w:val="20"/>
              </w:rPr>
              <w:t xml:space="preserve">- &lt;*&gt;</w:t>
            </w:r>
          </w:p>
        </w:tc>
      </w:tr>
      <w:tr>
        <w:tc>
          <w:tcPr>
            <w:gridSpan w:val="20"/>
            <w:tcW w:w="26400" w:type="dxa"/>
          </w:tcPr>
          <w:p>
            <w:pPr>
              <w:pStyle w:val="0"/>
              <w:ind w:firstLine="283"/>
              <w:jc w:val="both"/>
            </w:pPr>
            <w:r>
              <w:rPr>
                <w:sz w:val="20"/>
              </w:rPr>
              <w:t xml:space="preserve">--------------------------------</w:t>
            </w:r>
          </w:p>
          <w:p>
            <w:pPr>
              <w:pStyle w:val="0"/>
              <w:ind w:firstLine="283"/>
              <w:jc w:val="both"/>
            </w:pPr>
            <w:r>
              <w:rPr>
                <w:sz w:val="20"/>
              </w:rPr>
              <w:t xml:space="preserve">&lt;*&gt; Размещение одинаковых материалов (в том числе фрезерного и кускового торфа или легковоспламеняющихся и горючих жидкостей) в двух или нескольких складах не допускается.</w:t>
            </w:r>
          </w:p>
        </w:tc>
      </w:tr>
    </w:tbl>
    <w:p>
      <w:pPr>
        <w:sectPr>
          <w:headerReference w:type="default" r:id="rId212"/>
          <w:headerReference w:type="first" r:id="rId212"/>
          <w:footerReference w:type="default" r:id="rId213"/>
          <w:footerReference w:type="first" r:id="rId213"/>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6.1.8. Для складов пиленых лесоматериалов, а также для складов самовозгорающихся углей при высоте штабеля более 2,5 м расстояния, указанные в таблице 4 для зданий III степени огнестойкости классов С2 и С3, IV степени огнестойкости классов С1, С2 и С3 и V степени огнестойкости надлежит увеличивать на 25%.</w:t>
      </w:r>
    </w:p>
    <w:p>
      <w:pPr>
        <w:pStyle w:val="0"/>
        <w:spacing w:before="200" w:line-rule="auto"/>
        <w:ind w:firstLine="540"/>
        <w:jc w:val="both"/>
      </w:pPr>
      <w:r>
        <w:rPr>
          <w:sz w:val="20"/>
        </w:rPr>
        <w:t xml:space="preserve">6.1.9. Расстояния, указанные в </w:t>
      </w:r>
      <w:hyperlink w:history="0" w:anchor="P612" w:tooltip="Таблица 4">
        <w:r>
          <w:rPr>
            <w:sz w:val="20"/>
            <w:color w:val="0000ff"/>
          </w:rPr>
          <w:t xml:space="preserve">таблице 4</w:t>
        </w:r>
      </w:hyperlink>
      <w:r>
        <w:rPr>
          <w:sz w:val="20"/>
        </w:rPr>
        <w:t xml:space="preserve"> от складов торфа (фрезерного и кускового), лесоматериалов, легковоспламеняющихся и горючих жидкостей до зданий категорий А и Б надлежит увеличивать на 25%.</w:t>
      </w:r>
    </w:p>
    <w:p>
      <w:pPr>
        <w:pStyle w:val="0"/>
        <w:spacing w:before="200" w:line-rule="auto"/>
        <w:ind w:firstLine="540"/>
        <w:jc w:val="both"/>
      </w:pPr>
      <w:r>
        <w:rPr>
          <w:sz w:val="20"/>
        </w:rPr>
        <w:t xml:space="preserve">6.1.10. При совместном хранении легковоспламеняющихся и горючих жидкостей приведенная емкость склада не должна превышать количеств, указанных в </w:t>
      </w:r>
      <w:hyperlink w:history="0" w:anchor="P612" w:tooltip="Таблица 4">
        <w:r>
          <w:rPr>
            <w:sz w:val="20"/>
            <w:color w:val="0000ff"/>
          </w:rPr>
          <w:t xml:space="preserve">таблице 4</w:t>
        </w:r>
      </w:hyperlink>
      <w:r>
        <w:rPr>
          <w:sz w:val="20"/>
        </w:rPr>
        <w:t xml:space="preserve">, при этом приведенная емкость определяется из расчета, что 1 м</w:t>
      </w:r>
      <w:r>
        <w:rPr>
          <w:sz w:val="20"/>
          <w:vertAlign w:val="superscript"/>
        </w:rPr>
        <w:t xml:space="preserve">3</w:t>
      </w:r>
      <w:r>
        <w:rPr>
          <w:sz w:val="20"/>
        </w:rPr>
        <w:t xml:space="preserve"> легковоспламеняющихся жидкостей приравнивается к 5 м</w:t>
      </w:r>
      <w:r>
        <w:rPr>
          <w:sz w:val="20"/>
          <w:vertAlign w:val="superscript"/>
        </w:rPr>
        <w:t xml:space="preserve">3</w:t>
      </w:r>
      <w:r>
        <w:rPr>
          <w:sz w:val="20"/>
        </w:rPr>
        <w:t xml:space="preserve"> горючих, а 1 м</w:t>
      </w:r>
      <w:r>
        <w:rPr>
          <w:sz w:val="20"/>
          <w:vertAlign w:val="superscript"/>
        </w:rPr>
        <w:t xml:space="preserve">3</w:t>
      </w:r>
      <w:r>
        <w:rPr>
          <w:sz w:val="20"/>
        </w:rPr>
        <w:t xml:space="preserve"> емкости наземного хранения приравнивается к 2 м</w:t>
      </w:r>
      <w:r>
        <w:rPr>
          <w:sz w:val="20"/>
          <w:vertAlign w:val="superscript"/>
        </w:rPr>
        <w:t xml:space="preserve">3</w:t>
      </w:r>
      <w:r>
        <w:rPr>
          <w:sz w:val="20"/>
        </w:rPr>
        <w:t xml:space="preserve"> емкости подземного хранения. При подземном хранении легковоспламеняющихся или горючих жидкостей указанные в </w:t>
      </w:r>
      <w:hyperlink w:history="0" w:anchor="P612" w:tooltip="Таблица 4">
        <w:r>
          <w:rPr>
            <w:sz w:val="20"/>
            <w:color w:val="0000ff"/>
          </w:rPr>
          <w:t xml:space="preserve">таблице 4</w:t>
        </w:r>
      </w:hyperlink>
      <w:r>
        <w:rPr>
          <w:sz w:val="20"/>
        </w:rPr>
        <w:t xml:space="preserve"> емкости складов могут быть увеличены в 2 раза, а расстояния сокращены на 50%.</w:t>
      </w:r>
    </w:p>
    <w:p>
      <w:pPr>
        <w:pStyle w:val="0"/>
        <w:spacing w:before="200" w:line-rule="auto"/>
        <w:ind w:firstLine="540"/>
        <w:jc w:val="both"/>
      </w:pPr>
      <w:r>
        <w:rPr>
          <w:sz w:val="20"/>
        </w:rPr>
        <w:t xml:space="preserve">Для складов нефти и нефтепродуктов необходимо учитывать требования </w:t>
      </w:r>
      <w:hyperlink w:history="0" r:id="rId220" w:tooltip="Приказ МЧС России от 26.12.2013 N 837 (ред. от 09.03.2017) &quot;Об утверждении свода правил &quot;Склады нефти и нефтепродуктов. Требования пожарной безопасности&quot; (вместе с &quot;СП 155.13130.2014. Свод правил...&quot;) {КонсультантПлюс}">
        <w:r>
          <w:rPr>
            <w:sz w:val="20"/>
            <w:color w:val="0000ff"/>
          </w:rPr>
          <w:t xml:space="preserve">СП 155.13130</w:t>
        </w:r>
      </w:hyperlink>
      <w:r>
        <w:rPr>
          <w:sz w:val="20"/>
        </w:rPr>
        <w:t xml:space="preserve">.</w:t>
      </w:r>
    </w:p>
    <w:p>
      <w:pPr>
        <w:pStyle w:val="0"/>
        <w:jc w:val="both"/>
      </w:pPr>
      <w:r>
        <w:rPr>
          <w:sz w:val="20"/>
        </w:rPr>
        <w:t xml:space="preserve">(в ред. </w:t>
      </w:r>
      <w:hyperlink w:history="0" r:id="rId221"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6.1.11. Расстояния от зданий не нормируются:</w:t>
      </w:r>
    </w:p>
    <w:p>
      <w:pPr>
        <w:pStyle w:val="0"/>
        <w:spacing w:before="200" w:line-rule="auto"/>
        <w:ind w:firstLine="540"/>
        <w:jc w:val="both"/>
      </w:pPr>
      <w:r>
        <w:rPr>
          <w:sz w:val="20"/>
        </w:rPr>
        <w:t xml:space="preserve">а) до склада каменного угля емкостью менее 100 т;</w:t>
      </w:r>
    </w:p>
    <w:p>
      <w:pPr>
        <w:pStyle w:val="0"/>
        <w:spacing w:before="200" w:line-rule="auto"/>
        <w:ind w:firstLine="540"/>
        <w:jc w:val="both"/>
      </w:pPr>
      <w:r>
        <w:rPr>
          <w:sz w:val="20"/>
        </w:rPr>
        <w:t xml:space="preserve">б) до складов легковоспламеняющихся или горючих жидкостей геометрической емкостью до 100 м</w:t>
      </w:r>
      <w:r>
        <w:rPr>
          <w:sz w:val="20"/>
          <w:vertAlign w:val="superscript"/>
        </w:rPr>
        <w:t xml:space="preserve">3</w:t>
      </w:r>
      <w:r>
        <w:rPr>
          <w:sz w:val="20"/>
        </w:rPr>
        <w:t xml:space="preserve"> и до складов каменного угля или торфа (фрезерного или кускового) емкостью до 1000 т, если стена здания, обращенная в сторону этих складов, глухая противопожарная 1-го типа.</w:t>
      </w:r>
    </w:p>
    <w:p>
      <w:pPr>
        <w:pStyle w:val="0"/>
        <w:spacing w:before="200" w:line-rule="auto"/>
        <w:ind w:firstLine="540"/>
        <w:jc w:val="both"/>
      </w:pPr>
      <w:r>
        <w:rPr>
          <w:sz w:val="20"/>
        </w:rPr>
        <w:t xml:space="preserve">6.1.12. Расстояния, указанные в </w:t>
      </w:r>
      <w:hyperlink w:history="0" w:anchor="P612" w:tooltip="Таблица 4">
        <w:r>
          <w:rPr>
            <w:sz w:val="20"/>
            <w:color w:val="0000ff"/>
          </w:rPr>
          <w:t xml:space="preserve">таблице 4</w:t>
        </w:r>
      </w:hyperlink>
      <w:r>
        <w:rPr>
          <w:sz w:val="20"/>
        </w:rPr>
        <w:t xml:space="preserve">, определяются:</w:t>
      </w:r>
    </w:p>
    <w:p>
      <w:pPr>
        <w:pStyle w:val="0"/>
        <w:spacing w:before="200" w:line-rule="auto"/>
        <w:ind w:firstLine="540"/>
        <w:jc w:val="both"/>
      </w:pPr>
      <w:r>
        <w:rPr>
          <w:sz w:val="20"/>
        </w:rPr>
        <w:t xml:space="preserve">а) для складов каменного угля, торфа (кускового или фрезерного), лесоматериалов и дров, щепы и пилок - от границы площадей, предназначенных для размещения (складирования) указанных материалов;</w:t>
      </w:r>
    </w:p>
    <w:p>
      <w:pPr>
        <w:pStyle w:val="0"/>
        <w:spacing w:before="200" w:line-rule="auto"/>
        <w:ind w:firstLine="540"/>
        <w:jc w:val="both"/>
      </w:pPr>
      <w:r>
        <w:rPr>
          <w:sz w:val="20"/>
        </w:rPr>
        <w:t xml:space="preserve">б) для складов легковоспламеняющихся и горючих жидкостей - от стенок резервуаров, сливоналивных устройств или границы площадей, предназначенных для размещения тары с указанными жидкостями.</w:t>
      </w:r>
    </w:p>
    <w:p>
      <w:pPr>
        <w:pStyle w:val="0"/>
        <w:spacing w:before="200" w:line-rule="auto"/>
        <w:ind w:firstLine="540"/>
        <w:jc w:val="both"/>
      </w:pPr>
      <w:r>
        <w:rPr>
          <w:sz w:val="20"/>
        </w:rPr>
        <w:t xml:space="preserve">6.1.13. Расстояния от складов, указанных в </w:t>
      </w:r>
      <w:hyperlink w:history="0" w:anchor="P612" w:tooltip="Таблица 4">
        <w:r>
          <w:rPr>
            <w:sz w:val="20"/>
            <w:color w:val="0000ff"/>
          </w:rPr>
          <w:t xml:space="preserve">таблице 4</w:t>
        </w:r>
      </w:hyperlink>
      <w:r>
        <w:rPr>
          <w:sz w:val="20"/>
        </w:rPr>
        <w:t xml:space="preserve">, до открытых площадок (рамп) для оборудования (готовой продукции) в сгораемой таре принимаются по графе зданий и сооружений III степени огнестойкости классов С2 и С3, IV степени огнестойкости классов С1, С2 и С3 и V степени огнестойкости.</w:t>
      </w:r>
    </w:p>
    <w:p>
      <w:pPr>
        <w:pStyle w:val="0"/>
        <w:spacing w:before="200" w:line-rule="auto"/>
        <w:ind w:firstLine="540"/>
        <w:jc w:val="both"/>
      </w:pPr>
      <w:r>
        <w:rPr>
          <w:sz w:val="20"/>
        </w:rPr>
        <w:t xml:space="preserve">6.1.14. Расстояния от закрытых складов легковоспламеняющихся и горючих жидкостей до других зданий и сооружений принимаются согласно </w:t>
      </w:r>
      <w:hyperlink w:history="0" w:anchor="P576" w:tooltip="Таблица 3">
        <w:r>
          <w:rPr>
            <w:sz w:val="20"/>
            <w:color w:val="0000ff"/>
          </w:rPr>
          <w:t xml:space="preserve">таблице 3</w:t>
        </w:r>
      </w:hyperlink>
      <w:r>
        <w:rPr>
          <w:sz w:val="20"/>
        </w:rPr>
        <w:t xml:space="preserve">.</w:t>
      </w:r>
    </w:p>
    <w:p>
      <w:pPr>
        <w:pStyle w:val="0"/>
        <w:jc w:val="both"/>
      </w:pPr>
      <w:r>
        <w:rPr>
          <w:sz w:val="20"/>
        </w:rPr>
        <w:t xml:space="preserve">(в ред. </w:t>
      </w:r>
      <w:hyperlink w:history="0" r:id="rId222"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6.1.15. Противопожарные расстояния от резервуаров сжиженных углеводородных газов, размещаемых на складе организации, общей вместимостью до 10000 м</w:t>
      </w:r>
      <w:r>
        <w:rPr>
          <w:sz w:val="20"/>
          <w:vertAlign w:val="superscript"/>
        </w:rPr>
        <w:t xml:space="preserve">3</w:t>
      </w:r>
      <w:r>
        <w:rPr>
          <w:sz w:val="20"/>
        </w:rPr>
        <w:t xml:space="preserve"> при хранении под давлением или вместимостью до 40000 м</w:t>
      </w:r>
      <w:r>
        <w:rPr>
          <w:sz w:val="20"/>
          <w:vertAlign w:val="superscript"/>
        </w:rPr>
        <w:t xml:space="preserve">3</w:t>
      </w:r>
      <w:r>
        <w:rPr>
          <w:sz w:val="20"/>
        </w:rPr>
        <w:t xml:space="preserve">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history="0" w:anchor="P1057" w:tooltip="Таблица 5">
        <w:r>
          <w:rPr>
            <w:sz w:val="20"/>
            <w:color w:val="0000ff"/>
          </w:rPr>
          <w:t xml:space="preserve">таблице 5</w:t>
        </w:r>
      </w:hyperlink>
      <w:r>
        <w:rPr>
          <w:sz w:val="20"/>
        </w:rPr>
        <w:t xml:space="preserve">.</w:t>
      </w:r>
    </w:p>
    <w:p>
      <w:pPr>
        <w:pStyle w:val="0"/>
        <w:ind w:firstLine="540"/>
        <w:jc w:val="both"/>
      </w:pPr>
      <w:r>
        <w:rPr>
          <w:sz w:val="20"/>
        </w:rPr>
      </w:r>
    </w:p>
    <w:bookmarkStart w:id="1057" w:name="P1057"/>
    <w:bookmarkEnd w:id="1057"/>
    <w:p>
      <w:pPr>
        <w:pStyle w:val="0"/>
        <w:outlineLvl w:val="3"/>
        <w:jc w:val="both"/>
      </w:pPr>
      <w:r>
        <w:rPr>
          <w:sz w:val="20"/>
        </w:rPr>
        <w:t xml:space="preserve">Таблица 5</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35"/>
        <w:gridCol w:w="2145"/>
        <w:gridCol w:w="2475"/>
        <w:gridCol w:w="2640"/>
        <w:gridCol w:w="2640"/>
      </w:tblGrid>
      <w:tr>
        <w:tc>
          <w:tcPr>
            <w:tcW w:w="3135" w:type="dxa"/>
            <w:vMerge w:val="restart"/>
          </w:tcPr>
          <w:p>
            <w:pPr>
              <w:pStyle w:val="0"/>
              <w:jc w:val="center"/>
            </w:pPr>
            <w:r>
              <w:rPr>
                <w:sz w:val="20"/>
              </w:rPr>
              <w:t xml:space="preserve">Наименование здания, сооружения</w:t>
            </w:r>
          </w:p>
        </w:tc>
        <w:tc>
          <w:tcPr>
            <w:gridSpan w:val="4"/>
            <w:tcW w:w="9900" w:type="dxa"/>
          </w:tcPr>
          <w:p>
            <w:pPr>
              <w:pStyle w:val="0"/>
              <w:jc w:val="center"/>
            </w:pPr>
            <w:r>
              <w:rPr>
                <w:sz w:val="20"/>
              </w:rPr>
              <w:t xml:space="preserve">Противопожарные расстояния, м</w:t>
            </w:r>
          </w:p>
        </w:tc>
      </w:tr>
      <w:tr>
        <w:tc>
          <w:tcPr>
            <w:vMerge w:val="continue"/>
          </w:tcPr>
          <w:p/>
        </w:tc>
        <w:tc>
          <w:tcPr>
            <w:tcW w:w="2145" w:type="dxa"/>
          </w:tcPr>
          <w:p>
            <w:pPr>
              <w:pStyle w:val="0"/>
              <w:jc w:val="center"/>
            </w:pPr>
            <w:r>
              <w:rPr>
                <w:sz w:val="20"/>
              </w:rPr>
              <w:t xml:space="preserve">Резервуары надземные под давлением, включая полуизотермические</w:t>
            </w:r>
          </w:p>
        </w:tc>
        <w:tc>
          <w:tcPr>
            <w:tcW w:w="2475" w:type="dxa"/>
          </w:tcPr>
          <w:p>
            <w:pPr>
              <w:pStyle w:val="0"/>
              <w:jc w:val="center"/>
            </w:pPr>
            <w:r>
              <w:rPr>
                <w:sz w:val="20"/>
              </w:rPr>
              <w:t xml:space="preserve">Резервуары подземные под давлением</w:t>
            </w:r>
          </w:p>
        </w:tc>
        <w:tc>
          <w:tcPr>
            <w:tcW w:w="2640" w:type="dxa"/>
          </w:tcPr>
          <w:p>
            <w:pPr>
              <w:pStyle w:val="0"/>
              <w:jc w:val="center"/>
            </w:pPr>
            <w:r>
              <w:rPr>
                <w:sz w:val="20"/>
              </w:rPr>
              <w:t xml:space="preserve">Резервуары надземные изотермические</w:t>
            </w:r>
          </w:p>
        </w:tc>
        <w:tc>
          <w:tcPr>
            <w:tcW w:w="2640" w:type="dxa"/>
          </w:tcPr>
          <w:p>
            <w:pPr>
              <w:pStyle w:val="0"/>
              <w:jc w:val="center"/>
            </w:pPr>
            <w:r>
              <w:rPr>
                <w:sz w:val="20"/>
              </w:rPr>
              <w:t xml:space="preserve">Резервуары подземные изотермические</w:t>
            </w:r>
          </w:p>
        </w:tc>
      </w:tr>
      <w:tr>
        <w:tc>
          <w:tcPr>
            <w:tcW w:w="3135" w:type="dxa"/>
          </w:tcPr>
          <w:p>
            <w:pPr>
              <w:pStyle w:val="0"/>
              <w:jc w:val="both"/>
            </w:pPr>
            <w:r>
              <w:rPr>
                <w:sz w:val="20"/>
              </w:rPr>
              <w:t xml:space="preserve">Трамвайные пути и троллейбусные линии, железные дороги общей сети (до подошвы насыпи или бровки выемки)</w:t>
            </w:r>
          </w:p>
        </w:tc>
        <w:tc>
          <w:tcPr>
            <w:tcW w:w="2145" w:type="dxa"/>
          </w:tcPr>
          <w:p>
            <w:pPr>
              <w:pStyle w:val="0"/>
              <w:jc w:val="center"/>
            </w:pPr>
            <w:r>
              <w:rPr>
                <w:sz w:val="20"/>
              </w:rPr>
              <w:t xml:space="preserve">100</w:t>
            </w:r>
          </w:p>
        </w:tc>
        <w:tc>
          <w:tcPr>
            <w:tcW w:w="2475" w:type="dxa"/>
          </w:tcPr>
          <w:p>
            <w:pPr>
              <w:pStyle w:val="0"/>
              <w:jc w:val="center"/>
            </w:pPr>
            <w:r>
              <w:rPr>
                <w:sz w:val="20"/>
              </w:rPr>
              <w:t xml:space="preserve">75</w:t>
            </w:r>
          </w:p>
        </w:tc>
        <w:tc>
          <w:tcPr>
            <w:tcW w:w="2640" w:type="dxa"/>
          </w:tcPr>
          <w:p>
            <w:pPr>
              <w:pStyle w:val="0"/>
              <w:jc w:val="center"/>
            </w:pPr>
            <w:r>
              <w:rPr>
                <w:sz w:val="20"/>
              </w:rPr>
              <w:t xml:space="preserve">100</w:t>
            </w:r>
          </w:p>
        </w:tc>
        <w:tc>
          <w:tcPr>
            <w:tcW w:w="2640" w:type="dxa"/>
          </w:tcPr>
          <w:p>
            <w:pPr>
              <w:pStyle w:val="0"/>
              <w:jc w:val="center"/>
            </w:pPr>
            <w:r>
              <w:rPr>
                <w:sz w:val="20"/>
              </w:rPr>
              <w:t xml:space="preserve">75</w:t>
            </w:r>
          </w:p>
        </w:tc>
      </w:tr>
      <w:tr>
        <w:tc>
          <w:tcPr>
            <w:tcW w:w="3135" w:type="dxa"/>
          </w:tcPr>
          <w:p>
            <w:pPr>
              <w:pStyle w:val="0"/>
            </w:pPr>
            <w:r>
              <w:rPr>
                <w:sz w:val="20"/>
              </w:rPr>
              <w:t xml:space="preserve">Автомобильные дороги общей сети (край проезжей части)</w:t>
            </w:r>
          </w:p>
        </w:tc>
        <w:tc>
          <w:tcPr>
            <w:tcW w:w="2145" w:type="dxa"/>
          </w:tcPr>
          <w:p>
            <w:pPr>
              <w:pStyle w:val="0"/>
              <w:jc w:val="center"/>
            </w:pPr>
            <w:r>
              <w:rPr>
                <w:sz w:val="20"/>
              </w:rPr>
              <w:t xml:space="preserve">50</w:t>
            </w:r>
          </w:p>
        </w:tc>
        <w:tc>
          <w:tcPr>
            <w:tcW w:w="2475" w:type="dxa"/>
          </w:tcPr>
          <w:p>
            <w:pPr>
              <w:pStyle w:val="0"/>
              <w:jc w:val="center"/>
            </w:pPr>
            <w:r>
              <w:rPr>
                <w:sz w:val="20"/>
              </w:rPr>
              <w:t xml:space="preserve">50</w:t>
            </w:r>
          </w:p>
        </w:tc>
        <w:tc>
          <w:tcPr>
            <w:tcW w:w="2640" w:type="dxa"/>
          </w:tcPr>
          <w:p>
            <w:pPr>
              <w:pStyle w:val="0"/>
              <w:jc w:val="center"/>
            </w:pPr>
            <w:r>
              <w:rPr>
                <w:sz w:val="20"/>
              </w:rPr>
              <w:t xml:space="preserve">50</w:t>
            </w:r>
          </w:p>
        </w:tc>
        <w:tc>
          <w:tcPr>
            <w:tcW w:w="2640" w:type="dxa"/>
          </w:tcPr>
          <w:p>
            <w:pPr>
              <w:pStyle w:val="0"/>
              <w:jc w:val="center"/>
            </w:pPr>
            <w:r>
              <w:rPr>
                <w:sz w:val="20"/>
              </w:rPr>
              <w:t xml:space="preserve">50</w:t>
            </w:r>
          </w:p>
        </w:tc>
      </w:tr>
      <w:tr>
        <w:tc>
          <w:tcPr>
            <w:tcW w:w="3135" w:type="dxa"/>
          </w:tcPr>
          <w:p>
            <w:pPr>
              <w:pStyle w:val="0"/>
            </w:pPr>
            <w:r>
              <w:rPr>
                <w:sz w:val="20"/>
              </w:rPr>
              <w:t xml:space="preserve">Линии электропередачи (воздушные) высокого напряжения (от подошвы обвалования)</w:t>
            </w:r>
          </w:p>
        </w:tc>
        <w:tc>
          <w:tcPr>
            <w:tcW w:w="2145" w:type="dxa"/>
          </w:tcPr>
          <w:p>
            <w:pPr>
              <w:pStyle w:val="0"/>
              <w:jc w:val="both"/>
            </w:pPr>
            <w:r>
              <w:rPr>
                <w:sz w:val="20"/>
              </w:rPr>
              <w:t xml:space="preserve">Не менее 1,5 высоты опоры</w:t>
            </w:r>
          </w:p>
        </w:tc>
        <w:tc>
          <w:tcPr>
            <w:tcW w:w="2475" w:type="dxa"/>
          </w:tcPr>
          <w:p>
            <w:pPr>
              <w:pStyle w:val="0"/>
              <w:jc w:val="center"/>
            </w:pPr>
            <w:r>
              <w:rPr>
                <w:sz w:val="20"/>
              </w:rPr>
              <w:t xml:space="preserve">Не менее 1,5 высоты опоры</w:t>
            </w:r>
          </w:p>
        </w:tc>
        <w:tc>
          <w:tcPr>
            <w:tcW w:w="2640" w:type="dxa"/>
          </w:tcPr>
          <w:p>
            <w:pPr>
              <w:pStyle w:val="0"/>
              <w:jc w:val="center"/>
            </w:pPr>
            <w:r>
              <w:rPr>
                <w:sz w:val="20"/>
              </w:rPr>
              <w:t xml:space="preserve">Не менее 1,5 высоты опоры</w:t>
            </w:r>
          </w:p>
        </w:tc>
        <w:tc>
          <w:tcPr>
            <w:tcW w:w="2640" w:type="dxa"/>
          </w:tcPr>
          <w:p>
            <w:pPr>
              <w:pStyle w:val="0"/>
              <w:jc w:val="center"/>
            </w:pPr>
            <w:r>
              <w:rPr>
                <w:sz w:val="20"/>
              </w:rPr>
              <w:t xml:space="preserve">Не менее 1,5 высоты опоры</w:t>
            </w:r>
          </w:p>
        </w:tc>
      </w:tr>
      <w:tr>
        <w:tc>
          <w:tcPr>
            <w:tcW w:w="3135" w:type="dxa"/>
          </w:tcPr>
          <w:p>
            <w:pPr>
              <w:pStyle w:val="0"/>
            </w:pPr>
            <w:r>
              <w:rPr>
                <w:sz w:val="20"/>
              </w:rPr>
              <w:t xml:space="preserve">Границы территорий смежных организаций (до ограждения)</w:t>
            </w:r>
          </w:p>
        </w:tc>
        <w:tc>
          <w:tcPr>
            <w:tcW w:w="2145" w:type="dxa"/>
          </w:tcPr>
          <w:p>
            <w:pPr>
              <w:pStyle w:val="0"/>
              <w:jc w:val="center"/>
            </w:pPr>
            <w:r>
              <w:rPr>
                <w:sz w:val="20"/>
              </w:rPr>
              <w:t xml:space="preserve">300</w:t>
            </w:r>
          </w:p>
        </w:tc>
        <w:tc>
          <w:tcPr>
            <w:tcW w:w="2475" w:type="dxa"/>
          </w:tcPr>
          <w:p>
            <w:pPr>
              <w:pStyle w:val="0"/>
              <w:jc w:val="center"/>
            </w:pPr>
            <w:r>
              <w:rPr>
                <w:sz w:val="20"/>
              </w:rPr>
              <w:t xml:space="preserve">250</w:t>
            </w:r>
          </w:p>
        </w:tc>
        <w:tc>
          <w:tcPr>
            <w:tcW w:w="2640" w:type="dxa"/>
          </w:tcPr>
          <w:p>
            <w:pPr>
              <w:pStyle w:val="0"/>
              <w:jc w:val="center"/>
            </w:pPr>
            <w:r>
              <w:rPr>
                <w:sz w:val="20"/>
              </w:rPr>
              <w:t xml:space="preserve">300</w:t>
            </w:r>
          </w:p>
        </w:tc>
        <w:tc>
          <w:tcPr>
            <w:tcW w:w="2640" w:type="dxa"/>
          </w:tcPr>
          <w:p>
            <w:pPr>
              <w:pStyle w:val="0"/>
              <w:jc w:val="center"/>
            </w:pPr>
            <w:r>
              <w:rPr>
                <w:sz w:val="20"/>
              </w:rPr>
              <w:t xml:space="preserve">200</w:t>
            </w:r>
          </w:p>
        </w:tc>
      </w:tr>
      <w:tr>
        <w:tc>
          <w:tcPr>
            <w:tcW w:w="3135" w:type="dxa"/>
          </w:tcPr>
          <w:p>
            <w:pPr>
              <w:pStyle w:val="0"/>
            </w:pPr>
            <w:r>
              <w:rPr>
                <w:sz w:val="20"/>
              </w:rPr>
              <w:t xml:space="preserve">Жилые и общественные здания</w:t>
            </w:r>
          </w:p>
        </w:tc>
        <w:tc>
          <w:tcPr>
            <w:tcW w:w="2145" w:type="dxa"/>
          </w:tcPr>
          <w:p>
            <w:pPr>
              <w:pStyle w:val="0"/>
              <w:jc w:val="center"/>
            </w:pPr>
            <w:r>
              <w:rPr>
                <w:sz w:val="20"/>
              </w:rPr>
              <w:t xml:space="preserve">Вне пределов санитарно-защитной зоны, но не менее 500</w:t>
            </w:r>
          </w:p>
        </w:tc>
        <w:tc>
          <w:tcPr>
            <w:tcW w:w="2475" w:type="dxa"/>
          </w:tcPr>
          <w:p>
            <w:pPr>
              <w:pStyle w:val="0"/>
              <w:jc w:val="center"/>
            </w:pPr>
            <w:r>
              <w:rPr>
                <w:sz w:val="20"/>
              </w:rPr>
              <w:t xml:space="preserve">Вне пределов санитарно-защитной зоны, но не менее 300</w:t>
            </w:r>
          </w:p>
        </w:tc>
        <w:tc>
          <w:tcPr>
            <w:tcW w:w="2640" w:type="dxa"/>
          </w:tcPr>
          <w:p>
            <w:pPr>
              <w:pStyle w:val="0"/>
              <w:jc w:val="center"/>
            </w:pPr>
            <w:r>
              <w:rPr>
                <w:sz w:val="20"/>
              </w:rPr>
              <w:t xml:space="preserve">Вне пределов санитарно-защитной зоны, но не менее 500</w:t>
            </w:r>
          </w:p>
        </w:tc>
        <w:tc>
          <w:tcPr>
            <w:tcW w:w="2640" w:type="dxa"/>
          </w:tcPr>
          <w:p>
            <w:pPr>
              <w:pStyle w:val="0"/>
              <w:jc w:val="center"/>
            </w:pPr>
            <w:r>
              <w:rPr>
                <w:sz w:val="20"/>
              </w:rPr>
              <w:t xml:space="preserve">Вне пределов санитарно-защитной зоны, но не менее 300</w:t>
            </w:r>
          </w:p>
        </w:tc>
      </w:tr>
      <w:tr>
        <w:tc>
          <w:tcPr>
            <w:tcW w:w="3135" w:type="dxa"/>
          </w:tcPr>
          <w:p>
            <w:pPr>
              <w:pStyle w:val="0"/>
            </w:pPr>
            <w:r>
              <w:rPr>
                <w:sz w:val="20"/>
              </w:rPr>
              <w:t xml:space="preserve">ТЭЦ</w:t>
            </w:r>
          </w:p>
        </w:tc>
        <w:tc>
          <w:tcPr>
            <w:tcW w:w="2145" w:type="dxa"/>
          </w:tcPr>
          <w:p>
            <w:pPr>
              <w:pStyle w:val="0"/>
              <w:jc w:val="center"/>
            </w:pPr>
            <w:r>
              <w:rPr>
                <w:sz w:val="20"/>
              </w:rPr>
              <w:t xml:space="preserve">200</w:t>
            </w:r>
          </w:p>
        </w:tc>
        <w:tc>
          <w:tcPr>
            <w:tcW w:w="2475" w:type="dxa"/>
          </w:tcPr>
          <w:p>
            <w:pPr>
              <w:pStyle w:val="0"/>
              <w:jc w:val="center"/>
            </w:pPr>
            <w:r>
              <w:rPr>
                <w:sz w:val="20"/>
              </w:rPr>
              <w:t xml:space="preserve">200</w:t>
            </w:r>
          </w:p>
        </w:tc>
        <w:tc>
          <w:tcPr>
            <w:tcW w:w="2640" w:type="dxa"/>
          </w:tcPr>
          <w:p>
            <w:pPr>
              <w:pStyle w:val="0"/>
              <w:jc w:val="center"/>
            </w:pPr>
            <w:r>
              <w:rPr>
                <w:sz w:val="20"/>
              </w:rPr>
              <w:t xml:space="preserve">200</w:t>
            </w:r>
          </w:p>
        </w:tc>
        <w:tc>
          <w:tcPr>
            <w:tcW w:w="2640" w:type="dxa"/>
          </w:tcPr>
          <w:p>
            <w:pPr>
              <w:pStyle w:val="0"/>
              <w:jc w:val="center"/>
            </w:pPr>
            <w:r>
              <w:rPr>
                <w:sz w:val="20"/>
              </w:rPr>
              <w:t xml:space="preserve">200</w:t>
            </w:r>
          </w:p>
        </w:tc>
      </w:tr>
      <w:tr>
        <w:tc>
          <w:tcPr>
            <w:tcW w:w="3135" w:type="dxa"/>
          </w:tcPr>
          <w:p>
            <w:pPr>
              <w:pStyle w:val="0"/>
            </w:pPr>
            <w:r>
              <w:rPr>
                <w:sz w:val="20"/>
              </w:rPr>
              <w:t xml:space="preserve">Склады лесоматериалов и твердого топлива</w:t>
            </w:r>
          </w:p>
        </w:tc>
        <w:tc>
          <w:tcPr>
            <w:tcW w:w="2145" w:type="dxa"/>
          </w:tcPr>
          <w:p>
            <w:pPr>
              <w:pStyle w:val="0"/>
              <w:jc w:val="center"/>
            </w:pPr>
            <w:r>
              <w:rPr>
                <w:sz w:val="20"/>
              </w:rPr>
              <w:t xml:space="preserve">200</w:t>
            </w:r>
          </w:p>
        </w:tc>
        <w:tc>
          <w:tcPr>
            <w:tcW w:w="2475" w:type="dxa"/>
          </w:tcPr>
          <w:p>
            <w:pPr>
              <w:pStyle w:val="0"/>
              <w:jc w:val="center"/>
            </w:pPr>
            <w:r>
              <w:rPr>
                <w:sz w:val="20"/>
              </w:rPr>
              <w:t xml:space="preserve">150</w:t>
            </w:r>
          </w:p>
        </w:tc>
        <w:tc>
          <w:tcPr>
            <w:tcW w:w="2640" w:type="dxa"/>
          </w:tcPr>
          <w:p>
            <w:pPr>
              <w:pStyle w:val="0"/>
              <w:jc w:val="center"/>
            </w:pPr>
            <w:r>
              <w:rPr>
                <w:sz w:val="20"/>
              </w:rPr>
              <w:t xml:space="preserve">200</w:t>
            </w:r>
          </w:p>
        </w:tc>
        <w:tc>
          <w:tcPr>
            <w:tcW w:w="2640" w:type="dxa"/>
          </w:tcPr>
          <w:p>
            <w:pPr>
              <w:pStyle w:val="0"/>
              <w:jc w:val="center"/>
            </w:pPr>
            <w:r>
              <w:rPr>
                <w:sz w:val="20"/>
              </w:rPr>
              <w:t xml:space="preserve">150</w:t>
            </w:r>
          </w:p>
        </w:tc>
      </w:tr>
      <w:tr>
        <w:tblPrEx>
          <w:tblBorders>
            <w:insideH w:val="nil"/>
          </w:tblBorders>
        </w:tblPrEx>
        <w:tc>
          <w:tcPr>
            <w:tcW w:w="3135" w:type="dxa"/>
            <w:tcBorders>
              <w:bottom w:val="nil"/>
            </w:tcBorders>
          </w:tcPr>
          <w:p>
            <w:pPr>
              <w:pStyle w:val="0"/>
            </w:pPr>
            <w:r>
              <w:rPr>
                <w:sz w:val="20"/>
              </w:rPr>
              <w:t xml:space="preserve">Лесничества с лесными насаждениями хвойных пород (от ограждения территории организации или склада)</w:t>
            </w:r>
          </w:p>
        </w:tc>
        <w:tc>
          <w:tcPr>
            <w:tcW w:w="2145" w:type="dxa"/>
            <w:tcBorders>
              <w:bottom w:val="nil"/>
            </w:tcBorders>
          </w:tcPr>
          <w:p>
            <w:pPr>
              <w:pStyle w:val="0"/>
              <w:jc w:val="center"/>
            </w:pPr>
            <w:r>
              <w:rPr>
                <w:sz w:val="20"/>
              </w:rPr>
              <w:t xml:space="preserve">100</w:t>
            </w:r>
          </w:p>
        </w:tc>
        <w:tc>
          <w:tcPr>
            <w:tcW w:w="2475" w:type="dxa"/>
            <w:tcBorders>
              <w:bottom w:val="nil"/>
            </w:tcBorders>
          </w:tcPr>
          <w:p>
            <w:pPr>
              <w:pStyle w:val="0"/>
              <w:jc w:val="center"/>
            </w:pPr>
            <w:r>
              <w:rPr>
                <w:sz w:val="20"/>
              </w:rPr>
              <w:t xml:space="preserve">75</w:t>
            </w:r>
          </w:p>
        </w:tc>
        <w:tc>
          <w:tcPr>
            <w:tcW w:w="2640" w:type="dxa"/>
            <w:tcBorders>
              <w:bottom w:val="nil"/>
            </w:tcBorders>
          </w:tcPr>
          <w:p>
            <w:pPr>
              <w:pStyle w:val="0"/>
              <w:jc w:val="center"/>
            </w:pPr>
            <w:r>
              <w:rPr>
                <w:sz w:val="20"/>
              </w:rPr>
              <w:t xml:space="preserve">100</w:t>
            </w:r>
          </w:p>
        </w:tc>
        <w:tc>
          <w:tcPr>
            <w:tcW w:w="2640" w:type="dxa"/>
            <w:tcBorders>
              <w:bottom w:val="nil"/>
            </w:tcBorders>
          </w:tcPr>
          <w:p>
            <w:pPr>
              <w:pStyle w:val="0"/>
              <w:jc w:val="center"/>
            </w:pPr>
            <w:r>
              <w:rPr>
                <w:sz w:val="20"/>
              </w:rPr>
              <w:t xml:space="preserve">75</w:t>
            </w:r>
          </w:p>
        </w:tc>
      </w:tr>
      <w:tr>
        <w:tblPrEx>
          <w:tblBorders>
            <w:insideH w:val="nil"/>
          </w:tblBorders>
        </w:tblPrEx>
        <w:tc>
          <w:tcPr>
            <w:gridSpan w:val="5"/>
            <w:tcW w:w="13035" w:type="dxa"/>
            <w:tcBorders>
              <w:top w:val="nil"/>
            </w:tcBorders>
          </w:tcPr>
          <w:p>
            <w:pPr>
              <w:pStyle w:val="0"/>
              <w:jc w:val="both"/>
            </w:pPr>
            <w:r>
              <w:rPr>
                <w:sz w:val="20"/>
              </w:rPr>
              <w:t xml:space="preserve">(в ред. </w:t>
            </w:r>
            <w:hyperlink w:history="0" r:id="rId223"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tc>
      </w:tr>
      <w:tr>
        <w:tblPrEx>
          <w:tblBorders>
            <w:insideH w:val="nil"/>
          </w:tblBorders>
        </w:tblPrEx>
        <w:tc>
          <w:tcPr>
            <w:tcW w:w="3135" w:type="dxa"/>
            <w:tcBorders>
              <w:bottom w:val="nil"/>
            </w:tcBorders>
          </w:tcPr>
          <w:p>
            <w:pPr>
              <w:pStyle w:val="0"/>
            </w:pPr>
            <w:r>
              <w:rPr>
                <w:sz w:val="20"/>
              </w:rPr>
              <w:t xml:space="preserve">Лесничества с лесными насаждениями лиственных пород (от ограждения территории организации или склада)</w:t>
            </w:r>
          </w:p>
        </w:tc>
        <w:tc>
          <w:tcPr>
            <w:tcW w:w="2145" w:type="dxa"/>
            <w:tcBorders>
              <w:bottom w:val="nil"/>
            </w:tcBorders>
          </w:tcPr>
          <w:p>
            <w:pPr>
              <w:pStyle w:val="0"/>
              <w:jc w:val="center"/>
            </w:pPr>
            <w:r>
              <w:rPr>
                <w:sz w:val="20"/>
              </w:rPr>
              <w:t xml:space="preserve">20</w:t>
            </w:r>
          </w:p>
        </w:tc>
        <w:tc>
          <w:tcPr>
            <w:tcW w:w="2475" w:type="dxa"/>
            <w:tcBorders>
              <w:bottom w:val="nil"/>
            </w:tcBorders>
          </w:tcPr>
          <w:p>
            <w:pPr>
              <w:pStyle w:val="0"/>
              <w:jc w:val="center"/>
            </w:pPr>
            <w:r>
              <w:rPr>
                <w:sz w:val="20"/>
              </w:rPr>
              <w:t xml:space="preserve">20</w:t>
            </w:r>
          </w:p>
        </w:tc>
        <w:tc>
          <w:tcPr>
            <w:tcW w:w="2640" w:type="dxa"/>
            <w:tcBorders>
              <w:bottom w:val="nil"/>
            </w:tcBorders>
          </w:tcPr>
          <w:p>
            <w:pPr>
              <w:pStyle w:val="0"/>
              <w:jc w:val="center"/>
            </w:pPr>
            <w:r>
              <w:rPr>
                <w:sz w:val="20"/>
              </w:rPr>
              <w:t xml:space="preserve">20</w:t>
            </w:r>
          </w:p>
        </w:tc>
        <w:tc>
          <w:tcPr>
            <w:tcW w:w="2640" w:type="dxa"/>
            <w:tcBorders>
              <w:bottom w:val="nil"/>
            </w:tcBorders>
          </w:tcPr>
          <w:p>
            <w:pPr>
              <w:pStyle w:val="0"/>
              <w:jc w:val="center"/>
            </w:pPr>
            <w:r>
              <w:rPr>
                <w:sz w:val="20"/>
              </w:rPr>
              <w:t xml:space="preserve">20</w:t>
            </w:r>
          </w:p>
        </w:tc>
      </w:tr>
      <w:tr>
        <w:tblPrEx>
          <w:tblBorders>
            <w:insideH w:val="nil"/>
          </w:tblBorders>
        </w:tblPrEx>
        <w:tc>
          <w:tcPr>
            <w:gridSpan w:val="5"/>
            <w:tcW w:w="13035" w:type="dxa"/>
            <w:tcBorders>
              <w:top w:val="nil"/>
            </w:tcBorders>
          </w:tcPr>
          <w:p>
            <w:pPr>
              <w:pStyle w:val="0"/>
              <w:jc w:val="both"/>
            </w:pPr>
            <w:r>
              <w:rPr>
                <w:sz w:val="20"/>
              </w:rPr>
              <w:t xml:space="preserve">(в ред. </w:t>
            </w:r>
            <w:hyperlink w:history="0" r:id="rId224"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tc>
      </w:tr>
      <w:tr>
        <w:tc>
          <w:tcPr>
            <w:tcW w:w="3135" w:type="dxa"/>
          </w:tcPr>
          <w:p>
            <w:pPr>
              <w:pStyle w:val="0"/>
            </w:pPr>
            <w:r>
              <w:rPr>
                <w:sz w:val="20"/>
              </w:rPr>
              <w:t xml:space="preserve">Внутризаводские наземные и подземные технологические трубопроводы, не относящиеся к складу</w:t>
            </w:r>
          </w:p>
        </w:tc>
        <w:tc>
          <w:tcPr>
            <w:tcW w:w="2145" w:type="dxa"/>
          </w:tcPr>
          <w:p>
            <w:pPr>
              <w:pStyle w:val="0"/>
              <w:jc w:val="center"/>
            </w:pPr>
            <w:r>
              <w:rPr>
                <w:sz w:val="20"/>
              </w:rPr>
              <w:t xml:space="preserve">Вне обвалования, но не ближе 20</w:t>
            </w:r>
          </w:p>
        </w:tc>
        <w:tc>
          <w:tcPr>
            <w:tcW w:w="2475" w:type="dxa"/>
          </w:tcPr>
          <w:p>
            <w:pPr>
              <w:pStyle w:val="0"/>
              <w:jc w:val="center"/>
            </w:pPr>
            <w:r>
              <w:rPr>
                <w:sz w:val="20"/>
              </w:rPr>
              <w:t xml:space="preserve">не ближе 15</w:t>
            </w:r>
          </w:p>
        </w:tc>
        <w:tc>
          <w:tcPr>
            <w:tcW w:w="2640" w:type="dxa"/>
          </w:tcPr>
          <w:p>
            <w:pPr>
              <w:pStyle w:val="0"/>
              <w:jc w:val="center"/>
            </w:pPr>
            <w:r>
              <w:rPr>
                <w:sz w:val="20"/>
              </w:rPr>
              <w:t xml:space="preserve">Вне обвалования, но не ближе 20</w:t>
            </w:r>
          </w:p>
        </w:tc>
        <w:tc>
          <w:tcPr>
            <w:tcW w:w="2640" w:type="dxa"/>
          </w:tcPr>
          <w:p>
            <w:pPr>
              <w:pStyle w:val="0"/>
              <w:jc w:val="center"/>
            </w:pPr>
            <w:r>
              <w:rPr>
                <w:sz w:val="20"/>
              </w:rPr>
              <w:t xml:space="preserve">не ближе 15</w:t>
            </w:r>
          </w:p>
        </w:tc>
      </w:tr>
      <w:tr>
        <w:tc>
          <w:tcPr>
            <w:tcW w:w="3135" w:type="dxa"/>
          </w:tcPr>
          <w:p>
            <w:pPr>
              <w:pStyle w:val="0"/>
            </w:pPr>
            <w:r>
              <w:rPr>
                <w:sz w:val="20"/>
              </w:rPr>
              <w:t xml:space="preserve">Здания, сооружения и организации в производственной зоне при объеме резервуаров, кубические метры:</w:t>
            </w:r>
          </w:p>
        </w:tc>
        <w:tc>
          <w:tcPr>
            <w:tcW w:w="2145" w:type="dxa"/>
          </w:tcPr>
          <w:p>
            <w:pPr>
              <w:pStyle w:val="0"/>
              <w:jc w:val="both"/>
            </w:pPr>
            <w:r>
              <w:rPr>
                <w:sz w:val="20"/>
              </w:rPr>
            </w:r>
          </w:p>
        </w:tc>
        <w:tc>
          <w:tcPr>
            <w:tcW w:w="2475" w:type="dxa"/>
          </w:tcPr>
          <w:p>
            <w:pPr>
              <w:pStyle w:val="0"/>
              <w:jc w:val="both"/>
            </w:pPr>
            <w:r>
              <w:rPr>
                <w:sz w:val="20"/>
              </w:rPr>
            </w:r>
          </w:p>
        </w:tc>
        <w:tc>
          <w:tcPr>
            <w:tcW w:w="2640" w:type="dxa"/>
          </w:tcPr>
          <w:p>
            <w:pPr>
              <w:pStyle w:val="0"/>
              <w:jc w:val="both"/>
            </w:pPr>
            <w:r>
              <w:rPr>
                <w:sz w:val="20"/>
              </w:rPr>
            </w:r>
          </w:p>
        </w:tc>
        <w:tc>
          <w:tcPr>
            <w:tcW w:w="2640" w:type="dxa"/>
          </w:tcPr>
          <w:p>
            <w:pPr>
              <w:pStyle w:val="0"/>
              <w:jc w:val="both"/>
            </w:pPr>
            <w:r>
              <w:rPr>
                <w:sz w:val="20"/>
              </w:rPr>
            </w:r>
          </w:p>
        </w:tc>
      </w:tr>
      <w:tr>
        <w:tc>
          <w:tcPr>
            <w:tcW w:w="3135" w:type="dxa"/>
          </w:tcPr>
          <w:p>
            <w:pPr>
              <w:pStyle w:val="0"/>
            </w:pPr>
            <w:r>
              <w:rPr>
                <w:sz w:val="20"/>
              </w:rPr>
              <w:t xml:space="preserve">2000 - 5000</w:t>
            </w:r>
          </w:p>
        </w:tc>
        <w:tc>
          <w:tcPr>
            <w:tcW w:w="2145" w:type="dxa"/>
          </w:tcPr>
          <w:p>
            <w:pPr>
              <w:pStyle w:val="0"/>
              <w:jc w:val="center"/>
            </w:pPr>
            <w:r>
              <w:rPr>
                <w:sz w:val="20"/>
              </w:rPr>
              <w:t xml:space="preserve">150</w:t>
            </w:r>
          </w:p>
        </w:tc>
        <w:tc>
          <w:tcPr>
            <w:tcW w:w="2475" w:type="dxa"/>
          </w:tcPr>
          <w:p>
            <w:pPr>
              <w:pStyle w:val="0"/>
              <w:jc w:val="center"/>
            </w:pPr>
            <w:r>
              <w:rPr>
                <w:sz w:val="20"/>
              </w:rPr>
              <w:t xml:space="preserve">120</w:t>
            </w:r>
          </w:p>
        </w:tc>
        <w:tc>
          <w:tcPr>
            <w:tcW w:w="2640" w:type="dxa"/>
          </w:tcPr>
          <w:p>
            <w:pPr>
              <w:pStyle w:val="0"/>
              <w:jc w:val="center"/>
            </w:pPr>
            <w:r>
              <w:rPr>
                <w:sz w:val="20"/>
              </w:rPr>
              <w:t xml:space="preserve">150</w:t>
            </w:r>
          </w:p>
        </w:tc>
        <w:tc>
          <w:tcPr>
            <w:tcW w:w="2640" w:type="dxa"/>
          </w:tcPr>
          <w:p>
            <w:pPr>
              <w:pStyle w:val="0"/>
              <w:jc w:val="center"/>
            </w:pPr>
            <w:r>
              <w:rPr>
                <w:sz w:val="20"/>
              </w:rPr>
              <w:t xml:space="preserve">100</w:t>
            </w:r>
          </w:p>
        </w:tc>
      </w:tr>
      <w:tr>
        <w:tc>
          <w:tcPr>
            <w:tcW w:w="3135" w:type="dxa"/>
          </w:tcPr>
          <w:p>
            <w:pPr>
              <w:pStyle w:val="0"/>
            </w:pPr>
            <w:r>
              <w:rPr>
                <w:sz w:val="20"/>
              </w:rPr>
              <w:t xml:space="preserve">6000 - 10000</w:t>
            </w:r>
          </w:p>
        </w:tc>
        <w:tc>
          <w:tcPr>
            <w:tcW w:w="2145" w:type="dxa"/>
          </w:tcPr>
          <w:p>
            <w:pPr>
              <w:pStyle w:val="0"/>
              <w:jc w:val="center"/>
            </w:pPr>
            <w:r>
              <w:rPr>
                <w:sz w:val="20"/>
              </w:rPr>
              <w:t xml:space="preserve">250</w:t>
            </w:r>
          </w:p>
        </w:tc>
        <w:tc>
          <w:tcPr>
            <w:tcW w:w="2475" w:type="dxa"/>
          </w:tcPr>
          <w:p>
            <w:pPr>
              <w:pStyle w:val="0"/>
              <w:jc w:val="center"/>
            </w:pPr>
            <w:r>
              <w:rPr>
                <w:sz w:val="20"/>
              </w:rPr>
              <w:t xml:space="preserve">200</w:t>
            </w:r>
          </w:p>
        </w:tc>
        <w:tc>
          <w:tcPr>
            <w:tcW w:w="2640" w:type="dxa"/>
          </w:tcPr>
          <w:p>
            <w:pPr>
              <w:pStyle w:val="0"/>
              <w:jc w:val="center"/>
            </w:pPr>
            <w:r>
              <w:rPr>
                <w:sz w:val="20"/>
              </w:rPr>
              <w:t xml:space="preserve">200</w:t>
            </w:r>
          </w:p>
        </w:tc>
        <w:tc>
          <w:tcPr>
            <w:tcW w:w="2640" w:type="dxa"/>
          </w:tcPr>
          <w:p>
            <w:pPr>
              <w:pStyle w:val="0"/>
              <w:jc w:val="center"/>
            </w:pPr>
            <w:r>
              <w:rPr>
                <w:sz w:val="20"/>
              </w:rPr>
              <w:t xml:space="preserve">125</w:t>
            </w:r>
          </w:p>
        </w:tc>
      </w:tr>
      <w:tr>
        <w:tc>
          <w:tcPr>
            <w:tcW w:w="3135" w:type="dxa"/>
          </w:tcPr>
          <w:p>
            <w:pPr>
              <w:pStyle w:val="0"/>
            </w:pPr>
            <w:r>
              <w:rPr>
                <w:sz w:val="20"/>
              </w:rPr>
              <w:t xml:space="preserve">Факельная установка (до ствола факела)</w:t>
            </w:r>
          </w:p>
        </w:tc>
        <w:tc>
          <w:tcPr>
            <w:tcW w:w="2145" w:type="dxa"/>
          </w:tcPr>
          <w:p>
            <w:pPr>
              <w:pStyle w:val="0"/>
              <w:jc w:val="center"/>
            </w:pPr>
            <w:r>
              <w:rPr>
                <w:sz w:val="20"/>
              </w:rPr>
              <w:t xml:space="preserve">150</w:t>
            </w:r>
          </w:p>
        </w:tc>
        <w:tc>
          <w:tcPr>
            <w:tcW w:w="2475" w:type="dxa"/>
          </w:tcPr>
          <w:p>
            <w:pPr>
              <w:pStyle w:val="0"/>
              <w:jc w:val="center"/>
            </w:pPr>
            <w:r>
              <w:rPr>
                <w:sz w:val="20"/>
              </w:rPr>
              <w:t xml:space="preserve">100</w:t>
            </w:r>
          </w:p>
        </w:tc>
        <w:tc>
          <w:tcPr>
            <w:tcW w:w="2640" w:type="dxa"/>
          </w:tcPr>
          <w:p>
            <w:pPr>
              <w:pStyle w:val="0"/>
              <w:jc w:val="center"/>
            </w:pPr>
            <w:r>
              <w:rPr>
                <w:sz w:val="20"/>
              </w:rPr>
              <w:t xml:space="preserve">150</w:t>
            </w:r>
          </w:p>
        </w:tc>
        <w:tc>
          <w:tcPr>
            <w:tcW w:w="2640" w:type="dxa"/>
          </w:tcPr>
          <w:p>
            <w:pPr>
              <w:pStyle w:val="0"/>
              <w:jc w:val="center"/>
            </w:pPr>
            <w:r>
              <w:rPr>
                <w:sz w:val="20"/>
              </w:rPr>
              <w:t xml:space="preserve">200</w:t>
            </w:r>
          </w:p>
        </w:tc>
      </w:tr>
      <w:tr>
        <w:tc>
          <w:tcPr>
            <w:tcW w:w="3135" w:type="dxa"/>
          </w:tcPr>
          <w:p>
            <w:pPr>
              <w:pStyle w:val="0"/>
            </w:pPr>
            <w:r>
              <w:rPr>
                <w:sz w:val="20"/>
              </w:rPr>
              <w:t xml:space="preserve">Здания и сооружения в зоне, прилегающей к территории организации (административной зоне)</w:t>
            </w:r>
          </w:p>
        </w:tc>
        <w:tc>
          <w:tcPr>
            <w:tcW w:w="2145" w:type="dxa"/>
          </w:tcPr>
          <w:p>
            <w:pPr>
              <w:pStyle w:val="0"/>
              <w:jc w:val="center"/>
            </w:pPr>
            <w:r>
              <w:rPr>
                <w:sz w:val="20"/>
              </w:rPr>
              <w:t xml:space="preserve">250</w:t>
            </w:r>
          </w:p>
        </w:tc>
        <w:tc>
          <w:tcPr>
            <w:tcW w:w="2475" w:type="dxa"/>
          </w:tcPr>
          <w:p>
            <w:pPr>
              <w:pStyle w:val="0"/>
              <w:jc w:val="center"/>
            </w:pPr>
            <w:r>
              <w:rPr>
                <w:sz w:val="20"/>
              </w:rPr>
              <w:t xml:space="preserve">200</w:t>
            </w:r>
          </w:p>
        </w:tc>
        <w:tc>
          <w:tcPr>
            <w:tcW w:w="2640" w:type="dxa"/>
          </w:tcPr>
          <w:p>
            <w:pPr>
              <w:pStyle w:val="0"/>
              <w:jc w:val="center"/>
            </w:pPr>
            <w:r>
              <w:rPr>
                <w:sz w:val="20"/>
              </w:rPr>
              <w:t xml:space="preserve">250</w:t>
            </w:r>
          </w:p>
        </w:tc>
        <w:tc>
          <w:tcPr>
            <w:tcW w:w="2640" w:type="dxa"/>
          </w:tcPr>
          <w:p>
            <w:pPr>
              <w:pStyle w:val="0"/>
              <w:jc w:val="center"/>
            </w:pPr>
            <w:r>
              <w:rPr>
                <w:sz w:val="20"/>
              </w:rPr>
              <w:t xml:space="preserve">200</w:t>
            </w:r>
          </w:p>
        </w:tc>
      </w:tr>
    </w:tbl>
    <w:p>
      <w:pPr>
        <w:pStyle w:val="0"/>
        <w:ind w:firstLine="540"/>
        <w:jc w:val="both"/>
      </w:pPr>
      <w:r>
        <w:rPr>
          <w:sz w:val="20"/>
        </w:rPr>
      </w:r>
    </w:p>
    <w:p>
      <w:pPr>
        <w:pStyle w:val="0"/>
        <w:ind w:firstLine="540"/>
        <w:jc w:val="both"/>
      </w:pPr>
      <w:r>
        <w:rPr>
          <w:sz w:val="20"/>
        </w:rPr>
        <w:t xml:space="preserve">6.1.16. Противопожарные расстояния от отдельно стоящей сливоналивной эстакады сжиженных углеводородных газов до соседних объектов, жилых домов и общественных зданий, сооружений принимаются как расстояния от резервуаров сжиженных углеводородных газов и легковоспламеняющихся жидкостей под давлением.</w:t>
      </w:r>
    </w:p>
    <w:p>
      <w:pPr>
        <w:pStyle w:val="0"/>
        <w:spacing w:before="200" w:line-rule="auto"/>
        <w:ind w:firstLine="540"/>
        <w:jc w:val="both"/>
      </w:pPr>
      <w:r>
        <w:rPr>
          <w:sz w:val="20"/>
        </w:rPr>
        <w:t xml:space="preserve">6.1.17. Противопожарные расстояния от резервуаров складов СУГ общей вместимостью от 10000 до 20000 м</w:t>
      </w:r>
      <w:r>
        <w:rPr>
          <w:sz w:val="20"/>
          <w:vertAlign w:val="superscript"/>
        </w:rPr>
        <w:t xml:space="preserve">3</w:t>
      </w:r>
      <w:r>
        <w:rPr>
          <w:sz w:val="20"/>
        </w:rPr>
        <w:t xml:space="preserve"> при хранении под давлением либо вместимостью от 40000 до 60000 м</w:t>
      </w:r>
      <w:r>
        <w:rPr>
          <w:sz w:val="20"/>
          <w:vertAlign w:val="superscript"/>
        </w:rPr>
        <w:t xml:space="preserve">3</w:t>
      </w:r>
      <w:r>
        <w:rPr>
          <w:sz w:val="20"/>
        </w:rPr>
        <w:t xml:space="preserve"> при хранении изотермическим способом в наземных резервуарах или вместимостью от 40000 до 100000 м</w:t>
      </w:r>
      <w:r>
        <w:rPr>
          <w:sz w:val="20"/>
          <w:vertAlign w:val="superscript"/>
        </w:rPr>
        <w:t xml:space="preserve">3</w:t>
      </w:r>
      <w:r>
        <w:rPr>
          <w:sz w:val="20"/>
        </w:rPr>
        <w:t xml:space="preserve"> при хранении изотермическим способом в подземных резервуарах, входящих в состав товарно-сырьевой базы, до других объектов приведены в </w:t>
      </w:r>
      <w:hyperlink w:history="0" w:anchor="P1146" w:tooltip="Таблица 6">
        <w:r>
          <w:rPr>
            <w:sz w:val="20"/>
            <w:color w:val="0000ff"/>
          </w:rPr>
          <w:t xml:space="preserve">таблице 6</w:t>
        </w:r>
      </w:hyperlink>
      <w:r>
        <w:rPr>
          <w:sz w:val="20"/>
        </w:rPr>
        <w:t xml:space="preserve">.</w:t>
      </w:r>
    </w:p>
    <w:p>
      <w:pPr>
        <w:pStyle w:val="0"/>
        <w:ind w:firstLine="540"/>
        <w:jc w:val="both"/>
      </w:pPr>
      <w:r>
        <w:rPr>
          <w:sz w:val="20"/>
        </w:rPr>
      </w:r>
    </w:p>
    <w:bookmarkStart w:id="1146" w:name="P1146"/>
    <w:bookmarkEnd w:id="1146"/>
    <w:p>
      <w:pPr>
        <w:pStyle w:val="0"/>
        <w:outlineLvl w:val="3"/>
        <w:jc w:val="both"/>
      </w:pPr>
      <w:r>
        <w:rPr>
          <w:sz w:val="20"/>
        </w:rPr>
        <w:t xml:space="preserve">Таблица 6</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795"/>
        <w:gridCol w:w="2310"/>
        <w:gridCol w:w="1980"/>
        <w:gridCol w:w="2145"/>
        <w:gridCol w:w="1980"/>
      </w:tblGrid>
      <w:tr>
        <w:tc>
          <w:tcPr>
            <w:tcW w:w="3795" w:type="dxa"/>
            <w:vMerge w:val="restart"/>
          </w:tcPr>
          <w:p>
            <w:pPr>
              <w:pStyle w:val="0"/>
              <w:jc w:val="center"/>
            </w:pPr>
            <w:r>
              <w:rPr>
                <w:sz w:val="20"/>
              </w:rPr>
              <w:t xml:space="preserve">Наименование здания, сооружения</w:t>
            </w:r>
          </w:p>
        </w:tc>
        <w:tc>
          <w:tcPr>
            <w:gridSpan w:val="4"/>
            <w:tcW w:w="8415" w:type="dxa"/>
          </w:tcPr>
          <w:p>
            <w:pPr>
              <w:pStyle w:val="0"/>
              <w:jc w:val="center"/>
            </w:pPr>
            <w:r>
              <w:rPr>
                <w:sz w:val="20"/>
              </w:rPr>
              <w:t xml:space="preserve">Противопожарные расстояния, метры</w:t>
            </w:r>
          </w:p>
        </w:tc>
      </w:tr>
      <w:tr>
        <w:tc>
          <w:tcPr>
            <w:vMerge w:val="continue"/>
          </w:tcPr>
          <w:p/>
        </w:tc>
        <w:tc>
          <w:tcPr>
            <w:tcW w:w="2310" w:type="dxa"/>
          </w:tcPr>
          <w:p>
            <w:pPr>
              <w:pStyle w:val="0"/>
              <w:jc w:val="center"/>
            </w:pPr>
            <w:r>
              <w:rPr>
                <w:sz w:val="20"/>
              </w:rPr>
              <w:t xml:space="preserve">Резервуары надземные под давлением</w:t>
            </w:r>
          </w:p>
        </w:tc>
        <w:tc>
          <w:tcPr>
            <w:tcW w:w="1980" w:type="dxa"/>
          </w:tcPr>
          <w:p>
            <w:pPr>
              <w:pStyle w:val="0"/>
              <w:jc w:val="center"/>
            </w:pPr>
            <w:r>
              <w:rPr>
                <w:sz w:val="20"/>
              </w:rPr>
              <w:t xml:space="preserve">Резервуары подземные под давлением</w:t>
            </w:r>
          </w:p>
        </w:tc>
        <w:tc>
          <w:tcPr>
            <w:tcW w:w="2145" w:type="dxa"/>
          </w:tcPr>
          <w:p>
            <w:pPr>
              <w:pStyle w:val="0"/>
              <w:jc w:val="center"/>
            </w:pPr>
            <w:r>
              <w:rPr>
                <w:sz w:val="20"/>
              </w:rPr>
              <w:t xml:space="preserve">Резервуары надземные изотермические</w:t>
            </w:r>
          </w:p>
        </w:tc>
        <w:tc>
          <w:tcPr>
            <w:tcW w:w="1980" w:type="dxa"/>
          </w:tcPr>
          <w:p>
            <w:pPr>
              <w:pStyle w:val="0"/>
              <w:jc w:val="center"/>
            </w:pPr>
            <w:r>
              <w:rPr>
                <w:sz w:val="20"/>
              </w:rPr>
              <w:t xml:space="preserve">Резервуары подземные изотермические</w:t>
            </w:r>
          </w:p>
        </w:tc>
      </w:tr>
      <w:tr>
        <w:tc>
          <w:tcPr>
            <w:tcW w:w="3795" w:type="dxa"/>
          </w:tcPr>
          <w:p>
            <w:pPr>
              <w:pStyle w:val="0"/>
              <w:jc w:val="both"/>
            </w:pPr>
            <w:r>
              <w:rPr>
                <w:sz w:val="20"/>
              </w:rPr>
              <w:t xml:space="preserve">Трамвайные пути и троллейбусные линии, подъездные железнодорожные пути (до подошвы насыпи или бровки выемки) и автомобильные дороги общей сети (край проезжей части)</w:t>
            </w:r>
          </w:p>
        </w:tc>
        <w:tc>
          <w:tcPr>
            <w:tcW w:w="2310" w:type="dxa"/>
            <w:vAlign w:val="bottom"/>
          </w:tcPr>
          <w:p>
            <w:pPr>
              <w:pStyle w:val="0"/>
              <w:jc w:val="center"/>
            </w:pPr>
            <w:r>
              <w:rPr>
                <w:sz w:val="20"/>
              </w:rPr>
              <w:t xml:space="preserve">100</w:t>
            </w:r>
          </w:p>
        </w:tc>
        <w:tc>
          <w:tcPr>
            <w:tcW w:w="1980" w:type="dxa"/>
            <w:vAlign w:val="bottom"/>
          </w:tcPr>
          <w:p>
            <w:pPr>
              <w:pStyle w:val="0"/>
              <w:jc w:val="center"/>
            </w:pPr>
            <w:r>
              <w:rPr>
                <w:sz w:val="20"/>
              </w:rPr>
              <w:t xml:space="preserve">50</w:t>
            </w:r>
          </w:p>
        </w:tc>
        <w:tc>
          <w:tcPr>
            <w:tcW w:w="2145" w:type="dxa"/>
            <w:vAlign w:val="bottom"/>
          </w:tcPr>
          <w:p>
            <w:pPr>
              <w:pStyle w:val="0"/>
              <w:jc w:val="center"/>
            </w:pPr>
            <w:r>
              <w:rPr>
                <w:sz w:val="20"/>
              </w:rPr>
              <w:t xml:space="preserve">100</w:t>
            </w:r>
          </w:p>
        </w:tc>
        <w:tc>
          <w:tcPr>
            <w:tcW w:w="1980" w:type="dxa"/>
            <w:vAlign w:val="bottom"/>
          </w:tcPr>
          <w:p>
            <w:pPr>
              <w:pStyle w:val="0"/>
              <w:jc w:val="center"/>
            </w:pPr>
            <w:r>
              <w:rPr>
                <w:sz w:val="20"/>
              </w:rPr>
              <w:t xml:space="preserve">50</w:t>
            </w:r>
          </w:p>
        </w:tc>
      </w:tr>
      <w:tr>
        <w:tc>
          <w:tcPr>
            <w:tcW w:w="3795" w:type="dxa"/>
          </w:tcPr>
          <w:p>
            <w:pPr>
              <w:pStyle w:val="0"/>
              <w:jc w:val="both"/>
            </w:pPr>
            <w:r>
              <w:rPr>
                <w:sz w:val="20"/>
              </w:rPr>
              <w:t xml:space="preserve">Линии электропередачи (воздушные)</w:t>
            </w:r>
          </w:p>
        </w:tc>
        <w:tc>
          <w:tcPr>
            <w:tcW w:w="2310" w:type="dxa"/>
          </w:tcPr>
          <w:p>
            <w:pPr>
              <w:pStyle w:val="0"/>
            </w:pPr>
            <w:r>
              <w:rPr>
                <w:sz w:val="20"/>
              </w:rPr>
              <w:t xml:space="preserve">Не менее 1,5 высоты опоры</w:t>
            </w:r>
          </w:p>
        </w:tc>
        <w:tc>
          <w:tcPr>
            <w:tcW w:w="1980" w:type="dxa"/>
          </w:tcPr>
          <w:p>
            <w:pPr>
              <w:pStyle w:val="0"/>
              <w:jc w:val="center"/>
            </w:pPr>
            <w:r>
              <w:rPr>
                <w:sz w:val="20"/>
              </w:rPr>
              <w:t xml:space="preserve">Не менее 1,5 высоты опоры</w:t>
            </w:r>
          </w:p>
        </w:tc>
        <w:tc>
          <w:tcPr>
            <w:tcW w:w="2145" w:type="dxa"/>
          </w:tcPr>
          <w:p>
            <w:pPr>
              <w:pStyle w:val="0"/>
              <w:jc w:val="both"/>
            </w:pPr>
            <w:r>
              <w:rPr>
                <w:sz w:val="20"/>
              </w:rPr>
              <w:t xml:space="preserve">Не менее 1,5 высоты опоры</w:t>
            </w:r>
          </w:p>
        </w:tc>
        <w:tc>
          <w:tcPr>
            <w:tcW w:w="1980" w:type="dxa"/>
          </w:tcPr>
          <w:p>
            <w:pPr>
              <w:pStyle w:val="0"/>
              <w:jc w:val="center"/>
            </w:pPr>
            <w:r>
              <w:rPr>
                <w:sz w:val="20"/>
              </w:rPr>
              <w:t xml:space="preserve">Не менее 1,5 высоты опоры</w:t>
            </w:r>
          </w:p>
        </w:tc>
      </w:tr>
      <w:tr>
        <w:tc>
          <w:tcPr>
            <w:tcW w:w="3795" w:type="dxa"/>
          </w:tcPr>
          <w:p>
            <w:pPr>
              <w:pStyle w:val="0"/>
              <w:jc w:val="both"/>
            </w:pPr>
            <w:r>
              <w:rPr>
                <w:sz w:val="20"/>
              </w:rPr>
              <w:t xml:space="preserve">Здания, сооружения производственной, складской, подсобной зоны товарно-сырьевой базы или склада</w:t>
            </w:r>
          </w:p>
        </w:tc>
        <w:tc>
          <w:tcPr>
            <w:tcW w:w="2310" w:type="dxa"/>
            <w:vAlign w:val="bottom"/>
          </w:tcPr>
          <w:p>
            <w:pPr>
              <w:pStyle w:val="0"/>
              <w:jc w:val="center"/>
            </w:pPr>
            <w:r>
              <w:rPr>
                <w:sz w:val="20"/>
              </w:rPr>
              <w:t xml:space="preserve">300</w:t>
            </w:r>
          </w:p>
        </w:tc>
        <w:tc>
          <w:tcPr>
            <w:tcW w:w="1980" w:type="dxa"/>
            <w:vAlign w:val="bottom"/>
          </w:tcPr>
          <w:p>
            <w:pPr>
              <w:pStyle w:val="0"/>
              <w:jc w:val="center"/>
            </w:pPr>
            <w:r>
              <w:rPr>
                <w:sz w:val="20"/>
              </w:rPr>
              <w:t xml:space="preserve">250</w:t>
            </w:r>
          </w:p>
        </w:tc>
        <w:tc>
          <w:tcPr>
            <w:tcW w:w="2145" w:type="dxa"/>
            <w:vAlign w:val="bottom"/>
          </w:tcPr>
          <w:p>
            <w:pPr>
              <w:pStyle w:val="0"/>
              <w:jc w:val="center"/>
            </w:pPr>
            <w:r>
              <w:rPr>
                <w:sz w:val="20"/>
              </w:rPr>
              <w:t xml:space="preserve">300</w:t>
            </w:r>
          </w:p>
        </w:tc>
        <w:tc>
          <w:tcPr>
            <w:tcW w:w="1980" w:type="dxa"/>
            <w:vAlign w:val="bottom"/>
          </w:tcPr>
          <w:p>
            <w:pPr>
              <w:pStyle w:val="0"/>
              <w:jc w:val="center"/>
            </w:pPr>
            <w:r>
              <w:rPr>
                <w:sz w:val="20"/>
              </w:rPr>
              <w:t xml:space="preserve">200</w:t>
            </w:r>
          </w:p>
        </w:tc>
      </w:tr>
      <w:tr>
        <w:tc>
          <w:tcPr>
            <w:tcW w:w="3795" w:type="dxa"/>
          </w:tcPr>
          <w:p>
            <w:pPr>
              <w:pStyle w:val="0"/>
              <w:jc w:val="both"/>
            </w:pPr>
            <w:r>
              <w:rPr>
                <w:sz w:val="20"/>
              </w:rPr>
              <w:t xml:space="preserve">Здания, сооружения предзаводской (административной) зоны организации</w:t>
            </w:r>
          </w:p>
        </w:tc>
        <w:tc>
          <w:tcPr>
            <w:tcW w:w="2310" w:type="dxa"/>
            <w:vAlign w:val="bottom"/>
          </w:tcPr>
          <w:p>
            <w:pPr>
              <w:pStyle w:val="0"/>
              <w:jc w:val="center"/>
            </w:pPr>
            <w:r>
              <w:rPr>
                <w:sz w:val="20"/>
              </w:rPr>
              <w:t xml:space="preserve">500</w:t>
            </w:r>
          </w:p>
        </w:tc>
        <w:tc>
          <w:tcPr>
            <w:tcW w:w="1980" w:type="dxa"/>
            <w:vAlign w:val="bottom"/>
          </w:tcPr>
          <w:p>
            <w:pPr>
              <w:pStyle w:val="0"/>
              <w:jc w:val="center"/>
            </w:pPr>
            <w:r>
              <w:rPr>
                <w:sz w:val="20"/>
              </w:rPr>
              <w:t xml:space="preserve">300</w:t>
            </w:r>
          </w:p>
        </w:tc>
        <w:tc>
          <w:tcPr>
            <w:tcW w:w="2145" w:type="dxa"/>
            <w:vAlign w:val="bottom"/>
          </w:tcPr>
          <w:p>
            <w:pPr>
              <w:pStyle w:val="0"/>
              <w:jc w:val="center"/>
            </w:pPr>
            <w:r>
              <w:rPr>
                <w:sz w:val="20"/>
              </w:rPr>
              <w:t xml:space="preserve">500</w:t>
            </w:r>
          </w:p>
        </w:tc>
        <w:tc>
          <w:tcPr>
            <w:tcW w:w="1980" w:type="dxa"/>
            <w:vAlign w:val="bottom"/>
          </w:tcPr>
          <w:p>
            <w:pPr>
              <w:pStyle w:val="0"/>
              <w:jc w:val="center"/>
            </w:pPr>
            <w:r>
              <w:rPr>
                <w:sz w:val="20"/>
              </w:rPr>
              <w:t xml:space="preserve">300</w:t>
            </w:r>
          </w:p>
        </w:tc>
      </w:tr>
      <w:tr>
        <w:tc>
          <w:tcPr>
            <w:tcW w:w="3795" w:type="dxa"/>
          </w:tcPr>
          <w:p>
            <w:pPr>
              <w:pStyle w:val="0"/>
              <w:jc w:val="both"/>
            </w:pPr>
            <w:r>
              <w:rPr>
                <w:sz w:val="20"/>
              </w:rPr>
              <w:t xml:space="preserve">Факельная установка (до ствола факела)</w:t>
            </w:r>
          </w:p>
        </w:tc>
        <w:tc>
          <w:tcPr>
            <w:tcW w:w="2310" w:type="dxa"/>
            <w:vAlign w:val="bottom"/>
          </w:tcPr>
          <w:p>
            <w:pPr>
              <w:pStyle w:val="0"/>
              <w:jc w:val="center"/>
            </w:pPr>
            <w:r>
              <w:rPr>
                <w:sz w:val="20"/>
              </w:rPr>
              <w:t xml:space="preserve">200</w:t>
            </w:r>
          </w:p>
        </w:tc>
        <w:tc>
          <w:tcPr>
            <w:tcW w:w="1980" w:type="dxa"/>
            <w:vAlign w:val="bottom"/>
          </w:tcPr>
          <w:p>
            <w:pPr>
              <w:pStyle w:val="0"/>
              <w:jc w:val="center"/>
            </w:pPr>
            <w:r>
              <w:rPr>
                <w:sz w:val="20"/>
              </w:rPr>
              <w:t xml:space="preserve">100</w:t>
            </w:r>
          </w:p>
        </w:tc>
        <w:tc>
          <w:tcPr>
            <w:tcW w:w="2145" w:type="dxa"/>
            <w:vAlign w:val="bottom"/>
          </w:tcPr>
          <w:p>
            <w:pPr>
              <w:pStyle w:val="0"/>
              <w:jc w:val="center"/>
            </w:pPr>
            <w:r>
              <w:rPr>
                <w:sz w:val="20"/>
              </w:rPr>
              <w:t xml:space="preserve">200</w:t>
            </w:r>
          </w:p>
        </w:tc>
        <w:tc>
          <w:tcPr>
            <w:tcW w:w="1980" w:type="dxa"/>
            <w:vAlign w:val="bottom"/>
          </w:tcPr>
          <w:p>
            <w:pPr>
              <w:pStyle w:val="0"/>
              <w:jc w:val="center"/>
            </w:pPr>
            <w:r>
              <w:rPr>
                <w:sz w:val="20"/>
              </w:rPr>
              <w:t xml:space="preserve">100</w:t>
            </w:r>
          </w:p>
        </w:tc>
      </w:tr>
      <w:tr>
        <w:tc>
          <w:tcPr>
            <w:tcW w:w="3795" w:type="dxa"/>
          </w:tcPr>
          <w:p>
            <w:pPr>
              <w:pStyle w:val="0"/>
              <w:jc w:val="both"/>
            </w:pPr>
            <w:r>
              <w:rPr>
                <w:sz w:val="20"/>
              </w:rPr>
              <w:t xml:space="preserve">Границы территорий смежных организаций (до ограждения)</w:t>
            </w:r>
          </w:p>
        </w:tc>
        <w:tc>
          <w:tcPr>
            <w:tcW w:w="2310" w:type="dxa"/>
            <w:vAlign w:val="bottom"/>
          </w:tcPr>
          <w:p>
            <w:pPr>
              <w:pStyle w:val="0"/>
              <w:jc w:val="center"/>
            </w:pPr>
            <w:r>
              <w:rPr>
                <w:sz w:val="20"/>
              </w:rPr>
              <w:t xml:space="preserve">300</w:t>
            </w:r>
          </w:p>
        </w:tc>
        <w:tc>
          <w:tcPr>
            <w:tcW w:w="1980" w:type="dxa"/>
            <w:vAlign w:val="bottom"/>
          </w:tcPr>
          <w:p>
            <w:pPr>
              <w:pStyle w:val="0"/>
              <w:jc w:val="center"/>
            </w:pPr>
            <w:r>
              <w:rPr>
                <w:sz w:val="20"/>
              </w:rPr>
              <w:t xml:space="preserve">200</w:t>
            </w:r>
          </w:p>
        </w:tc>
        <w:tc>
          <w:tcPr>
            <w:tcW w:w="2145" w:type="dxa"/>
            <w:vAlign w:val="bottom"/>
          </w:tcPr>
          <w:p>
            <w:pPr>
              <w:pStyle w:val="0"/>
              <w:jc w:val="center"/>
            </w:pPr>
            <w:r>
              <w:rPr>
                <w:sz w:val="20"/>
              </w:rPr>
              <w:t xml:space="preserve">300</w:t>
            </w:r>
          </w:p>
        </w:tc>
        <w:tc>
          <w:tcPr>
            <w:tcW w:w="1980" w:type="dxa"/>
            <w:vAlign w:val="bottom"/>
          </w:tcPr>
          <w:p>
            <w:pPr>
              <w:pStyle w:val="0"/>
              <w:jc w:val="center"/>
            </w:pPr>
            <w:r>
              <w:rPr>
                <w:sz w:val="20"/>
              </w:rPr>
              <w:t xml:space="preserve">200</w:t>
            </w:r>
          </w:p>
        </w:tc>
      </w:tr>
      <w:tr>
        <w:tc>
          <w:tcPr>
            <w:tcW w:w="3795" w:type="dxa"/>
          </w:tcPr>
          <w:p>
            <w:pPr>
              <w:pStyle w:val="0"/>
              <w:jc w:val="both"/>
            </w:pPr>
            <w:r>
              <w:rPr>
                <w:sz w:val="20"/>
              </w:rPr>
              <w:t xml:space="preserve">Жилые и общественные здания</w:t>
            </w:r>
          </w:p>
        </w:tc>
        <w:tc>
          <w:tcPr>
            <w:tcW w:w="2310" w:type="dxa"/>
          </w:tcPr>
          <w:p>
            <w:pPr>
              <w:pStyle w:val="0"/>
            </w:pPr>
            <w:r>
              <w:rPr>
                <w:sz w:val="20"/>
              </w:rPr>
              <w:t xml:space="preserve">Вне пределов санитарно-защитной зоны, но не менее 500</w:t>
            </w:r>
          </w:p>
        </w:tc>
        <w:tc>
          <w:tcPr>
            <w:tcW w:w="1980" w:type="dxa"/>
          </w:tcPr>
          <w:p>
            <w:pPr>
              <w:pStyle w:val="0"/>
              <w:jc w:val="center"/>
            </w:pPr>
            <w:r>
              <w:rPr>
                <w:sz w:val="20"/>
              </w:rPr>
              <w:t xml:space="preserve">Вне пределов санитарно-защитной зоны, но не менее 300</w:t>
            </w:r>
          </w:p>
        </w:tc>
        <w:tc>
          <w:tcPr>
            <w:tcW w:w="2145" w:type="dxa"/>
          </w:tcPr>
          <w:p>
            <w:pPr>
              <w:pStyle w:val="0"/>
              <w:jc w:val="center"/>
            </w:pPr>
            <w:r>
              <w:rPr>
                <w:sz w:val="20"/>
              </w:rPr>
              <w:t xml:space="preserve">Вне пределов санитарно-защитной зоны, но не менее 500</w:t>
            </w:r>
          </w:p>
        </w:tc>
        <w:tc>
          <w:tcPr>
            <w:tcW w:w="1980" w:type="dxa"/>
          </w:tcPr>
          <w:p>
            <w:pPr>
              <w:pStyle w:val="0"/>
              <w:jc w:val="center"/>
            </w:pPr>
            <w:r>
              <w:rPr>
                <w:sz w:val="20"/>
              </w:rPr>
              <w:t xml:space="preserve">Вне пределов санитарно-защитной зоны, но не менее 300</w:t>
            </w:r>
          </w:p>
        </w:tc>
      </w:tr>
      <w:tr>
        <w:tc>
          <w:tcPr>
            <w:tcW w:w="3795" w:type="dxa"/>
          </w:tcPr>
          <w:p>
            <w:pPr>
              <w:pStyle w:val="0"/>
            </w:pPr>
            <w:r>
              <w:rPr>
                <w:sz w:val="20"/>
              </w:rPr>
              <w:t xml:space="preserve">ТЭЦ</w:t>
            </w:r>
          </w:p>
        </w:tc>
        <w:tc>
          <w:tcPr>
            <w:tcW w:w="2310" w:type="dxa"/>
          </w:tcPr>
          <w:p>
            <w:pPr>
              <w:pStyle w:val="0"/>
              <w:jc w:val="center"/>
            </w:pPr>
            <w:r>
              <w:rPr>
                <w:sz w:val="20"/>
              </w:rPr>
              <w:t xml:space="preserve">300</w:t>
            </w:r>
          </w:p>
        </w:tc>
        <w:tc>
          <w:tcPr>
            <w:tcW w:w="1980" w:type="dxa"/>
          </w:tcPr>
          <w:p>
            <w:pPr>
              <w:pStyle w:val="0"/>
              <w:jc w:val="center"/>
            </w:pPr>
            <w:r>
              <w:rPr>
                <w:sz w:val="20"/>
              </w:rPr>
              <w:t xml:space="preserve">200</w:t>
            </w:r>
          </w:p>
        </w:tc>
        <w:tc>
          <w:tcPr>
            <w:tcW w:w="2145" w:type="dxa"/>
          </w:tcPr>
          <w:p>
            <w:pPr>
              <w:pStyle w:val="0"/>
              <w:jc w:val="center"/>
            </w:pPr>
            <w:r>
              <w:rPr>
                <w:sz w:val="20"/>
              </w:rPr>
              <w:t xml:space="preserve">300</w:t>
            </w:r>
          </w:p>
        </w:tc>
        <w:tc>
          <w:tcPr>
            <w:tcW w:w="1980" w:type="dxa"/>
          </w:tcPr>
          <w:p>
            <w:pPr>
              <w:pStyle w:val="0"/>
              <w:jc w:val="center"/>
            </w:pPr>
            <w:r>
              <w:rPr>
                <w:sz w:val="20"/>
              </w:rPr>
              <w:t xml:space="preserve">200</w:t>
            </w:r>
          </w:p>
        </w:tc>
      </w:tr>
      <w:tr>
        <w:tblPrEx>
          <w:tblBorders>
            <w:insideH w:val="nil"/>
          </w:tblBorders>
        </w:tblPrEx>
        <w:tc>
          <w:tcPr>
            <w:tcW w:w="3795" w:type="dxa"/>
            <w:tcBorders>
              <w:bottom w:val="nil"/>
            </w:tcBorders>
          </w:tcPr>
          <w:p>
            <w:pPr>
              <w:pStyle w:val="0"/>
              <w:jc w:val="both"/>
            </w:pPr>
            <w:r>
              <w:rPr>
                <w:sz w:val="20"/>
              </w:rPr>
              <w:t xml:space="preserve">Лесничества с лесными насаждениями хвойных пород (от ограждения товарно-сырьевой базы или склада)</w:t>
            </w:r>
          </w:p>
        </w:tc>
        <w:tc>
          <w:tcPr>
            <w:tcW w:w="2310" w:type="dxa"/>
            <w:vAlign w:val="bottom"/>
            <w:tcBorders>
              <w:bottom w:val="nil"/>
            </w:tcBorders>
          </w:tcPr>
          <w:p>
            <w:pPr>
              <w:pStyle w:val="0"/>
              <w:jc w:val="center"/>
            </w:pPr>
            <w:r>
              <w:rPr>
                <w:sz w:val="20"/>
              </w:rPr>
              <w:t xml:space="preserve">100</w:t>
            </w:r>
          </w:p>
        </w:tc>
        <w:tc>
          <w:tcPr>
            <w:tcW w:w="1980" w:type="dxa"/>
            <w:vAlign w:val="bottom"/>
            <w:tcBorders>
              <w:bottom w:val="nil"/>
            </w:tcBorders>
          </w:tcPr>
          <w:p>
            <w:pPr>
              <w:pStyle w:val="0"/>
              <w:jc w:val="center"/>
            </w:pPr>
            <w:r>
              <w:rPr>
                <w:sz w:val="20"/>
              </w:rPr>
              <w:t xml:space="preserve">75</w:t>
            </w:r>
          </w:p>
        </w:tc>
        <w:tc>
          <w:tcPr>
            <w:tcW w:w="2145" w:type="dxa"/>
            <w:vAlign w:val="bottom"/>
            <w:tcBorders>
              <w:bottom w:val="nil"/>
            </w:tcBorders>
          </w:tcPr>
          <w:p>
            <w:pPr>
              <w:pStyle w:val="0"/>
              <w:jc w:val="center"/>
            </w:pPr>
            <w:r>
              <w:rPr>
                <w:sz w:val="20"/>
              </w:rPr>
              <w:t xml:space="preserve">100</w:t>
            </w:r>
          </w:p>
        </w:tc>
        <w:tc>
          <w:tcPr>
            <w:tcW w:w="1980" w:type="dxa"/>
            <w:vAlign w:val="bottom"/>
            <w:tcBorders>
              <w:bottom w:val="nil"/>
            </w:tcBorders>
          </w:tcPr>
          <w:p>
            <w:pPr>
              <w:pStyle w:val="0"/>
              <w:jc w:val="center"/>
            </w:pPr>
            <w:r>
              <w:rPr>
                <w:sz w:val="20"/>
              </w:rPr>
              <w:t xml:space="preserve">75</w:t>
            </w:r>
          </w:p>
        </w:tc>
      </w:tr>
      <w:tr>
        <w:tblPrEx>
          <w:tblBorders>
            <w:insideH w:val="nil"/>
          </w:tblBorders>
        </w:tblPrEx>
        <w:tc>
          <w:tcPr>
            <w:gridSpan w:val="5"/>
            <w:tcW w:w="12210" w:type="dxa"/>
            <w:tcBorders>
              <w:top w:val="nil"/>
            </w:tcBorders>
          </w:tcPr>
          <w:p>
            <w:pPr>
              <w:pStyle w:val="0"/>
              <w:jc w:val="both"/>
            </w:pPr>
            <w:r>
              <w:rPr>
                <w:sz w:val="20"/>
              </w:rPr>
              <w:t xml:space="preserve">(в ред. </w:t>
            </w:r>
            <w:hyperlink w:history="0" r:id="rId225"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tc>
      </w:tr>
      <w:tr>
        <w:tblPrEx>
          <w:tblBorders>
            <w:insideH w:val="nil"/>
          </w:tblBorders>
        </w:tblPrEx>
        <w:tc>
          <w:tcPr>
            <w:tcW w:w="3795" w:type="dxa"/>
            <w:tcBorders>
              <w:bottom w:val="nil"/>
            </w:tcBorders>
          </w:tcPr>
          <w:p>
            <w:pPr>
              <w:pStyle w:val="0"/>
              <w:jc w:val="both"/>
            </w:pPr>
            <w:r>
              <w:rPr>
                <w:sz w:val="20"/>
              </w:rPr>
              <w:t xml:space="preserve">Лесничества с лесными насаждениями лиственных пород (от ограждения товарно-сырьевой базы или склада)</w:t>
            </w:r>
          </w:p>
        </w:tc>
        <w:tc>
          <w:tcPr>
            <w:tcW w:w="2310" w:type="dxa"/>
            <w:vAlign w:val="bottom"/>
            <w:tcBorders>
              <w:bottom w:val="nil"/>
            </w:tcBorders>
          </w:tcPr>
          <w:p>
            <w:pPr>
              <w:pStyle w:val="0"/>
              <w:jc w:val="center"/>
            </w:pPr>
            <w:r>
              <w:rPr>
                <w:sz w:val="20"/>
              </w:rPr>
              <w:t xml:space="preserve">20</w:t>
            </w:r>
          </w:p>
        </w:tc>
        <w:tc>
          <w:tcPr>
            <w:tcW w:w="1980" w:type="dxa"/>
            <w:vAlign w:val="bottom"/>
            <w:tcBorders>
              <w:bottom w:val="nil"/>
            </w:tcBorders>
          </w:tcPr>
          <w:p>
            <w:pPr>
              <w:pStyle w:val="0"/>
              <w:jc w:val="center"/>
            </w:pPr>
            <w:r>
              <w:rPr>
                <w:sz w:val="20"/>
              </w:rPr>
              <w:t xml:space="preserve">20</w:t>
            </w:r>
          </w:p>
        </w:tc>
        <w:tc>
          <w:tcPr>
            <w:tcW w:w="2145" w:type="dxa"/>
            <w:vAlign w:val="bottom"/>
            <w:tcBorders>
              <w:bottom w:val="nil"/>
            </w:tcBorders>
          </w:tcPr>
          <w:p>
            <w:pPr>
              <w:pStyle w:val="0"/>
              <w:jc w:val="center"/>
            </w:pPr>
            <w:r>
              <w:rPr>
                <w:sz w:val="20"/>
              </w:rPr>
              <w:t xml:space="preserve">20</w:t>
            </w:r>
          </w:p>
        </w:tc>
        <w:tc>
          <w:tcPr>
            <w:tcW w:w="1980" w:type="dxa"/>
            <w:vAlign w:val="bottom"/>
            <w:tcBorders>
              <w:bottom w:val="nil"/>
            </w:tcBorders>
          </w:tcPr>
          <w:p>
            <w:pPr>
              <w:pStyle w:val="0"/>
              <w:jc w:val="center"/>
            </w:pPr>
            <w:r>
              <w:rPr>
                <w:sz w:val="20"/>
              </w:rPr>
              <w:t xml:space="preserve">20</w:t>
            </w:r>
          </w:p>
        </w:tc>
      </w:tr>
      <w:tr>
        <w:tblPrEx>
          <w:tblBorders>
            <w:insideH w:val="nil"/>
          </w:tblBorders>
        </w:tblPrEx>
        <w:tc>
          <w:tcPr>
            <w:gridSpan w:val="5"/>
            <w:tcW w:w="12210" w:type="dxa"/>
            <w:tcBorders>
              <w:top w:val="nil"/>
            </w:tcBorders>
          </w:tcPr>
          <w:p>
            <w:pPr>
              <w:pStyle w:val="0"/>
              <w:jc w:val="both"/>
            </w:pPr>
            <w:r>
              <w:rPr>
                <w:sz w:val="20"/>
              </w:rPr>
              <w:t xml:space="preserve">(в ред. </w:t>
            </w:r>
            <w:hyperlink w:history="0" r:id="rId226"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tc>
      </w:tr>
      <w:tr>
        <w:tc>
          <w:tcPr>
            <w:tcW w:w="3795" w:type="dxa"/>
          </w:tcPr>
          <w:p>
            <w:pPr>
              <w:pStyle w:val="0"/>
              <w:jc w:val="both"/>
            </w:pPr>
            <w:r>
              <w:rPr>
                <w:sz w:val="20"/>
              </w:rPr>
              <w:t xml:space="preserve">Объекты морского и речного транспорта, гидротехнические сооружения, мосты при расположении складов ниже по течению от этих объектов</w:t>
            </w:r>
          </w:p>
        </w:tc>
        <w:tc>
          <w:tcPr>
            <w:tcW w:w="2310" w:type="dxa"/>
            <w:vAlign w:val="bottom"/>
          </w:tcPr>
          <w:p>
            <w:pPr>
              <w:pStyle w:val="0"/>
              <w:jc w:val="center"/>
            </w:pPr>
            <w:r>
              <w:rPr>
                <w:sz w:val="20"/>
              </w:rPr>
              <w:t xml:space="preserve">300</w:t>
            </w:r>
          </w:p>
        </w:tc>
        <w:tc>
          <w:tcPr>
            <w:tcW w:w="1980" w:type="dxa"/>
            <w:vAlign w:val="bottom"/>
          </w:tcPr>
          <w:p>
            <w:pPr>
              <w:pStyle w:val="0"/>
              <w:jc w:val="center"/>
            </w:pPr>
            <w:r>
              <w:rPr>
                <w:sz w:val="20"/>
              </w:rPr>
              <w:t xml:space="preserve">200</w:t>
            </w:r>
          </w:p>
        </w:tc>
        <w:tc>
          <w:tcPr>
            <w:tcW w:w="2145" w:type="dxa"/>
            <w:vAlign w:val="bottom"/>
          </w:tcPr>
          <w:p>
            <w:pPr>
              <w:pStyle w:val="0"/>
              <w:jc w:val="center"/>
            </w:pPr>
            <w:r>
              <w:rPr>
                <w:sz w:val="20"/>
              </w:rPr>
              <w:t xml:space="preserve">300</w:t>
            </w:r>
          </w:p>
        </w:tc>
        <w:tc>
          <w:tcPr>
            <w:tcW w:w="1980" w:type="dxa"/>
            <w:vAlign w:val="bottom"/>
          </w:tcPr>
          <w:p>
            <w:pPr>
              <w:pStyle w:val="0"/>
              <w:jc w:val="center"/>
            </w:pPr>
            <w:r>
              <w:rPr>
                <w:sz w:val="20"/>
              </w:rPr>
              <w:t xml:space="preserve">200</w:t>
            </w:r>
          </w:p>
        </w:tc>
      </w:tr>
      <w:tr>
        <w:tc>
          <w:tcPr>
            <w:tcW w:w="3795" w:type="dxa"/>
          </w:tcPr>
          <w:p>
            <w:pPr>
              <w:pStyle w:val="0"/>
              <w:jc w:val="both"/>
            </w:pPr>
            <w:r>
              <w:rPr>
                <w:sz w:val="20"/>
              </w:rPr>
              <w:t xml:space="preserve">Объекты морского и речного транспорта, гидротехнические сооружения, мосты при расположении складов выше по течению от этих объектов</w:t>
            </w:r>
          </w:p>
        </w:tc>
        <w:tc>
          <w:tcPr>
            <w:tcW w:w="2310" w:type="dxa"/>
            <w:vAlign w:val="bottom"/>
          </w:tcPr>
          <w:p>
            <w:pPr>
              <w:pStyle w:val="0"/>
              <w:jc w:val="center"/>
            </w:pPr>
            <w:r>
              <w:rPr>
                <w:sz w:val="20"/>
              </w:rPr>
              <w:t xml:space="preserve">3000</w:t>
            </w:r>
          </w:p>
        </w:tc>
        <w:tc>
          <w:tcPr>
            <w:tcW w:w="1980" w:type="dxa"/>
            <w:vAlign w:val="bottom"/>
          </w:tcPr>
          <w:p>
            <w:pPr>
              <w:pStyle w:val="0"/>
              <w:jc w:val="center"/>
            </w:pPr>
            <w:r>
              <w:rPr>
                <w:sz w:val="20"/>
              </w:rPr>
              <w:t xml:space="preserve">2000</w:t>
            </w:r>
          </w:p>
        </w:tc>
        <w:tc>
          <w:tcPr>
            <w:tcW w:w="2145" w:type="dxa"/>
            <w:vAlign w:val="bottom"/>
          </w:tcPr>
          <w:p>
            <w:pPr>
              <w:pStyle w:val="0"/>
              <w:jc w:val="center"/>
            </w:pPr>
            <w:r>
              <w:rPr>
                <w:sz w:val="20"/>
              </w:rPr>
              <w:t xml:space="preserve">3000</w:t>
            </w:r>
          </w:p>
        </w:tc>
        <w:tc>
          <w:tcPr>
            <w:tcW w:w="1980" w:type="dxa"/>
            <w:vAlign w:val="bottom"/>
          </w:tcPr>
          <w:p>
            <w:pPr>
              <w:pStyle w:val="0"/>
              <w:jc w:val="center"/>
            </w:pPr>
            <w:r>
              <w:rPr>
                <w:sz w:val="20"/>
              </w:rPr>
              <w:t xml:space="preserve">2000</w:t>
            </w:r>
          </w:p>
        </w:tc>
      </w:tr>
    </w:tbl>
    <w:p>
      <w:pPr>
        <w:pStyle w:val="0"/>
        <w:ind w:firstLine="540"/>
        <w:jc w:val="both"/>
      </w:pPr>
      <w:r>
        <w:rPr>
          <w:sz w:val="20"/>
        </w:rPr>
      </w:r>
    </w:p>
    <w:p>
      <w:pPr>
        <w:pStyle w:val="0"/>
        <w:ind w:firstLine="540"/>
        <w:jc w:val="both"/>
      </w:pPr>
      <w:r>
        <w:rPr>
          <w:sz w:val="20"/>
        </w:rPr>
        <w:t xml:space="preserve">6.1.18. Пожарные депо на территории производственных объектов необходимо размещать в соответствии с требованиями </w:t>
      </w:r>
      <w:hyperlink w:history="0" w:anchor="P4428" w:tooltip="[2] Федеральный закон от 22 июля 2008 г. N 123-ФЗ &quot;Технический регламент о требованиях пожарной безопасности&quot;.">
        <w:r>
          <w:rPr>
            <w:sz w:val="20"/>
            <w:color w:val="0000ff"/>
          </w:rPr>
          <w:t xml:space="preserve">[2]</w:t>
        </w:r>
      </w:hyperlink>
      <w:r>
        <w:rPr>
          <w:sz w:val="20"/>
        </w:rPr>
        <w:t xml:space="preserve">.</w:t>
      </w:r>
    </w:p>
    <w:p>
      <w:pPr>
        <w:pStyle w:val="0"/>
        <w:jc w:val="both"/>
      </w:pPr>
      <w:r>
        <w:rPr>
          <w:sz w:val="20"/>
        </w:rPr>
        <w:t xml:space="preserve">(п. 6.1.18 в ред. </w:t>
      </w:r>
      <w:hyperlink w:history="0" r:id="rId227"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6.1.19. Расстояния от газгольдеров для горючих газов до зданий и сооружений принимаются не менее указанных в </w:t>
      </w:r>
      <w:hyperlink w:history="0" w:anchor="P1221" w:tooltip="Таблица 7">
        <w:r>
          <w:rPr>
            <w:sz w:val="20"/>
            <w:color w:val="0000ff"/>
          </w:rPr>
          <w:t xml:space="preserve">таблице 7</w:t>
        </w:r>
      </w:hyperlink>
      <w:r>
        <w:rPr>
          <w:sz w:val="20"/>
        </w:rPr>
        <w:t xml:space="preserve">.</w:t>
      </w:r>
    </w:p>
    <w:p>
      <w:pPr>
        <w:pStyle w:val="0"/>
        <w:ind w:firstLine="540"/>
        <w:jc w:val="both"/>
      </w:pPr>
      <w:r>
        <w:rPr>
          <w:sz w:val="20"/>
        </w:rPr>
      </w:r>
    </w:p>
    <w:bookmarkStart w:id="1221" w:name="P1221"/>
    <w:bookmarkEnd w:id="1221"/>
    <w:p>
      <w:pPr>
        <w:pStyle w:val="0"/>
        <w:outlineLvl w:val="3"/>
        <w:jc w:val="both"/>
      </w:pPr>
      <w:r>
        <w:rPr>
          <w:sz w:val="20"/>
        </w:rPr>
        <w:t xml:space="preserve">Таблица 7</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7095"/>
        <w:gridCol w:w="2640"/>
        <w:gridCol w:w="2475"/>
      </w:tblGrid>
      <w:tr>
        <w:tblPrEx>
          <w:tblBorders>
            <w:insideH w:val="single" w:sz="4"/>
          </w:tblBorders>
        </w:tblPrEx>
        <w:tc>
          <w:tcPr>
            <w:tcW w:w="7095" w:type="dxa"/>
            <w:tcBorders>
              <w:top w:val="single" w:sz="4"/>
              <w:bottom w:val="single" w:sz="4"/>
            </w:tcBorders>
            <w:vMerge w:val="restart"/>
          </w:tcPr>
          <w:p>
            <w:pPr>
              <w:pStyle w:val="0"/>
              <w:jc w:val="center"/>
            </w:pPr>
            <w:r>
              <w:rPr>
                <w:sz w:val="20"/>
              </w:rPr>
              <w:t xml:space="preserve">Здания и сооружения</w:t>
            </w:r>
          </w:p>
        </w:tc>
        <w:tc>
          <w:tcPr>
            <w:gridSpan w:val="2"/>
            <w:tcW w:w="5115" w:type="dxa"/>
            <w:tcBorders>
              <w:top w:val="single" w:sz="4"/>
              <w:bottom w:val="single" w:sz="4"/>
            </w:tcBorders>
          </w:tcPr>
          <w:p>
            <w:pPr>
              <w:pStyle w:val="0"/>
              <w:jc w:val="center"/>
            </w:pPr>
            <w:r>
              <w:rPr>
                <w:sz w:val="20"/>
              </w:rPr>
              <w:t xml:space="preserve">Расстояния от газгольдеров, м</w:t>
            </w:r>
          </w:p>
        </w:tc>
      </w:tr>
      <w:tr>
        <w:tblPrEx>
          <w:tblBorders>
            <w:insideH w:val="single" w:sz="4"/>
          </w:tblBorders>
        </w:tblPrEx>
        <w:tc>
          <w:tcPr>
            <w:tcBorders>
              <w:top w:val="single" w:sz="4"/>
              <w:bottom w:val="single" w:sz="4"/>
            </w:tcBorders>
            <w:vMerge w:val="continue"/>
          </w:tcPr>
          <w:p/>
        </w:tc>
        <w:tc>
          <w:tcPr>
            <w:tcW w:w="2640" w:type="dxa"/>
            <w:tcBorders>
              <w:top w:val="single" w:sz="4"/>
              <w:bottom w:val="single" w:sz="4"/>
            </w:tcBorders>
          </w:tcPr>
          <w:p>
            <w:pPr>
              <w:pStyle w:val="0"/>
              <w:jc w:val="center"/>
            </w:pPr>
            <w:r>
              <w:rPr>
                <w:sz w:val="20"/>
              </w:rPr>
              <w:t xml:space="preserve">поршневых</w:t>
            </w:r>
          </w:p>
        </w:tc>
        <w:tc>
          <w:tcPr>
            <w:tcW w:w="2475" w:type="dxa"/>
            <w:tcBorders>
              <w:top w:val="single" w:sz="4"/>
              <w:bottom w:val="single" w:sz="4"/>
            </w:tcBorders>
          </w:tcPr>
          <w:p>
            <w:pPr>
              <w:pStyle w:val="0"/>
              <w:jc w:val="center"/>
            </w:pPr>
            <w:r>
              <w:rPr>
                <w:sz w:val="20"/>
              </w:rPr>
              <w:t xml:space="preserve">постоянного объема и с водяным бассейном</w:t>
            </w:r>
          </w:p>
        </w:tc>
      </w:tr>
      <w:tr>
        <w:tblPrEx>
          <w:tblBorders>
            <w:insideH w:val="single" w:sz="4"/>
          </w:tblBorders>
        </w:tblPrEx>
        <w:tc>
          <w:tcPr>
            <w:tcW w:w="7095" w:type="dxa"/>
            <w:tcBorders>
              <w:top w:val="single" w:sz="4"/>
              <w:bottom w:val="single" w:sz="4"/>
            </w:tcBorders>
          </w:tcPr>
          <w:p>
            <w:pPr>
              <w:pStyle w:val="0"/>
            </w:pPr>
            <w:r>
              <w:rPr>
                <w:sz w:val="20"/>
              </w:rPr>
              <w:t xml:space="preserve">1. Общественные здания</w:t>
            </w:r>
          </w:p>
        </w:tc>
        <w:tc>
          <w:tcPr>
            <w:tcW w:w="2640" w:type="dxa"/>
            <w:tcBorders>
              <w:top w:val="single" w:sz="4"/>
              <w:bottom w:val="single" w:sz="4"/>
            </w:tcBorders>
          </w:tcPr>
          <w:p>
            <w:pPr>
              <w:pStyle w:val="0"/>
              <w:jc w:val="center"/>
            </w:pPr>
            <w:r>
              <w:rPr>
                <w:sz w:val="20"/>
              </w:rPr>
              <w:t xml:space="preserve">150</w:t>
            </w:r>
          </w:p>
        </w:tc>
        <w:tc>
          <w:tcPr>
            <w:tcW w:w="2475" w:type="dxa"/>
            <w:tcBorders>
              <w:top w:val="single" w:sz="4"/>
              <w:bottom w:val="single" w:sz="4"/>
            </w:tcBorders>
          </w:tcPr>
          <w:p>
            <w:pPr>
              <w:pStyle w:val="0"/>
              <w:jc w:val="center"/>
            </w:pPr>
            <w:r>
              <w:rPr>
                <w:sz w:val="20"/>
              </w:rPr>
              <w:t xml:space="preserve">100</w:t>
            </w:r>
          </w:p>
        </w:tc>
      </w:tr>
      <w:tr>
        <w:tc>
          <w:tcPr>
            <w:tcW w:w="7095" w:type="dxa"/>
            <w:tcBorders>
              <w:top w:val="single" w:sz="4"/>
              <w:bottom w:val="nil"/>
            </w:tcBorders>
          </w:tcPr>
          <w:p>
            <w:pPr>
              <w:pStyle w:val="0"/>
            </w:pPr>
            <w:r>
              <w:rPr>
                <w:sz w:val="20"/>
              </w:rPr>
              <w:t xml:space="preserve">2. Склад каменного угля емкостью, т:</w:t>
            </w:r>
          </w:p>
        </w:tc>
        <w:tc>
          <w:tcPr>
            <w:tcW w:w="2640" w:type="dxa"/>
            <w:tcBorders>
              <w:top w:val="single" w:sz="4"/>
              <w:bottom w:val="nil"/>
            </w:tcBorders>
          </w:tcPr>
          <w:p>
            <w:pPr>
              <w:pStyle w:val="0"/>
              <w:jc w:val="both"/>
            </w:pPr>
            <w:r>
              <w:rPr>
                <w:sz w:val="20"/>
              </w:rPr>
            </w:r>
          </w:p>
        </w:tc>
        <w:tc>
          <w:tcPr>
            <w:tcW w:w="2475" w:type="dxa"/>
            <w:tcBorders>
              <w:top w:val="single" w:sz="4"/>
              <w:bottom w:val="nil"/>
            </w:tcBorders>
          </w:tcPr>
          <w:p>
            <w:pPr>
              <w:pStyle w:val="0"/>
              <w:jc w:val="both"/>
            </w:pPr>
            <w:r>
              <w:rPr>
                <w:sz w:val="20"/>
              </w:rPr>
            </w:r>
          </w:p>
        </w:tc>
      </w:tr>
      <w:tr>
        <w:tc>
          <w:tcPr>
            <w:tcW w:w="7095" w:type="dxa"/>
            <w:tcBorders>
              <w:top w:val="nil"/>
              <w:bottom w:val="nil"/>
            </w:tcBorders>
          </w:tcPr>
          <w:p>
            <w:pPr>
              <w:pStyle w:val="0"/>
            </w:pPr>
            <w:r>
              <w:rPr>
                <w:sz w:val="20"/>
              </w:rPr>
              <w:t xml:space="preserve">от 10 000 до 100 000</w:t>
            </w:r>
          </w:p>
        </w:tc>
        <w:tc>
          <w:tcPr>
            <w:tcW w:w="2640" w:type="dxa"/>
            <w:tcBorders>
              <w:top w:val="nil"/>
              <w:bottom w:val="nil"/>
            </w:tcBorders>
          </w:tcPr>
          <w:p>
            <w:pPr>
              <w:pStyle w:val="0"/>
              <w:jc w:val="center"/>
            </w:pPr>
            <w:r>
              <w:rPr>
                <w:sz w:val="20"/>
              </w:rPr>
              <w:t xml:space="preserve">18</w:t>
            </w:r>
          </w:p>
        </w:tc>
        <w:tc>
          <w:tcPr>
            <w:tcW w:w="2475" w:type="dxa"/>
            <w:tcBorders>
              <w:top w:val="nil"/>
              <w:bottom w:val="nil"/>
            </w:tcBorders>
          </w:tcPr>
          <w:p>
            <w:pPr>
              <w:pStyle w:val="0"/>
              <w:jc w:val="center"/>
            </w:pPr>
            <w:r>
              <w:rPr>
                <w:sz w:val="20"/>
              </w:rPr>
              <w:t xml:space="preserve">15</w:t>
            </w:r>
          </w:p>
        </w:tc>
      </w:tr>
      <w:tr>
        <w:tc>
          <w:tcPr>
            <w:tcW w:w="7095" w:type="dxa"/>
            <w:tcBorders>
              <w:top w:val="nil"/>
              <w:bottom w:val="single" w:sz="4"/>
            </w:tcBorders>
          </w:tcPr>
          <w:p>
            <w:pPr>
              <w:pStyle w:val="0"/>
            </w:pPr>
            <w:r>
              <w:rPr>
                <w:sz w:val="20"/>
              </w:rPr>
              <w:t xml:space="preserve">менее 10 000</w:t>
            </w:r>
          </w:p>
        </w:tc>
        <w:tc>
          <w:tcPr>
            <w:tcW w:w="2640" w:type="dxa"/>
            <w:tcBorders>
              <w:top w:val="nil"/>
              <w:bottom w:val="single" w:sz="4"/>
            </w:tcBorders>
          </w:tcPr>
          <w:p>
            <w:pPr>
              <w:pStyle w:val="0"/>
              <w:jc w:val="center"/>
            </w:pPr>
            <w:r>
              <w:rPr>
                <w:sz w:val="20"/>
              </w:rPr>
              <w:t xml:space="preserve">12</w:t>
            </w:r>
          </w:p>
        </w:tc>
        <w:tc>
          <w:tcPr>
            <w:tcW w:w="2475" w:type="dxa"/>
            <w:tcBorders>
              <w:top w:val="nil"/>
              <w:bottom w:val="single" w:sz="4"/>
            </w:tcBorders>
          </w:tcPr>
          <w:p>
            <w:pPr>
              <w:pStyle w:val="0"/>
              <w:jc w:val="center"/>
            </w:pPr>
            <w:r>
              <w:rPr>
                <w:sz w:val="20"/>
              </w:rPr>
              <w:t xml:space="preserve">9</w:t>
            </w:r>
          </w:p>
        </w:tc>
      </w:tr>
      <w:tr>
        <w:tblPrEx>
          <w:tblBorders>
            <w:insideH w:val="single" w:sz="4"/>
          </w:tblBorders>
        </w:tblPrEx>
        <w:tc>
          <w:tcPr>
            <w:tcW w:w="7095" w:type="dxa"/>
            <w:tcBorders>
              <w:top w:val="single" w:sz="4"/>
              <w:bottom w:val="single" w:sz="4"/>
            </w:tcBorders>
          </w:tcPr>
          <w:p>
            <w:pPr>
              <w:pStyle w:val="0"/>
            </w:pPr>
            <w:r>
              <w:rPr>
                <w:sz w:val="20"/>
              </w:rPr>
              <w:t xml:space="preserve">3. Склад торфа емкостью до 10000 т</w:t>
            </w:r>
          </w:p>
        </w:tc>
        <w:tc>
          <w:tcPr>
            <w:tcW w:w="2640" w:type="dxa"/>
            <w:tcBorders>
              <w:top w:val="single" w:sz="4"/>
              <w:bottom w:val="single" w:sz="4"/>
            </w:tcBorders>
          </w:tcPr>
          <w:p>
            <w:pPr>
              <w:pStyle w:val="0"/>
              <w:jc w:val="center"/>
            </w:pPr>
            <w:r>
              <w:rPr>
                <w:sz w:val="20"/>
              </w:rPr>
              <w:t xml:space="preserve">30</w:t>
            </w:r>
          </w:p>
        </w:tc>
        <w:tc>
          <w:tcPr>
            <w:tcW w:w="2475" w:type="dxa"/>
            <w:tcBorders>
              <w:top w:val="single" w:sz="4"/>
              <w:bottom w:val="single" w:sz="4"/>
            </w:tcBorders>
          </w:tcPr>
          <w:p>
            <w:pPr>
              <w:pStyle w:val="0"/>
              <w:jc w:val="center"/>
            </w:pPr>
            <w:r>
              <w:rPr>
                <w:sz w:val="20"/>
              </w:rPr>
              <w:t xml:space="preserve">24</w:t>
            </w:r>
          </w:p>
        </w:tc>
      </w:tr>
      <w:tr>
        <w:tc>
          <w:tcPr>
            <w:tcW w:w="7095" w:type="dxa"/>
            <w:tcBorders>
              <w:top w:val="single" w:sz="4"/>
              <w:bottom w:val="nil"/>
            </w:tcBorders>
          </w:tcPr>
          <w:p>
            <w:pPr>
              <w:pStyle w:val="0"/>
            </w:pPr>
            <w:r>
              <w:rPr>
                <w:sz w:val="20"/>
              </w:rPr>
              <w:t xml:space="preserve">4. Склад лесоматериалов и дров емкостью, м</w:t>
            </w:r>
            <w:r>
              <w:rPr>
                <w:sz w:val="20"/>
                <w:vertAlign w:val="superscript"/>
              </w:rPr>
              <w:t xml:space="preserve">3</w:t>
            </w:r>
            <w:r>
              <w:rPr>
                <w:sz w:val="20"/>
              </w:rPr>
              <w:t xml:space="preserve">:</w:t>
            </w:r>
          </w:p>
        </w:tc>
        <w:tc>
          <w:tcPr>
            <w:tcW w:w="2640" w:type="dxa"/>
            <w:tcBorders>
              <w:top w:val="single" w:sz="4"/>
              <w:bottom w:val="nil"/>
            </w:tcBorders>
          </w:tcPr>
          <w:p>
            <w:pPr>
              <w:pStyle w:val="0"/>
              <w:jc w:val="both"/>
            </w:pPr>
            <w:r>
              <w:rPr>
                <w:sz w:val="20"/>
              </w:rPr>
            </w:r>
          </w:p>
        </w:tc>
        <w:tc>
          <w:tcPr>
            <w:tcW w:w="2475" w:type="dxa"/>
            <w:tcBorders>
              <w:top w:val="single" w:sz="4"/>
              <w:bottom w:val="nil"/>
            </w:tcBorders>
          </w:tcPr>
          <w:p>
            <w:pPr>
              <w:pStyle w:val="0"/>
              <w:jc w:val="both"/>
            </w:pPr>
            <w:r>
              <w:rPr>
                <w:sz w:val="20"/>
              </w:rPr>
            </w:r>
          </w:p>
        </w:tc>
      </w:tr>
      <w:tr>
        <w:tc>
          <w:tcPr>
            <w:tcW w:w="7095" w:type="dxa"/>
            <w:tcBorders>
              <w:top w:val="nil"/>
              <w:bottom w:val="nil"/>
            </w:tcBorders>
          </w:tcPr>
          <w:p>
            <w:pPr>
              <w:pStyle w:val="0"/>
            </w:pPr>
            <w:r>
              <w:rPr>
                <w:sz w:val="20"/>
              </w:rPr>
              <w:t xml:space="preserve">от 1000 до 10000</w:t>
            </w:r>
          </w:p>
        </w:tc>
        <w:tc>
          <w:tcPr>
            <w:tcW w:w="2640" w:type="dxa"/>
            <w:tcBorders>
              <w:top w:val="nil"/>
              <w:bottom w:val="nil"/>
            </w:tcBorders>
          </w:tcPr>
          <w:p>
            <w:pPr>
              <w:pStyle w:val="0"/>
              <w:jc w:val="center"/>
            </w:pPr>
            <w:r>
              <w:rPr>
                <w:sz w:val="20"/>
              </w:rPr>
              <w:t xml:space="preserve">48</w:t>
            </w:r>
          </w:p>
        </w:tc>
        <w:tc>
          <w:tcPr>
            <w:tcW w:w="2475" w:type="dxa"/>
            <w:tcBorders>
              <w:top w:val="nil"/>
              <w:bottom w:val="nil"/>
            </w:tcBorders>
          </w:tcPr>
          <w:p>
            <w:pPr>
              <w:pStyle w:val="0"/>
              <w:jc w:val="center"/>
            </w:pPr>
            <w:r>
              <w:rPr>
                <w:sz w:val="20"/>
              </w:rPr>
              <w:t xml:space="preserve">42</w:t>
            </w:r>
          </w:p>
        </w:tc>
      </w:tr>
      <w:tr>
        <w:tc>
          <w:tcPr>
            <w:tcW w:w="7095" w:type="dxa"/>
            <w:tcBorders>
              <w:top w:val="nil"/>
              <w:bottom w:val="single" w:sz="4"/>
            </w:tcBorders>
          </w:tcPr>
          <w:p>
            <w:pPr>
              <w:pStyle w:val="0"/>
            </w:pPr>
            <w:r>
              <w:rPr>
                <w:sz w:val="20"/>
              </w:rPr>
              <w:t xml:space="preserve">менее 1000</w:t>
            </w:r>
          </w:p>
        </w:tc>
        <w:tc>
          <w:tcPr>
            <w:tcW w:w="2640" w:type="dxa"/>
            <w:tcBorders>
              <w:top w:val="nil"/>
              <w:bottom w:val="single" w:sz="4"/>
            </w:tcBorders>
          </w:tcPr>
          <w:p>
            <w:pPr>
              <w:pStyle w:val="0"/>
              <w:jc w:val="center"/>
            </w:pPr>
            <w:r>
              <w:rPr>
                <w:sz w:val="20"/>
              </w:rPr>
              <w:t xml:space="preserve">36</w:t>
            </w:r>
          </w:p>
        </w:tc>
        <w:tc>
          <w:tcPr>
            <w:tcW w:w="2475" w:type="dxa"/>
            <w:tcBorders>
              <w:top w:val="nil"/>
              <w:bottom w:val="single" w:sz="4"/>
            </w:tcBorders>
          </w:tcPr>
          <w:p>
            <w:pPr>
              <w:pStyle w:val="0"/>
              <w:jc w:val="center"/>
            </w:pPr>
            <w:r>
              <w:rPr>
                <w:sz w:val="20"/>
              </w:rPr>
              <w:t xml:space="preserve">30</w:t>
            </w:r>
          </w:p>
        </w:tc>
      </w:tr>
      <w:tr>
        <w:tc>
          <w:tcPr>
            <w:tcW w:w="7095" w:type="dxa"/>
            <w:tcBorders>
              <w:top w:val="single" w:sz="4"/>
              <w:bottom w:val="nil"/>
            </w:tcBorders>
          </w:tcPr>
          <w:p>
            <w:pPr>
              <w:pStyle w:val="0"/>
            </w:pPr>
            <w:r>
              <w:rPr>
                <w:sz w:val="20"/>
              </w:rPr>
              <w:t xml:space="preserve">5. Склад сгораемых материалов (щепы, опилок и т.д.) емкостью, м</w:t>
            </w:r>
            <w:r>
              <w:rPr>
                <w:sz w:val="20"/>
                <w:vertAlign w:val="superscript"/>
              </w:rPr>
              <w:t xml:space="preserve">3</w:t>
            </w:r>
            <w:r>
              <w:rPr>
                <w:sz w:val="20"/>
              </w:rPr>
              <w:t xml:space="preserve">:</w:t>
            </w:r>
          </w:p>
        </w:tc>
        <w:tc>
          <w:tcPr>
            <w:tcW w:w="2640" w:type="dxa"/>
            <w:tcBorders>
              <w:top w:val="single" w:sz="4"/>
              <w:bottom w:val="nil"/>
            </w:tcBorders>
          </w:tcPr>
          <w:p>
            <w:pPr>
              <w:pStyle w:val="0"/>
              <w:jc w:val="both"/>
            </w:pPr>
            <w:r>
              <w:rPr>
                <w:sz w:val="20"/>
              </w:rPr>
            </w:r>
          </w:p>
        </w:tc>
        <w:tc>
          <w:tcPr>
            <w:tcW w:w="2475" w:type="dxa"/>
            <w:tcBorders>
              <w:top w:val="single" w:sz="4"/>
              <w:bottom w:val="nil"/>
            </w:tcBorders>
          </w:tcPr>
          <w:p>
            <w:pPr>
              <w:pStyle w:val="0"/>
              <w:jc w:val="both"/>
            </w:pPr>
            <w:r>
              <w:rPr>
                <w:sz w:val="20"/>
              </w:rPr>
            </w:r>
          </w:p>
        </w:tc>
      </w:tr>
      <w:tr>
        <w:tc>
          <w:tcPr>
            <w:tcW w:w="7095" w:type="dxa"/>
            <w:tcBorders>
              <w:top w:val="nil"/>
              <w:bottom w:val="nil"/>
            </w:tcBorders>
          </w:tcPr>
          <w:p>
            <w:pPr>
              <w:pStyle w:val="0"/>
            </w:pPr>
            <w:r>
              <w:rPr>
                <w:sz w:val="20"/>
              </w:rPr>
              <w:t xml:space="preserve">от 1000 до 5000</w:t>
            </w:r>
          </w:p>
        </w:tc>
        <w:tc>
          <w:tcPr>
            <w:tcW w:w="2640" w:type="dxa"/>
            <w:tcBorders>
              <w:top w:val="nil"/>
              <w:bottom w:val="nil"/>
            </w:tcBorders>
          </w:tcPr>
          <w:p>
            <w:pPr>
              <w:pStyle w:val="0"/>
              <w:jc w:val="center"/>
            </w:pPr>
            <w:r>
              <w:rPr>
                <w:sz w:val="20"/>
              </w:rPr>
              <w:t xml:space="preserve">48</w:t>
            </w:r>
          </w:p>
        </w:tc>
        <w:tc>
          <w:tcPr>
            <w:tcW w:w="2475" w:type="dxa"/>
            <w:tcBorders>
              <w:top w:val="nil"/>
              <w:bottom w:val="nil"/>
            </w:tcBorders>
          </w:tcPr>
          <w:p>
            <w:pPr>
              <w:pStyle w:val="0"/>
              <w:jc w:val="center"/>
            </w:pPr>
            <w:r>
              <w:rPr>
                <w:sz w:val="20"/>
              </w:rPr>
              <w:t xml:space="preserve">42</w:t>
            </w:r>
          </w:p>
        </w:tc>
      </w:tr>
      <w:tr>
        <w:tc>
          <w:tcPr>
            <w:tcW w:w="7095" w:type="dxa"/>
            <w:tcBorders>
              <w:top w:val="nil"/>
              <w:bottom w:val="single" w:sz="4"/>
            </w:tcBorders>
          </w:tcPr>
          <w:p>
            <w:pPr>
              <w:pStyle w:val="0"/>
            </w:pPr>
            <w:r>
              <w:rPr>
                <w:sz w:val="20"/>
              </w:rPr>
              <w:t xml:space="preserve">менее 1000</w:t>
            </w:r>
          </w:p>
        </w:tc>
        <w:tc>
          <w:tcPr>
            <w:tcW w:w="2640" w:type="dxa"/>
            <w:tcBorders>
              <w:top w:val="nil"/>
              <w:bottom w:val="single" w:sz="4"/>
            </w:tcBorders>
          </w:tcPr>
          <w:p>
            <w:pPr>
              <w:pStyle w:val="0"/>
              <w:jc w:val="center"/>
            </w:pPr>
            <w:r>
              <w:rPr>
                <w:sz w:val="20"/>
              </w:rPr>
              <w:t xml:space="preserve">36</w:t>
            </w:r>
          </w:p>
        </w:tc>
        <w:tc>
          <w:tcPr>
            <w:tcW w:w="2475" w:type="dxa"/>
            <w:tcBorders>
              <w:top w:val="nil"/>
              <w:bottom w:val="single" w:sz="4"/>
            </w:tcBorders>
          </w:tcPr>
          <w:p>
            <w:pPr>
              <w:pStyle w:val="0"/>
              <w:jc w:val="center"/>
            </w:pPr>
            <w:r>
              <w:rPr>
                <w:sz w:val="20"/>
              </w:rPr>
              <w:t xml:space="preserve">30</w:t>
            </w:r>
          </w:p>
        </w:tc>
      </w:tr>
      <w:tr>
        <w:tc>
          <w:tcPr>
            <w:tcW w:w="7095" w:type="dxa"/>
            <w:tcBorders>
              <w:top w:val="single" w:sz="4"/>
              <w:bottom w:val="nil"/>
            </w:tcBorders>
          </w:tcPr>
          <w:bookmarkStart w:id="1260" w:name="P1260"/>
          <w:bookmarkEnd w:id="1260"/>
          <w:p>
            <w:pPr>
              <w:pStyle w:val="0"/>
            </w:pPr>
            <w:r>
              <w:rPr>
                <w:sz w:val="20"/>
              </w:rPr>
              <w:t xml:space="preserve">6. Склад легковоспламеняющихся жидкостей емкостью, м</w:t>
            </w:r>
            <w:r>
              <w:rPr>
                <w:sz w:val="20"/>
                <w:vertAlign w:val="superscript"/>
              </w:rPr>
              <w:t xml:space="preserve">3</w:t>
            </w:r>
            <w:r>
              <w:rPr>
                <w:sz w:val="20"/>
              </w:rPr>
              <w:t xml:space="preserve">:</w:t>
            </w:r>
          </w:p>
        </w:tc>
        <w:tc>
          <w:tcPr>
            <w:tcW w:w="2640" w:type="dxa"/>
            <w:tcBorders>
              <w:top w:val="single" w:sz="4"/>
              <w:bottom w:val="nil"/>
            </w:tcBorders>
          </w:tcPr>
          <w:p>
            <w:pPr>
              <w:pStyle w:val="0"/>
              <w:jc w:val="both"/>
            </w:pPr>
            <w:r>
              <w:rPr>
                <w:sz w:val="20"/>
              </w:rPr>
            </w:r>
          </w:p>
        </w:tc>
        <w:tc>
          <w:tcPr>
            <w:tcW w:w="2475" w:type="dxa"/>
            <w:tcBorders>
              <w:top w:val="single" w:sz="4"/>
              <w:bottom w:val="nil"/>
            </w:tcBorders>
          </w:tcPr>
          <w:p>
            <w:pPr>
              <w:pStyle w:val="0"/>
              <w:jc w:val="both"/>
            </w:pPr>
            <w:r>
              <w:rPr>
                <w:sz w:val="20"/>
              </w:rPr>
            </w:r>
          </w:p>
        </w:tc>
      </w:tr>
      <w:tr>
        <w:tc>
          <w:tcPr>
            <w:tcW w:w="7095" w:type="dxa"/>
            <w:tcBorders>
              <w:top w:val="nil"/>
              <w:bottom w:val="nil"/>
            </w:tcBorders>
          </w:tcPr>
          <w:p>
            <w:pPr>
              <w:pStyle w:val="0"/>
            </w:pPr>
            <w:r>
              <w:rPr>
                <w:sz w:val="20"/>
              </w:rPr>
              <w:t xml:space="preserve">св. 1000 до 2000</w:t>
            </w:r>
          </w:p>
        </w:tc>
        <w:tc>
          <w:tcPr>
            <w:tcW w:w="2640" w:type="dxa"/>
            <w:tcBorders>
              <w:top w:val="nil"/>
              <w:bottom w:val="nil"/>
            </w:tcBorders>
          </w:tcPr>
          <w:p>
            <w:pPr>
              <w:pStyle w:val="0"/>
              <w:jc w:val="center"/>
            </w:pPr>
            <w:r>
              <w:rPr>
                <w:sz w:val="20"/>
              </w:rPr>
              <w:t xml:space="preserve">42</w:t>
            </w:r>
          </w:p>
        </w:tc>
        <w:tc>
          <w:tcPr>
            <w:tcW w:w="2475" w:type="dxa"/>
            <w:tcBorders>
              <w:top w:val="nil"/>
              <w:bottom w:val="nil"/>
            </w:tcBorders>
          </w:tcPr>
          <w:p>
            <w:pPr>
              <w:pStyle w:val="0"/>
              <w:jc w:val="center"/>
            </w:pPr>
            <w:r>
              <w:rPr>
                <w:sz w:val="20"/>
              </w:rPr>
              <w:t xml:space="preserve">36</w:t>
            </w:r>
          </w:p>
        </w:tc>
      </w:tr>
      <w:tr>
        <w:tc>
          <w:tcPr>
            <w:tcW w:w="7095" w:type="dxa"/>
            <w:tcBorders>
              <w:top w:val="nil"/>
              <w:bottom w:val="nil"/>
            </w:tcBorders>
          </w:tcPr>
          <w:p>
            <w:pPr>
              <w:pStyle w:val="0"/>
            </w:pPr>
            <w:r>
              <w:rPr>
                <w:sz w:val="20"/>
              </w:rPr>
              <w:t xml:space="preserve">от 500 до 1000</w:t>
            </w:r>
          </w:p>
        </w:tc>
        <w:tc>
          <w:tcPr>
            <w:tcW w:w="2640" w:type="dxa"/>
            <w:tcBorders>
              <w:top w:val="nil"/>
              <w:bottom w:val="nil"/>
            </w:tcBorders>
          </w:tcPr>
          <w:p>
            <w:pPr>
              <w:pStyle w:val="0"/>
              <w:jc w:val="center"/>
            </w:pPr>
            <w:r>
              <w:rPr>
                <w:sz w:val="20"/>
              </w:rPr>
              <w:t xml:space="preserve">36</w:t>
            </w:r>
          </w:p>
        </w:tc>
        <w:tc>
          <w:tcPr>
            <w:tcW w:w="2475" w:type="dxa"/>
            <w:tcBorders>
              <w:top w:val="nil"/>
              <w:bottom w:val="nil"/>
            </w:tcBorders>
          </w:tcPr>
          <w:p>
            <w:pPr>
              <w:pStyle w:val="0"/>
              <w:jc w:val="center"/>
            </w:pPr>
            <w:r>
              <w:rPr>
                <w:sz w:val="20"/>
              </w:rPr>
              <w:t xml:space="preserve">30</w:t>
            </w:r>
          </w:p>
        </w:tc>
      </w:tr>
      <w:tr>
        <w:tc>
          <w:tcPr>
            <w:tcW w:w="7095" w:type="dxa"/>
            <w:tcBorders>
              <w:top w:val="nil"/>
              <w:bottom w:val="single" w:sz="4"/>
            </w:tcBorders>
          </w:tcPr>
          <w:p>
            <w:pPr>
              <w:pStyle w:val="0"/>
            </w:pPr>
            <w:r>
              <w:rPr>
                <w:sz w:val="20"/>
              </w:rPr>
              <w:t xml:space="preserve">менее 500</w:t>
            </w:r>
          </w:p>
        </w:tc>
        <w:tc>
          <w:tcPr>
            <w:tcW w:w="2640" w:type="dxa"/>
            <w:tcBorders>
              <w:top w:val="nil"/>
              <w:bottom w:val="single" w:sz="4"/>
            </w:tcBorders>
          </w:tcPr>
          <w:p>
            <w:pPr>
              <w:pStyle w:val="0"/>
              <w:jc w:val="center"/>
            </w:pPr>
            <w:r>
              <w:rPr>
                <w:sz w:val="20"/>
              </w:rPr>
              <w:t xml:space="preserve">30</w:t>
            </w:r>
          </w:p>
        </w:tc>
        <w:tc>
          <w:tcPr>
            <w:tcW w:w="2475" w:type="dxa"/>
            <w:tcBorders>
              <w:top w:val="nil"/>
              <w:bottom w:val="single" w:sz="4"/>
            </w:tcBorders>
          </w:tcPr>
          <w:p>
            <w:pPr>
              <w:pStyle w:val="0"/>
              <w:jc w:val="center"/>
            </w:pPr>
            <w:r>
              <w:rPr>
                <w:sz w:val="20"/>
              </w:rPr>
              <w:t xml:space="preserve">24</w:t>
            </w:r>
          </w:p>
        </w:tc>
      </w:tr>
      <w:tr>
        <w:tc>
          <w:tcPr>
            <w:tcW w:w="7095" w:type="dxa"/>
            <w:tcBorders>
              <w:top w:val="single" w:sz="4"/>
              <w:bottom w:val="nil"/>
            </w:tcBorders>
          </w:tcPr>
          <w:bookmarkStart w:id="1272" w:name="P1272"/>
          <w:bookmarkEnd w:id="1272"/>
          <w:p>
            <w:pPr>
              <w:pStyle w:val="0"/>
            </w:pPr>
            <w:r>
              <w:rPr>
                <w:sz w:val="20"/>
              </w:rPr>
              <w:t xml:space="preserve">7. Склад горючих жидкостей емкостью м</w:t>
            </w:r>
            <w:r>
              <w:rPr>
                <w:sz w:val="20"/>
                <w:vertAlign w:val="superscript"/>
              </w:rPr>
              <w:t xml:space="preserve">3</w:t>
            </w:r>
            <w:r>
              <w:rPr>
                <w:sz w:val="20"/>
              </w:rPr>
              <w:t xml:space="preserve">:</w:t>
            </w:r>
          </w:p>
        </w:tc>
        <w:tc>
          <w:tcPr>
            <w:tcW w:w="2640" w:type="dxa"/>
            <w:tcBorders>
              <w:top w:val="single" w:sz="4"/>
              <w:bottom w:val="nil"/>
            </w:tcBorders>
          </w:tcPr>
          <w:p>
            <w:pPr>
              <w:pStyle w:val="0"/>
              <w:jc w:val="both"/>
            </w:pPr>
            <w:r>
              <w:rPr>
                <w:sz w:val="20"/>
              </w:rPr>
            </w:r>
          </w:p>
        </w:tc>
        <w:tc>
          <w:tcPr>
            <w:tcW w:w="2475" w:type="dxa"/>
            <w:tcBorders>
              <w:top w:val="single" w:sz="4"/>
              <w:bottom w:val="nil"/>
            </w:tcBorders>
          </w:tcPr>
          <w:p>
            <w:pPr>
              <w:pStyle w:val="0"/>
              <w:jc w:val="both"/>
            </w:pPr>
            <w:r>
              <w:rPr>
                <w:sz w:val="20"/>
              </w:rPr>
            </w:r>
          </w:p>
        </w:tc>
      </w:tr>
      <w:tr>
        <w:tc>
          <w:tcPr>
            <w:tcW w:w="7095" w:type="dxa"/>
            <w:tcBorders>
              <w:top w:val="nil"/>
              <w:bottom w:val="nil"/>
            </w:tcBorders>
          </w:tcPr>
          <w:p>
            <w:pPr>
              <w:pStyle w:val="0"/>
            </w:pPr>
            <w:r>
              <w:rPr>
                <w:sz w:val="20"/>
              </w:rPr>
              <w:t xml:space="preserve">св. 5000 до 10000</w:t>
            </w:r>
          </w:p>
        </w:tc>
        <w:tc>
          <w:tcPr>
            <w:tcW w:w="2640" w:type="dxa"/>
            <w:tcBorders>
              <w:top w:val="nil"/>
              <w:bottom w:val="nil"/>
            </w:tcBorders>
          </w:tcPr>
          <w:p>
            <w:pPr>
              <w:pStyle w:val="0"/>
              <w:jc w:val="center"/>
            </w:pPr>
            <w:r>
              <w:rPr>
                <w:sz w:val="20"/>
              </w:rPr>
              <w:t xml:space="preserve">42</w:t>
            </w:r>
          </w:p>
        </w:tc>
        <w:tc>
          <w:tcPr>
            <w:tcW w:w="2475" w:type="dxa"/>
            <w:tcBorders>
              <w:top w:val="nil"/>
              <w:bottom w:val="nil"/>
            </w:tcBorders>
          </w:tcPr>
          <w:p>
            <w:pPr>
              <w:pStyle w:val="0"/>
              <w:jc w:val="center"/>
            </w:pPr>
            <w:r>
              <w:rPr>
                <w:sz w:val="20"/>
              </w:rPr>
              <w:t xml:space="preserve">36</w:t>
            </w:r>
          </w:p>
        </w:tc>
      </w:tr>
      <w:tr>
        <w:tc>
          <w:tcPr>
            <w:tcW w:w="7095" w:type="dxa"/>
            <w:tcBorders>
              <w:top w:val="nil"/>
              <w:bottom w:val="nil"/>
            </w:tcBorders>
          </w:tcPr>
          <w:p>
            <w:pPr>
              <w:pStyle w:val="0"/>
            </w:pPr>
            <w:r>
              <w:rPr>
                <w:sz w:val="20"/>
              </w:rPr>
              <w:t xml:space="preserve">от 2500 до 5000</w:t>
            </w:r>
          </w:p>
        </w:tc>
        <w:tc>
          <w:tcPr>
            <w:tcW w:w="2640" w:type="dxa"/>
            <w:tcBorders>
              <w:top w:val="nil"/>
              <w:bottom w:val="nil"/>
            </w:tcBorders>
          </w:tcPr>
          <w:p>
            <w:pPr>
              <w:pStyle w:val="0"/>
              <w:jc w:val="center"/>
            </w:pPr>
            <w:r>
              <w:rPr>
                <w:sz w:val="20"/>
              </w:rPr>
              <w:t xml:space="preserve">36</w:t>
            </w:r>
          </w:p>
        </w:tc>
        <w:tc>
          <w:tcPr>
            <w:tcW w:w="2475" w:type="dxa"/>
            <w:tcBorders>
              <w:top w:val="nil"/>
              <w:bottom w:val="nil"/>
            </w:tcBorders>
          </w:tcPr>
          <w:p>
            <w:pPr>
              <w:pStyle w:val="0"/>
              <w:jc w:val="center"/>
            </w:pPr>
            <w:r>
              <w:rPr>
                <w:sz w:val="20"/>
              </w:rPr>
              <w:t xml:space="preserve">30</w:t>
            </w:r>
          </w:p>
        </w:tc>
      </w:tr>
      <w:tr>
        <w:tc>
          <w:tcPr>
            <w:tcW w:w="7095" w:type="dxa"/>
            <w:tcBorders>
              <w:top w:val="nil"/>
              <w:bottom w:val="single" w:sz="4"/>
            </w:tcBorders>
          </w:tcPr>
          <w:p>
            <w:pPr>
              <w:pStyle w:val="0"/>
            </w:pPr>
            <w:r>
              <w:rPr>
                <w:sz w:val="20"/>
              </w:rPr>
              <w:t xml:space="preserve">менее 2500</w:t>
            </w:r>
          </w:p>
        </w:tc>
        <w:tc>
          <w:tcPr>
            <w:tcW w:w="2640" w:type="dxa"/>
            <w:tcBorders>
              <w:top w:val="nil"/>
              <w:bottom w:val="single" w:sz="4"/>
            </w:tcBorders>
          </w:tcPr>
          <w:p>
            <w:pPr>
              <w:pStyle w:val="0"/>
              <w:jc w:val="center"/>
            </w:pPr>
            <w:r>
              <w:rPr>
                <w:sz w:val="20"/>
              </w:rPr>
              <w:t xml:space="preserve">30</w:t>
            </w:r>
          </w:p>
        </w:tc>
        <w:tc>
          <w:tcPr>
            <w:tcW w:w="2475" w:type="dxa"/>
            <w:tcBorders>
              <w:top w:val="nil"/>
              <w:bottom w:val="single" w:sz="4"/>
            </w:tcBorders>
          </w:tcPr>
          <w:p>
            <w:pPr>
              <w:pStyle w:val="0"/>
              <w:jc w:val="center"/>
            </w:pPr>
            <w:r>
              <w:rPr>
                <w:sz w:val="20"/>
              </w:rPr>
              <w:t xml:space="preserve">24</w:t>
            </w:r>
          </w:p>
        </w:tc>
      </w:tr>
      <w:tr>
        <w:tc>
          <w:tcPr>
            <w:tcW w:w="7095" w:type="dxa"/>
            <w:tcBorders>
              <w:top w:val="single" w:sz="4"/>
              <w:bottom w:val="nil"/>
            </w:tcBorders>
          </w:tcPr>
          <w:p>
            <w:pPr>
              <w:pStyle w:val="0"/>
            </w:pPr>
            <w:r>
              <w:rPr>
                <w:sz w:val="20"/>
              </w:rPr>
              <w:t xml:space="preserve">8. Производственные и вспомогательные здания промышленных предприятий</w:t>
            </w:r>
          </w:p>
        </w:tc>
        <w:tc>
          <w:tcPr>
            <w:tcW w:w="2640" w:type="dxa"/>
            <w:tcBorders>
              <w:top w:val="single" w:sz="4"/>
              <w:bottom w:val="nil"/>
            </w:tcBorders>
          </w:tcPr>
          <w:p>
            <w:pPr>
              <w:pStyle w:val="0"/>
              <w:jc w:val="both"/>
            </w:pPr>
            <w:r>
              <w:rPr>
                <w:sz w:val="20"/>
              </w:rPr>
            </w:r>
          </w:p>
        </w:tc>
        <w:tc>
          <w:tcPr>
            <w:tcW w:w="2475" w:type="dxa"/>
            <w:tcBorders>
              <w:top w:val="single" w:sz="4"/>
              <w:bottom w:val="nil"/>
            </w:tcBorders>
          </w:tcPr>
          <w:p>
            <w:pPr>
              <w:pStyle w:val="0"/>
              <w:jc w:val="both"/>
            </w:pPr>
            <w:r>
              <w:rPr>
                <w:sz w:val="20"/>
              </w:rPr>
            </w:r>
          </w:p>
        </w:tc>
      </w:tr>
      <w:tr>
        <w:tc>
          <w:tcPr>
            <w:tcW w:w="7095" w:type="dxa"/>
            <w:tcBorders>
              <w:top w:val="nil"/>
              <w:bottom w:val="nil"/>
            </w:tcBorders>
          </w:tcPr>
          <w:p>
            <w:pPr>
              <w:pStyle w:val="0"/>
            </w:pPr>
            <w:r>
              <w:rPr>
                <w:sz w:val="20"/>
              </w:rPr>
              <w:t xml:space="preserve">I, II, III, IV степеней огнестойкости класса С0</w:t>
            </w:r>
          </w:p>
        </w:tc>
        <w:tc>
          <w:tcPr>
            <w:tcW w:w="2640" w:type="dxa"/>
            <w:vAlign w:val="bottom"/>
            <w:tcBorders>
              <w:top w:val="nil"/>
              <w:bottom w:val="nil"/>
            </w:tcBorders>
          </w:tcPr>
          <w:p>
            <w:pPr>
              <w:pStyle w:val="0"/>
              <w:jc w:val="center"/>
            </w:pPr>
            <w:r>
              <w:rPr>
                <w:sz w:val="20"/>
              </w:rPr>
              <w:t xml:space="preserve">30</w:t>
            </w:r>
          </w:p>
        </w:tc>
        <w:tc>
          <w:tcPr>
            <w:tcW w:w="2475" w:type="dxa"/>
            <w:vAlign w:val="bottom"/>
            <w:tcBorders>
              <w:top w:val="nil"/>
              <w:bottom w:val="nil"/>
            </w:tcBorders>
          </w:tcPr>
          <w:p>
            <w:pPr>
              <w:pStyle w:val="0"/>
              <w:jc w:val="center"/>
            </w:pPr>
            <w:r>
              <w:rPr>
                <w:sz w:val="20"/>
              </w:rPr>
              <w:t xml:space="preserve">24</w:t>
            </w:r>
          </w:p>
        </w:tc>
      </w:tr>
      <w:tr>
        <w:tc>
          <w:tcPr>
            <w:tcW w:w="7095" w:type="dxa"/>
            <w:tcBorders>
              <w:top w:val="nil"/>
              <w:bottom w:val="single" w:sz="4"/>
            </w:tcBorders>
          </w:tcPr>
          <w:p>
            <w:pPr>
              <w:pStyle w:val="0"/>
            </w:pPr>
            <w:r>
              <w:rPr>
                <w:sz w:val="20"/>
              </w:rPr>
              <w:t xml:space="preserve">III и IV степеней огнестойкости классов С1, С2 и С3, V степени огнестойкости</w:t>
            </w:r>
          </w:p>
        </w:tc>
        <w:tc>
          <w:tcPr>
            <w:tcW w:w="2640" w:type="dxa"/>
            <w:vAlign w:val="bottom"/>
            <w:tcBorders>
              <w:top w:val="nil"/>
              <w:bottom w:val="single" w:sz="4"/>
            </w:tcBorders>
          </w:tcPr>
          <w:p>
            <w:pPr>
              <w:pStyle w:val="0"/>
              <w:jc w:val="center"/>
            </w:pPr>
            <w:r>
              <w:rPr>
                <w:sz w:val="20"/>
              </w:rPr>
              <w:t xml:space="preserve">36</w:t>
            </w:r>
          </w:p>
        </w:tc>
        <w:tc>
          <w:tcPr>
            <w:tcW w:w="2475" w:type="dxa"/>
            <w:vAlign w:val="bottom"/>
            <w:tcBorders>
              <w:top w:val="nil"/>
              <w:bottom w:val="single" w:sz="4"/>
            </w:tcBorders>
          </w:tcPr>
          <w:p>
            <w:pPr>
              <w:pStyle w:val="0"/>
              <w:jc w:val="center"/>
            </w:pPr>
            <w:r>
              <w:rPr>
                <w:sz w:val="20"/>
              </w:rPr>
              <w:t xml:space="preserve">30</w:t>
            </w:r>
          </w:p>
        </w:tc>
      </w:tr>
      <w:tr>
        <w:tblPrEx>
          <w:tblBorders>
            <w:insideH w:val="single" w:sz="4"/>
          </w:tblBorders>
        </w:tblPrEx>
        <w:tc>
          <w:tcPr>
            <w:tcW w:w="7095" w:type="dxa"/>
            <w:tcBorders>
              <w:top w:val="single" w:sz="4"/>
              <w:bottom w:val="single" w:sz="4"/>
            </w:tcBorders>
          </w:tcPr>
          <w:p>
            <w:pPr>
              <w:pStyle w:val="0"/>
            </w:pPr>
            <w:r>
              <w:rPr>
                <w:sz w:val="20"/>
              </w:rPr>
              <w:t xml:space="preserve">9. Промышленные печи на открытом воздухе и установки с открытым огнем</w:t>
            </w:r>
          </w:p>
        </w:tc>
        <w:tc>
          <w:tcPr>
            <w:tcW w:w="2640" w:type="dxa"/>
            <w:vAlign w:val="bottom"/>
            <w:tcBorders>
              <w:top w:val="single" w:sz="4"/>
              <w:bottom w:val="single" w:sz="4"/>
            </w:tcBorders>
          </w:tcPr>
          <w:p>
            <w:pPr>
              <w:pStyle w:val="0"/>
              <w:jc w:val="center"/>
            </w:pPr>
            <w:r>
              <w:rPr>
                <w:sz w:val="20"/>
              </w:rPr>
              <w:t xml:space="preserve">100</w:t>
            </w:r>
          </w:p>
        </w:tc>
        <w:tc>
          <w:tcPr>
            <w:tcW w:w="2475" w:type="dxa"/>
            <w:vAlign w:val="bottom"/>
            <w:tcBorders>
              <w:top w:val="single" w:sz="4"/>
              <w:bottom w:val="single" w:sz="4"/>
            </w:tcBorders>
          </w:tcPr>
          <w:p>
            <w:pPr>
              <w:pStyle w:val="0"/>
              <w:jc w:val="center"/>
            </w:pPr>
            <w:r>
              <w:rPr>
                <w:sz w:val="20"/>
              </w:rPr>
              <w:t xml:space="preserve">100</w:t>
            </w:r>
          </w:p>
        </w:tc>
      </w:tr>
      <w:tr>
        <w:tc>
          <w:tcPr>
            <w:tcW w:w="7095" w:type="dxa"/>
            <w:tcBorders>
              <w:top w:val="single" w:sz="4"/>
              <w:bottom w:val="nil"/>
            </w:tcBorders>
          </w:tcPr>
          <w:p>
            <w:pPr>
              <w:pStyle w:val="0"/>
            </w:pPr>
            <w:r>
              <w:rPr>
                <w:sz w:val="20"/>
              </w:rPr>
              <w:t xml:space="preserve">10. Граница полосы отвода железных дорог</w:t>
            </w:r>
          </w:p>
        </w:tc>
        <w:tc>
          <w:tcPr>
            <w:tcW w:w="2640" w:type="dxa"/>
            <w:tcBorders>
              <w:top w:val="single" w:sz="4"/>
              <w:bottom w:val="nil"/>
            </w:tcBorders>
          </w:tcPr>
          <w:p>
            <w:pPr>
              <w:pStyle w:val="0"/>
              <w:jc w:val="both"/>
            </w:pPr>
            <w:r>
              <w:rPr>
                <w:sz w:val="20"/>
              </w:rPr>
            </w:r>
          </w:p>
        </w:tc>
        <w:tc>
          <w:tcPr>
            <w:tcW w:w="2475" w:type="dxa"/>
            <w:tcBorders>
              <w:top w:val="single" w:sz="4"/>
              <w:bottom w:val="nil"/>
            </w:tcBorders>
          </w:tcPr>
          <w:p>
            <w:pPr>
              <w:pStyle w:val="0"/>
              <w:jc w:val="both"/>
            </w:pPr>
            <w:r>
              <w:rPr>
                <w:sz w:val="20"/>
              </w:rPr>
            </w:r>
          </w:p>
        </w:tc>
      </w:tr>
      <w:tr>
        <w:tc>
          <w:tcPr>
            <w:tcW w:w="7095" w:type="dxa"/>
            <w:tcBorders>
              <w:top w:val="nil"/>
              <w:bottom w:val="nil"/>
            </w:tcBorders>
          </w:tcPr>
          <w:p>
            <w:pPr>
              <w:pStyle w:val="0"/>
            </w:pPr>
            <w:r>
              <w:rPr>
                <w:sz w:val="20"/>
              </w:rPr>
              <w:t xml:space="preserve">на перегонах</w:t>
            </w:r>
          </w:p>
        </w:tc>
        <w:tc>
          <w:tcPr>
            <w:tcW w:w="2640" w:type="dxa"/>
            <w:tcBorders>
              <w:top w:val="nil"/>
              <w:bottom w:val="nil"/>
            </w:tcBorders>
          </w:tcPr>
          <w:p>
            <w:pPr>
              <w:pStyle w:val="0"/>
              <w:jc w:val="center"/>
            </w:pPr>
            <w:r>
              <w:rPr>
                <w:sz w:val="20"/>
              </w:rPr>
              <w:t xml:space="preserve">42</w:t>
            </w:r>
          </w:p>
        </w:tc>
        <w:tc>
          <w:tcPr>
            <w:tcW w:w="2475" w:type="dxa"/>
            <w:tcBorders>
              <w:top w:val="nil"/>
              <w:bottom w:val="nil"/>
            </w:tcBorders>
          </w:tcPr>
          <w:p>
            <w:pPr>
              <w:pStyle w:val="0"/>
              <w:jc w:val="center"/>
            </w:pPr>
            <w:r>
              <w:rPr>
                <w:sz w:val="20"/>
              </w:rPr>
              <w:t xml:space="preserve">30</w:t>
            </w:r>
          </w:p>
        </w:tc>
      </w:tr>
      <w:tr>
        <w:tc>
          <w:tcPr>
            <w:tcW w:w="7095" w:type="dxa"/>
            <w:tcBorders>
              <w:top w:val="nil"/>
              <w:bottom w:val="single" w:sz="4"/>
            </w:tcBorders>
          </w:tcPr>
          <w:p>
            <w:pPr>
              <w:pStyle w:val="0"/>
            </w:pPr>
            <w:r>
              <w:rPr>
                <w:sz w:val="20"/>
              </w:rPr>
              <w:t xml:space="preserve">на сортировочных станциях</w:t>
            </w:r>
          </w:p>
        </w:tc>
        <w:tc>
          <w:tcPr>
            <w:tcW w:w="2640" w:type="dxa"/>
            <w:tcBorders>
              <w:top w:val="nil"/>
              <w:bottom w:val="single" w:sz="4"/>
            </w:tcBorders>
          </w:tcPr>
          <w:p>
            <w:pPr>
              <w:pStyle w:val="0"/>
              <w:jc w:val="center"/>
            </w:pPr>
            <w:r>
              <w:rPr>
                <w:sz w:val="20"/>
              </w:rPr>
              <w:t xml:space="preserve">60</w:t>
            </w:r>
          </w:p>
        </w:tc>
        <w:tc>
          <w:tcPr>
            <w:tcW w:w="2475" w:type="dxa"/>
            <w:tcBorders>
              <w:top w:val="nil"/>
              <w:bottom w:val="single" w:sz="4"/>
            </w:tcBorders>
          </w:tcPr>
          <w:p>
            <w:pPr>
              <w:pStyle w:val="0"/>
              <w:jc w:val="center"/>
            </w:pPr>
            <w:r>
              <w:rPr>
                <w:sz w:val="20"/>
              </w:rPr>
              <w:t xml:space="preserve">48</w:t>
            </w:r>
          </w:p>
        </w:tc>
      </w:tr>
      <w:tr>
        <w:tc>
          <w:tcPr>
            <w:tcW w:w="7095" w:type="dxa"/>
            <w:tcBorders>
              <w:top w:val="single" w:sz="4"/>
              <w:bottom w:val="nil"/>
            </w:tcBorders>
          </w:tcPr>
          <w:p>
            <w:pPr>
              <w:pStyle w:val="0"/>
            </w:pPr>
            <w:r>
              <w:rPr>
                <w:sz w:val="20"/>
              </w:rPr>
              <w:t xml:space="preserve">11. Граница полосы отвода автомобильных дорог категорий</w:t>
            </w:r>
          </w:p>
        </w:tc>
        <w:tc>
          <w:tcPr>
            <w:tcW w:w="2640" w:type="dxa"/>
            <w:tcBorders>
              <w:top w:val="single" w:sz="4"/>
              <w:bottom w:val="nil"/>
            </w:tcBorders>
          </w:tcPr>
          <w:p>
            <w:pPr>
              <w:pStyle w:val="0"/>
              <w:jc w:val="both"/>
            </w:pPr>
            <w:r>
              <w:rPr>
                <w:sz w:val="20"/>
              </w:rPr>
            </w:r>
          </w:p>
        </w:tc>
        <w:tc>
          <w:tcPr>
            <w:tcW w:w="2475" w:type="dxa"/>
            <w:tcBorders>
              <w:top w:val="single" w:sz="4"/>
              <w:bottom w:val="nil"/>
            </w:tcBorders>
          </w:tcPr>
          <w:p>
            <w:pPr>
              <w:pStyle w:val="0"/>
              <w:jc w:val="both"/>
            </w:pPr>
            <w:r>
              <w:rPr>
                <w:sz w:val="20"/>
              </w:rPr>
            </w:r>
          </w:p>
        </w:tc>
      </w:tr>
      <w:tr>
        <w:tc>
          <w:tcPr>
            <w:tcW w:w="7095" w:type="dxa"/>
            <w:tcBorders>
              <w:top w:val="nil"/>
              <w:bottom w:val="nil"/>
            </w:tcBorders>
          </w:tcPr>
          <w:p>
            <w:pPr>
              <w:pStyle w:val="0"/>
            </w:pPr>
            <w:r>
              <w:rPr>
                <w:sz w:val="20"/>
              </w:rPr>
              <w:t xml:space="preserve">I - III</w:t>
            </w:r>
          </w:p>
        </w:tc>
        <w:tc>
          <w:tcPr>
            <w:tcW w:w="2640" w:type="dxa"/>
            <w:tcBorders>
              <w:top w:val="nil"/>
              <w:bottom w:val="nil"/>
            </w:tcBorders>
          </w:tcPr>
          <w:p>
            <w:pPr>
              <w:pStyle w:val="0"/>
              <w:jc w:val="center"/>
            </w:pPr>
            <w:r>
              <w:rPr>
                <w:sz w:val="20"/>
              </w:rPr>
              <w:t xml:space="preserve">30</w:t>
            </w:r>
          </w:p>
        </w:tc>
        <w:tc>
          <w:tcPr>
            <w:tcW w:w="2475" w:type="dxa"/>
            <w:tcBorders>
              <w:top w:val="nil"/>
              <w:bottom w:val="nil"/>
            </w:tcBorders>
          </w:tcPr>
          <w:p>
            <w:pPr>
              <w:pStyle w:val="0"/>
              <w:jc w:val="center"/>
            </w:pPr>
            <w:r>
              <w:rPr>
                <w:sz w:val="20"/>
              </w:rPr>
              <w:t xml:space="preserve">21</w:t>
            </w:r>
          </w:p>
        </w:tc>
      </w:tr>
      <w:tr>
        <w:tc>
          <w:tcPr>
            <w:tcW w:w="7095" w:type="dxa"/>
            <w:tcBorders>
              <w:top w:val="nil"/>
              <w:bottom w:val="single" w:sz="4"/>
            </w:tcBorders>
          </w:tcPr>
          <w:p>
            <w:pPr>
              <w:pStyle w:val="0"/>
            </w:pPr>
            <w:r>
              <w:rPr>
                <w:sz w:val="20"/>
              </w:rPr>
              <w:t xml:space="preserve">IV, V</w:t>
            </w:r>
          </w:p>
        </w:tc>
        <w:tc>
          <w:tcPr>
            <w:tcW w:w="2640" w:type="dxa"/>
            <w:tcBorders>
              <w:top w:val="nil"/>
              <w:bottom w:val="single" w:sz="4"/>
            </w:tcBorders>
          </w:tcPr>
          <w:p>
            <w:pPr>
              <w:pStyle w:val="0"/>
              <w:jc w:val="center"/>
            </w:pPr>
            <w:r>
              <w:rPr>
                <w:sz w:val="20"/>
              </w:rPr>
              <w:t xml:space="preserve">21</w:t>
            </w:r>
          </w:p>
        </w:tc>
        <w:tc>
          <w:tcPr>
            <w:tcW w:w="2475" w:type="dxa"/>
            <w:tcBorders>
              <w:top w:val="nil"/>
              <w:bottom w:val="single" w:sz="4"/>
            </w:tcBorders>
          </w:tcPr>
          <w:p>
            <w:pPr>
              <w:pStyle w:val="0"/>
              <w:jc w:val="center"/>
            </w:pPr>
            <w:r>
              <w:rPr>
                <w:sz w:val="20"/>
              </w:rPr>
              <w:t xml:space="preserve">15</w:t>
            </w:r>
          </w:p>
        </w:tc>
      </w:tr>
      <w:tr>
        <w:tblPrEx>
          <w:tblBorders>
            <w:insideH w:val="single" w:sz="4"/>
          </w:tblBorders>
        </w:tblPrEx>
        <w:tc>
          <w:tcPr>
            <w:tcW w:w="7095" w:type="dxa"/>
            <w:tcBorders>
              <w:top w:val="single" w:sz="4"/>
              <w:bottom w:val="single" w:sz="4"/>
            </w:tcBorders>
          </w:tcPr>
          <w:p>
            <w:pPr>
              <w:pStyle w:val="0"/>
            </w:pPr>
            <w:r>
              <w:rPr>
                <w:sz w:val="20"/>
              </w:rPr>
              <w:t xml:space="preserve">12. Ось железнодорожного или трамвайного пути, край проезжей части автомобильной дороги, не имеющих полосы отвода</w:t>
            </w:r>
          </w:p>
        </w:tc>
        <w:tc>
          <w:tcPr>
            <w:tcW w:w="2640" w:type="dxa"/>
            <w:vAlign w:val="bottom"/>
            <w:tcBorders>
              <w:top w:val="single" w:sz="4"/>
              <w:bottom w:val="single" w:sz="4"/>
            </w:tcBorders>
          </w:tcPr>
          <w:p>
            <w:pPr>
              <w:pStyle w:val="0"/>
              <w:jc w:val="center"/>
            </w:pPr>
            <w:r>
              <w:rPr>
                <w:sz w:val="20"/>
              </w:rPr>
              <w:t xml:space="preserve">21</w:t>
            </w:r>
          </w:p>
        </w:tc>
        <w:tc>
          <w:tcPr>
            <w:tcW w:w="2475" w:type="dxa"/>
            <w:vAlign w:val="bottom"/>
            <w:tcBorders>
              <w:top w:val="single" w:sz="4"/>
              <w:bottom w:val="single" w:sz="4"/>
            </w:tcBorders>
          </w:tcPr>
          <w:p>
            <w:pPr>
              <w:pStyle w:val="0"/>
              <w:jc w:val="center"/>
            </w:pPr>
            <w:r>
              <w:rPr>
                <w:sz w:val="20"/>
              </w:rPr>
              <w:t xml:space="preserve">21</w:t>
            </w:r>
          </w:p>
        </w:tc>
      </w:tr>
    </w:tbl>
    <w:p>
      <w:pPr>
        <w:sectPr>
          <w:headerReference w:type="default" r:id="rId212"/>
          <w:headerReference w:type="first" r:id="rId212"/>
          <w:footerReference w:type="default" r:id="rId213"/>
          <w:footerReference w:type="first" r:id="rId213"/>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Приведенные расстояния относятся к газгольдерным станциям и к отдельно стоящим газгольдерам емкостью более 1000 м</w:t>
      </w:r>
      <w:r>
        <w:rPr>
          <w:sz w:val="20"/>
          <w:vertAlign w:val="superscript"/>
        </w:rPr>
        <w:t xml:space="preserve">3</w:t>
      </w:r>
      <w:r>
        <w:rPr>
          <w:sz w:val="20"/>
        </w:rPr>
        <w:t xml:space="preserve">. При газгольдерных станциях или отдельных газгольдерах суммарной емкостью 1000 м</w:t>
      </w:r>
      <w:r>
        <w:rPr>
          <w:sz w:val="20"/>
          <w:vertAlign w:val="superscript"/>
        </w:rPr>
        <w:t xml:space="preserve">3</w:t>
      </w:r>
      <w:r>
        <w:rPr>
          <w:sz w:val="20"/>
        </w:rPr>
        <w:t xml:space="preserve"> и менее указанные расстояния надлежит принимать с коэффициентом при емкости м</w:t>
      </w:r>
      <w:r>
        <w:rPr>
          <w:sz w:val="20"/>
          <w:vertAlign w:val="superscript"/>
        </w:rPr>
        <w:t xml:space="preserve">3</w:t>
      </w:r>
      <w:r>
        <w:rPr>
          <w:sz w:val="20"/>
        </w:rPr>
        <w:t xml:space="preserve">:</w:t>
      </w:r>
    </w:p>
    <w:p>
      <w:pPr>
        <w:pStyle w:val="0"/>
        <w:spacing w:before="200" w:line-rule="auto"/>
        <w:ind w:firstLine="540"/>
        <w:jc w:val="both"/>
      </w:pPr>
      <w:r>
        <w:rPr>
          <w:sz w:val="20"/>
        </w:rPr>
        <w:t xml:space="preserve">от 250 до 1000 - 0,7;</w:t>
      </w:r>
    </w:p>
    <w:p>
      <w:pPr>
        <w:pStyle w:val="0"/>
        <w:spacing w:before="200" w:line-rule="auto"/>
        <w:ind w:firstLine="540"/>
        <w:jc w:val="both"/>
      </w:pPr>
      <w:r>
        <w:rPr>
          <w:sz w:val="20"/>
        </w:rPr>
        <w:t xml:space="preserve">менее 250 - 0,5.</w:t>
      </w:r>
    </w:p>
    <w:p>
      <w:pPr>
        <w:pStyle w:val="0"/>
        <w:spacing w:before="200" w:line-rule="auto"/>
        <w:ind w:firstLine="540"/>
        <w:jc w:val="both"/>
      </w:pPr>
      <w:r>
        <w:rPr>
          <w:sz w:val="20"/>
        </w:rPr>
        <w:t xml:space="preserve">2. При подземном хранении горючих и легковоспламеняющихся жидкостей расстояния, указанные в </w:t>
      </w:r>
      <w:hyperlink w:history="0" w:anchor="P1260" w:tooltip="6. Склад легковоспламеняющихся жидкостей емкостью, м3:">
        <w:r>
          <w:rPr>
            <w:sz w:val="20"/>
            <w:color w:val="0000ff"/>
          </w:rPr>
          <w:t xml:space="preserve">поз. 6</w:t>
        </w:r>
      </w:hyperlink>
      <w:r>
        <w:rPr>
          <w:sz w:val="20"/>
        </w:rPr>
        <w:t xml:space="preserve"> и </w:t>
      </w:r>
      <w:hyperlink w:history="0" w:anchor="P1272" w:tooltip="7. Склад горючих жидкостей емкостью м3:">
        <w:r>
          <w:rPr>
            <w:sz w:val="20"/>
            <w:color w:val="0000ff"/>
          </w:rPr>
          <w:t xml:space="preserve">7</w:t>
        </w:r>
      </w:hyperlink>
      <w:r>
        <w:rPr>
          <w:sz w:val="20"/>
        </w:rPr>
        <w:t xml:space="preserve">, надлежит уменьшать в 2 раза.</w:t>
      </w:r>
    </w:p>
    <w:p>
      <w:pPr>
        <w:pStyle w:val="0"/>
        <w:spacing w:before="200" w:line-rule="auto"/>
        <w:ind w:firstLine="540"/>
        <w:jc w:val="both"/>
      </w:pPr>
      <w:r>
        <w:rPr>
          <w:sz w:val="20"/>
        </w:rPr>
        <w:t xml:space="preserve">3. Расстояния между газгольдерами и дымовыми трубами надлежит принимать равными не менее высоты трубы.</w:t>
      </w:r>
    </w:p>
    <w:p>
      <w:pPr>
        <w:pStyle w:val="0"/>
        <w:spacing w:before="200" w:line-rule="auto"/>
        <w:ind w:firstLine="540"/>
        <w:jc w:val="both"/>
      </w:pPr>
      <w:r>
        <w:rPr>
          <w:sz w:val="20"/>
        </w:rPr>
        <w:t xml:space="preserve">4. Расстояния между воздушными электросетями и газгольдерами надлежит принимать не менее 1,5 высоты опоры этих сетей.</w:t>
      </w:r>
    </w:p>
    <w:p>
      <w:pPr>
        <w:pStyle w:val="0"/>
        <w:spacing w:before="200" w:line-rule="auto"/>
        <w:ind w:firstLine="540"/>
        <w:jc w:val="both"/>
      </w:pPr>
      <w:r>
        <w:rPr>
          <w:sz w:val="20"/>
        </w:rPr>
        <w:t xml:space="preserve">5. Расстояния от газгольдеров кислорода допускается уменьшать в 2 раза. Расстояния от газгольдеров для других негорючих газов принимаются не менее указанных в </w:t>
      </w:r>
      <w:hyperlink w:history="0" w:anchor="P1221" w:tooltip="Таблица 7">
        <w:r>
          <w:rPr>
            <w:sz w:val="20"/>
            <w:color w:val="0000ff"/>
          </w:rPr>
          <w:t xml:space="preserve">таблице</w:t>
        </w:r>
      </w:hyperlink>
      <w:r>
        <w:rPr>
          <w:sz w:val="20"/>
        </w:rPr>
        <w:t xml:space="preserve"> как от сооружений I, II, III степеней огнестойкости.</w:t>
      </w:r>
    </w:p>
    <w:p>
      <w:pPr>
        <w:pStyle w:val="0"/>
        <w:spacing w:before="200" w:line-rule="auto"/>
        <w:ind w:firstLine="540"/>
        <w:jc w:val="both"/>
      </w:pPr>
      <w:r>
        <w:rPr>
          <w:sz w:val="20"/>
        </w:rPr>
        <w:t xml:space="preserve">6. На участке между газгольдерами и зданиями или сооружениями разрешается размещать открытые склады для хранения несгораемых материалов.</w:t>
      </w:r>
    </w:p>
    <w:p>
      <w:pPr>
        <w:pStyle w:val="0"/>
        <w:spacing w:before="200" w:line-rule="auto"/>
        <w:ind w:firstLine="540"/>
        <w:jc w:val="both"/>
      </w:pPr>
      <w:r>
        <w:rPr>
          <w:sz w:val="20"/>
        </w:rPr>
        <w:t xml:space="preserve">7. Емкостью газгольдеров надлежит считать геометрический объем газгольдеров.</w:t>
      </w:r>
    </w:p>
    <w:p>
      <w:pPr>
        <w:pStyle w:val="0"/>
        <w:ind w:firstLine="540"/>
        <w:jc w:val="both"/>
      </w:pPr>
      <w:r>
        <w:rPr>
          <w:sz w:val="20"/>
        </w:rPr>
      </w:r>
    </w:p>
    <w:p>
      <w:pPr>
        <w:pStyle w:val="0"/>
        <w:ind w:firstLine="540"/>
        <w:jc w:val="both"/>
      </w:pPr>
      <w:r>
        <w:rPr>
          <w:sz w:val="20"/>
        </w:rPr>
        <w:t xml:space="preserve">6.1.20. Ширину ворот автомобильных въездов на территорию производственных объектов надлежит принимать не менее 3,5 м, высоту - не менее 4,5 м.</w:t>
      </w:r>
    </w:p>
    <w:p>
      <w:pPr>
        <w:pStyle w:val="0"/>
        <w:jc w:val="both"/>
      </w:pPr>
      <w:r>
        <w:rPr>
          <w:sz w:val="20"/>
        </w:rPr>
        <w:t xml:space="preserve">(п. 6.1.20 в ред. </w:t>
      </w:r>
      <w:hyperlink w:history="0" r:id="rId228"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6.1.21. Подъезды для пожарных машин допускается не предусматривать к зданиям и сооружениям, материалы и конструкции которых, а также технологические процессы, исключают возможность возгорания.</w:t>
      </w:r>
    </w:p>
    <w:p>
      <w:pPr>
        <w:pStyle w:val="0"/>
        <w:jc w:val="both"/>
      </w:pPr>
      <w:r>
        <w:rPr>
          <w:sz w:val="20"/>
        </w:rPr>
        <w:t xml:space="preserve">(в ред. </w:t>
      </w:r>
      <w:hyperlink w:history="0" r:id="rId229"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6.1.22. Утратил силу. - </w:t>
      </w:r>
      <w:hyperlink w:history="0" r:id="rId230"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w:t>
        </w:r>
      </w:hyperlink>
      <w:r>
        <w:rPr>
          <w:sz w:val="20"/>
        </w:rPr>
        <w:t xml:space="preserve"> МЧС России от 14.02.2020 N 89.</w:t>
      </w:r>
    </w:p>
    <w:p>
      <w:pPr>
        <w:pStyle w:val="0"/>
        <w:jc w:val="both"/>
      </w:pPr>
      <w:r>
        <w:rPr>
          <w:sz w:val="20"/>
        </w:rPr>
      </w:r>
    </w:p>
    <w:p>
      <w:pPr>
        <w:pStyle w:val="0"/>
        <w:outlineLvl w:val="3"/>
        <w:ind w:firstLine="540"/>
        <w:jc w:val="both"/>
      </w:pPr>
      <w:r>
        <w:rPr>
          <w:sz w:val="20"/>
        </w:rPr>
        <w:t xml:space="preserve">Таблица 8. Утратила силу. - </w:t>
      </w:r>
      <w:hyperlink w:history="0" r:id="rId231"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w:t>
        </w:r>
      </w:hyperlink>
      <w:r>
        <w:rPr>
          <w:sz w:val="20"/>
        </w:rPr>
        <w:t xml:space="preserve"> МЧС России от 14.02.2020 N 89.</w:t>
      </w:r>
    </w:p>
    <w:p>
      <w:pPr>
        <w:pStyle w:val="0"/>
        <w:ind w:firstLine="540"/>
        <w:jc w:val="both"/>
      </w:pPr>
      <w:r>
        <w:rPr>
          <w:sz w:val="20"/>
        </w:rPr>
      </w:r>
    </w:p>
    <w:p>
      <w:pPr>
        <w:pStyle w:val="0"/>
        <w:ind w:firstLine="540"/>
        <w:jc w:val="both"/>
      </w:pPr>
      <w:r>
        <w:rPr>
          <w:sz w:val="20"/>
        </w:rPr>
        <w:t xml:space="preserve">6.1.23. Резервуарные парки или отдельные стоящие резервуары с ЛВЖ и ГЖ, с сжиженными горючими газами должны располагаться на более низких отметках по отношению к зданиям и сооружениям предприятия и должны быть ограждены в соответствии требованиями </w:t>
      </w:r>
      <w:hyperlink w:history="0" r:id="rId232" w:tooltip="&quot;ГОСТ Р 53324-2009. Национальный стандарт Российской Федерации. Ограждения резервуаров. Требования пожарной безопасности&quot; (утв. Приказом Ростехрегулирования от 18.02.2009 N 100-ст) {КонсультантПлюс}">
        <w:r>
          <w:rPr>
            <w:sz w:val="20"/>
            <w:color w:val="0000ff"/>
          </w:rPr>
          <w:t xml:space="preserve">ГОСТ Р 53324</w:t>
        </w:r>
      </w:hyperlink>
      <w:r>
        <w:rPr>
          <w:sz w:val="20"/>
        </w:rPr>
        <w:t xml:space="preserve">.</w:t>
      </w:r>
    </w:p>
    <w:p>
      <w:pPr>
        <w:pStyle w:val="0"/>
        <w:jc w:val="both"/>
      </w:pPr>
      <w:r>
        <w:rPr>
          <w:sz w:val="20"/>
        </w:rPr>
        <w:t xml:space="preserve">(п. 6.1.23 в ред. </w:t>
      </w:r>
      <w:hyperlink w:history="0" r:id="rId233"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6.1.24 - 6.1.26. Утратили силу. - </w:t>
      </w:r>
      <w:hyperlink w:history="0" r:id="rId234"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w:t>
        </w:r>
      </w:hyperlink>
      <w:r>
        <w:rPr>
          <w:sz w:val="20"/>
        </w:rPr>
        <w:t xml:space="preserve"> МЧС России от 14.02.2020 N 89.</w:t>
      </w:r>
    </w:p>
    <w:p>
      <w:pPr>
        <w:pStyle w:val="0"/>
        <w:spacing w:before="200" w:line-rule="auto"/>
        <w:ind w:firstLine="540"/>
        <w:jc w:val="both"/>
      </w:pPr>
      <w:r>
        <w:rPr>
          <w:sz w:val="20"/>
        </w:rPr>
        <w:t xml:space="preserve">6.1.27. Размещение наружных сетей с легковоспламеняющимися и горючими жидкостями и газами под зданиями и сооружениями не допускается.</w:t>
      </w:r>
    </w:p>
    <w:p>
      <w:pPr>
        <w:pStyle w:val="0"/>
        <w:spacing w:before="200" w:line-rule="auto"/>
        <w:ind w:firstLine="540"/>
        <w:jc w:val="both"/>
      </w:pPr>
      <w:r>
        <w:rPr>
          <w:sz w:val="20"/>
        </w:rPr>
        <w:t xml:space="preserve">6.1.28. Выбор способа размещения силовых кабельных линий предусматривается в соответствии с требованиями </w:t>
      </w:r>
      <w:hyperlink w:history="0" w:anchor="P4427" w:tooltip="[1]        ПУЭ        &quot;Правила устройства электроустановок&quot;, издание 6 и 7.">
        <w:r>
          <w:rPr>
            <w:sz w:val="20"/>
            <w:color w:val="0000ff"/>
          </w:rPr>
          <w:t xml:space="preserve">[1]</w:t>
        </w:r>
      </w:hyperlink>
      <w:r>
        <w:rPr>
          <w:sz w:val="20"/>
        </w:rPr>
        <w:t xml:space="preserve">.</w:t>
      </w:r>
    </w:p>
    <w:p>
      <w:pPr>
        <w:pStyle w:val="0"/>
        <w:spacing w:before="200" w:line-rule="auto"/>
        <w:ind w:firstLine="540"/>
        <w:jc w:val="both"/>
      </w:pPr>
      <w:r>
        <w:rPr>
          <w:sz w:val="20"/>
        </w:rPr>
        <w:t xml:space="preserve">6.1.29. Не допускается совместное размещение в канале или тоннеле:</w:t>
      </w:r>
    </w:p>
    <w:p>
      <w:pPr>
        <w:pStyle w:val="0"/>
        <w:spacing w:before="200" w:line-rule="auto"/>
        <w:ind w:firstLine="540"/>
        <w:jc w:val="both"/>
      </w:pPr>
      <w:r>
        <w:rPr>
          <w:sz w:val="20"/>
        </w:rPr>
        <w:t xml:space="preserve">- газопроводов горючих газов (в том числе сжиженных) с кислородопроводами, с трубопроводами тепловых сетей, с кабелями различного назначения за исключением кабелей освещения самого канала или тоннеля;</w:t>
      </w:r>
    </w:p>
    <w:p>
      <w:pPr>
        <w:pStyle w:val="0"/>
        <w:spacing w:before="200" w:line-rule="auto"/>
        <w:ind w:firstLine="540"/>
        <w:jc w:val="both"/>
      </w:pPr>
      <w:r>
        <w:rPr>
          <w:sz w:val="20"/>
        </w:rPr>
        <w:t xml:space="preserve">- трубопроводов горючих жидкостей с кислородопроводами, с кабелями различного назначения, с сетями противопожарного назначения.</w:t>
      </w:r>
    </w:p>
    <w:p>
      <w:pPr>
        <w:pStyle w:val="0"/>
        <w:spacing w:before="200" w:line-rule="auto"/>
        <w:ind w:firstLine="540"/>
        <w:jc w:val="both"/>
      </w:pPr>
      <w:r>
        <w:rPr>
          <w:sz w:val="20"/>
        </w:rPr>
        <w:t xml:space="preserve">Каналы и тоннели, предназначенные для размещения трубопроводов, горючих газов (в том числе сжиженных) и трубопроводов горючих жидкостей, должны иметь выходы не реже чем через 60 м и в его концах.</w:t>
      </w:r>
    </w:p>
    <w:p>
      <w:pPr>
        <w:pStyle w:val="0"/>
        <w:jc w:val="both"/>
      </w:pPr>
      <w:r>
        <w:rPr>
          <w:sz w:val="20"/>
        </w:rPr>
        <w:t xml:space="preserve">(п. 6.1.29 в ред. </w:t>
      </w:r>
      <w:hyperlink w:history="0" r:id="rId235"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6.1.30 - 6.1.32. Утратили силу. - </w:t>
      </w:r>
      <w:hyperlink w:history="0" r:id="rId236"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w:t>
        </w:r>
      </w:hyperlink>
      <w:r>
        <w:rPr>
          <w:sz w:val="20"/>
        </w:rPr>
        <w:t xml:space="preserve"> МЧС России от 14.02.2020 N 89.</w:t>
      </w:r>
    </w:p>
    <w:p>
      <w:pPr>
        <w:pStyle w:val="0"/>
        <w:spacing w:before="200" w:line-rule="auto"/>
        <w:ind w:firstLine="540"/>
        <w:jc w:val="both"/>
      </w:pPr>
      <w:r>
        <w:rPr>
          <w:sz w:val="20"/>
        </w:rPr>
        <w:t xml:space="preserve">6.1.33. Газопроводы горючих газов и трубопроводы для горючих жидкостей при их надземной прокладке следует размещать на конструкциях (опорах, эстакадах и т.п.), выполненных из материалов группы горючести НГ. Расстояние от стенок таких газопроводов до стен зданий с проемами должно составлять не менее 3 м, до стен без проемов - не менее 0,5 м.</w:t>
      </w:r>
    </w:p>
    <w:p>
      <w:pPr>
        <w:pStyle w:val="0"/>
        <w:jc w:val="both"/>
      </w:pPr>
      <w:r>
        <w:rPr>
          <w:sz w:val="20"/>
        </w:rPr>
        <w:t xml:space="preserve">(в ред. Приказов МЧС России от 14.02.2020 </w:t>
      </w:r>
      <w:hyperlink w:history="0" r:id="rId237"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N 89</w:t>
        </w:r>
      </w:hyperlink>
      <w:r>
        <w:rPr>
          <w:sz w:val="20"/>
        </w:rPr>
        <w:t xml:space="preserve">, от 15.06.2022 </w:t>
      </w:r>
      <w:hyperlink w:history="0" r:id="rId238"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N 610</w:t>
        </w:r>
      </w:hyperlink>
      <w:r>
        <w:rPr>
          <w:sz w:val="20"/>
        </w:rPr>
        <w:t xml:space="preserve">)</w:t>
      </w:r>
    </w:p>
    <w:p>
      <w:pPr>
        <w:pStyle w:val="0"/>
        <w:spacing w:before="200" w:line-rule="auto"/>
        <w:ind w:firstLine="540"/>
        <w:jc w:val="both"/>
      </w:pPr>
      <w:r>
        <w:rPr>
          <w:sz w:val="20"/>
        </w:rPr>
        <w:t xml:space="preserve">6.1.34 - 6.1.35. Утратили силу. - </w:t>
      </w:r>
      <w:hyperlink w:history="0" r:id="rId239"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w:t>
        </w:r>
      </w:hyperlink>
      <w:r>
        <w:rPr>
          <w:sz w:val="20"/>
        </w:rPr>
        <w:t xml:space="preserve"> МЧС России от 14.02.2020 N 89.</w:t>
      </w:r>
    </w:p>
    <w:p>
      <w:pPr>
        <w:pStyle w:val="0"/>
        <w:spacing w:before="200" w:line-rule="auto"/>
        <w:ind w:firstLine="540"/>
        <w:jc w:val="both"/>
      </w:pPr>
      <w:r>
        <w:rPr>
          <w:sz w:val="20"/>
        </w:rPr>
        <w:t xml:space="preserve">6.1.36. Помещения категорий А и Б, если это допускается требованиями технологии, следует размещать у наружных стен, а в многоэтажных зданиях - на верхних этажах.</w:t>
      </w:r>
    </w:p>
    <w:p>
      <w:pPr>
        <w:pStyle w:val="0"/>
        <w:jc w:val="both"/>
      </w:pPr>
      <w:r>
        <w:rPr>
          <w:sz w:val="20"/>
        </w:rPr>
        <w:t xml:space="preserve">(в ред. </w:t>
      </w:r>
      <w:hyperlink w:history="0" r:id="rId240"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6.1.37. В противопожарных преградах, отделяющих помещения категорий А и Б от помещений других категорий, коридоров, лестничных клеток и лифтовых холлов, предусматриваются тамбур-шлюзы с постоянным подпором воздуха по </w:t>
      </w:r>
      <w:hyperlink w:history="0" r:id="rId241" w:tooltip="&quot;СП 7.13130.2009. Свод правил. Отопление, вентиляция и кондиционирование. Противопожарные требования&quot; (утв. Приказом МЧС РФ от 25.03.2009 N 177) ------------ Утратил силу или отменен {КонсультантПлюс}">
        <w:r>
          <w:rPr>
            <w:sz w:val="20"/>
            <w:color w:val="0000ff"/>
          </w:rPr>
          <w:t xml:space="preserve">СП 7.13130</w:t>
        </w:r>
      </w:hyperlink>
      <w:r>
        <w:rPr>
          <w:sz w:val="20"/>
        </w:rPr>
        <w:t xml:space="preserve">. Устройство общих тамбур-шлюзов для двух и более помещений указанных категорий не допускается.</w:t>
      </w:r>
    </w:p>
    <w:p>
      <w:pPr>
        <w:pStyle w:val="0"/>
        <w:spacing w:before="200" w:line-rule="auto"/>
        <w:ind w:firstLine="540"/>
        <w:jc w:val="both"/>
      </w:pPr>
      <w:r>
        <w:rPr>
          <w:sz w:val="20"/>
        </w:rPr>
        <w:t xml:space="preserve">При невозможности устройства тамбур-шлюзов в противопожарных преградах, отделяющих помещения категорий А и Б от других помещений, или дверей, ворот, люков и клапанов - в противопожарных преградах, отделяющих помещения категории В1 - В3 от других помещений, предусматривается комплекс мероприятий по ограничению распространения пожара и проникания горючих газов, паров легковоспламеняющихся и горючих жидкостей, пылей, волокон, способных образовывать взрывоопасные концентрации, в смежные этажи и помещения. Эффективность этих мероприятий должна быть обоснована.</w:t>
      </w:r>
    </w:p>
    <w:p>
      <w:pPr>
        <w:pStyle w:val="0"/>
        <w:spacing w:before="200" w:line-rule="auto"/>
        <w:ind w:firstLine="540"/>
        <w:jc w:val="both"/>
      </w:pPr>
      <w:r>
        <w:rPr>
          <w:sz w:val="20"/>
        </w:rPr>
        <w:t xml:space="preserve">В проемах противопожарных преград, которые не могут закрываться противопожарными дверями, воротами, занавесами и шторами для сообщения между смежными помещениями категорий В, Г и Д допускается предусматривать открытые тамбуры, оборудованные противопожарными водяными завесами в соответствии с </w:t>
      </w:r>
      <w:hyperlink w:history="0" r:id="rId242" w:tooltip="Приказ МЧС России от 31.08.2020 N 628 &quot;Об утверждении свода правил &quot;Системы противопожарной защиты. Установки пожаротушения автоматические. Нормы и правила проектирования&quot; (вместе с &quot;СП 485.1311500.2020. Свод правил. Системы противопожарной защиты. Установки пожаротушения автоматические. Нормы и правила проектирования&quot;) {КонсультантПлюс}">
        <w:r>
          <w:rPr>
            <w:sz w:val="20"/>
            <w:color w:val="0000ff"/>
          </w:rPr>
          <w:t xml:space="preserve">СП 485.1311500</w:t>
        </w:r>
      </w:hyperlink>
      <w:r>
        <w:rPr>
          <w:sz w:val="20"/>
        </w:rPr>
        <w:t xml:space="preserve">. Предел огнестойкости ограждающих конструкций этих тамбуров должен быть предусмотрен не менее предела огнестойкости указанных противопожарных преград.</w:t>
      </w:r>
    </w:p>
    <w:p>
      <w:pPr>
        <w:pStyle w:val="0"/>
        <w:jc w:val="both"/>
      </w:pPr>
      <w:r>
        <w:rPr>
          <w:sz w:val="20"/>
        </w:rPr>
        <w:t xml:space="preserve">(в ред. </w:t>
      </w:r>
      <w:hyperlink w:history="0" r:id="rId243"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6.1.38. В помещениях класса Ф5 категорий А, Б и В1, в которых производятся, применяются или хранятся легковоспламеняющиеся жидкости, полы надлежит выполнять из негорючих материалов или материалов группы горючести Г1.</w:t>
      </w:r>
    </w:p>
    <w:p>
      <w:pPr>
        <w:pStyle w:val="0"/>
        <w:spacing w:before="200" w:line-rule="auto"/>
        <w:ind w:firstLine="540"/>
        <w:jc w:val="both"/>
      </w:pPr>
      <w:r>
        <w:rPr>
          <w:sz w:val="20"/>
        </w:rPr>
        <w:t xml:space="preserve">6.1.39. Размещение помещений и (или) групп помещений другого функционального назначения, не относящихся к административным и бытовым помещениям для работающих на производственном объекте в зданиях и сооружениях классов функциональной пожарной опасности Ф5 не допускается.</w:t>
      </w:r>
    </w:p>
    <w:p>
      <w:pPr>
        <w:pStyle w:val="0"/>
        <w:jc w:val="both"/>
      </w:pPr>
      <w:r>
        <w:rPr>
          <w:sz w:val="20"/>
        </w:rPr>
        <w:t xml:space="preserve">(п. 6.1.39 в ред. </w:t>
      </w:r>
      <w:hyperlink w:history="0" r:id="rId244"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6.1.40. В производственных (складских) зданиях допускается предусматривать встроенные помещения, в т.ч. уборные, помещения для отдыха, обогрева или охлаждения, умывальные, душевые, помещения для мастеров и иного персонала (товароведов, ОТК, операторов и др.), которые по условиям производства размещаются вблизи рабочих мест, а в помещениях категорий В4, Г и Д - также курительные.</w:t>
      </w:r>
    </w:p>
    <w:p>
      <w:pPr>
        <w:pStyle w:val="0"/>
        <w:spacing w:before="200" w:line-rule="auto"/>
        <w:ind w:firstLine="540"/>
        <w:jc w:val="both"/>
      </w:pPr>
      <w:r>
        <w:rPr>
          <w:sz w:val="20"/>
        </w:rPr>
        <w:t xml:space="preserve">Встроенные помещения в производственных (складских) зданиях допускается размещать рассредоточенно, выполнять из ограждающих конструкций, соответствующих классов конструктивной пожарной опасности здания, с ненормируемым пределом огнестойкости.</w:t>
      </w:r>
    </w:p>
    <w:p>
      <w:pPr>
        <w:pStyle w:val="0"/>
        <w:spacing w:before="200" w:line-rule="auto"/>
        <w:ind w:firstLine="540"/>
        <w:jc w:val="both"/>
      </w:pPr>
      <w:r>
        <w:rPr>
          <w:sz w:val="20"/>
        </w:rPr>
        <w:t xml:space="preserve">В зданиях IV и V степени огнестойкости классов конструктивной пожарной опасности С2 и С3 встроенные помещения (за исключением уборных, умывальных и т.п.) не допускается размещать на этаже выше 1-го, на антресолях и технологических площадках.</w:t>
      </w:r>
    </w:p>
    <w:p>
      <w:pPr>
        <w:pStyle w:val="0"/>
        <w:spacing w:before="200" w:line-rule="auto"/>
        <w:ind w:firstLine="540"/>
        <w:jc w:val="both"/>
      </w:pPr>
      <w:r>
        <w:rPr>
          <w:sz w:val="20"/>
        </w:rPr>
        <w:t xml:space="preserve">Высоту встроенных помещений (от пола до потолка) допускается принимать не менее 2,4 м.</w:t>
      </w:r>
    </w:p>
    <w:p>
      <w:pPr>
        <w:pStyle w:val="0"/>
        <w:jc w:val="both"/>
      </w:pPr>
      <w:r>
        <w:rPr>
          <w:sz w:val="20"/>
        </w:rPr>
        <w:t xml:space="preserve">(п. 6.1.40 в ред. </w:t>
      </w:r>
      <w:hyperlink w:history="0" r:id="rId245"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6.1.41. Административные и бытовые помещения могут размещаться в пристройках производственных зданий.</w:t>
      </w:r>
    </w:p>
    <w:p>
      <w:pPr>
        <w:pStyle w:val="0"/>
        <w:spacing w:before="200" w:line-rule="auto"/>
        <w:ind w:firstLine="540"/>
        <w:jc w:val="both"/>
      </w:pPr>
      <w:r>
        <w:rPr>
          <w:sz w:val="20"/>
        </w:rPr>
        <w:t xml:space="preserve">Пристройки I и II степеней огнестойкости отделяются от производственных зданий I и II степеней огнестойкости противопожарными перегородками 1-го типа.</w:t>
      </w:r>
    </w:p>
    <w:p>
      <w:pPr>
        <w:pStyle w:val="0"/>
        <w:spacing w:before="200" w:line-rule="auto"/>
        <w:ind w:firstLine="540"/>
        <w:jc w:val="both"/>
      </w:pPr>
      <w:r>
        <w:rPr>
          <w:sz w:val="20"/>
        </w:rPr>
        <w:t xml:space="preserve">Пристройки ниже II степени огнестойкости, а также пристройки к производственным зданиям ниже II степени огнестойкости и пристройки к помещениям и зданиям категорий А и Б отделяются противопожарными стенами 1-го типа.</w:t>
      </w:r>
    </w:p>
    <w:p>
      <w:pPr>
        <w:pStyle w:val="0"/>
        <w:spacing w:before="200" w:line-rule="auto"/>
        <w:ind w:firstLine="540"/>
        <w:jc w:val="both"/>
      </w:pPr>
      <w:r>
        <w:rPr>
          <w:sz w:val="20"/>
        </w:rPr>
        <w:t xml:space="preserve">Пристройки IV степени огнестойкости класса С0 допускается отделять от производственных зданий IV степени огнестойкости классов С0 и С1 противопожарными стенами 2-го типа.</w:t>
      </w:r>
    </w:p>
    <w:p>
      <w:pPr>
        <w:pStyle w:val="0"/>
        <w:spacing w:before="200" w:line-rule="auto"/>
        <w:ind w:firstLine="540"/>
        <w:jc w:val="both"/>
      </w:pPr>
      <w:r>
        <w:rPr>
          <w:sz w:val="20"/>
        </w:rPr>
        <w:t xml:space="preserve">6.1.42. Административные и бытовые помещения могут размещаться во вставках и встройках производственных зданий категорий В, Г и Д:</w:t>
      </w:r>
    </w:p>
    <w:p>
      <w:pPr>
        <w:pStyle w:val="0"/>
        <w:spacing w:before="200" w:line-rule="auto"/>
        <w:ind w:firstLine="540"/>
        <w:jc w:val="both"/>
      </w:pPr>
      <w:r>
        <w:rPr>
          <w:sz w:val="20"/>
        </w:rPr>
        <w:t xml:space="preserve">I, II, и III степеней огнестойкости класса пожарной опасности С0;</w:t>
      </w:r>
    </w:p>
    <w:p>
      <w:pPr>
        <w:pStyle w:val="0"/>
        <w:spacing w:before="200" w:line-rule="auto"/>
        <w:ind w:firstLine="540"/>
        <w:jc w:val="both"/>
      </w:pPr>
      <w:r>
        <w:rPr>
          <w:sz w:val="20"/>
        </w:rPr>
        <w:t xml:space="preserve">IV степени огнестойкости всех классов пожарной опасности.</w:t>
      </w:r>
    </w:p>
    <w:p>
      <w:pPr>
        <w:pStyle w:val="0"/>
        <w:spacing w:before="200" w:line-rule="auto"/>
        <w:ind w:firstLine="540"/>
        <w:jc w:val="both"/>
      </w:pPr>
      <w:r>
        <w:rPr>
          <w:sz w:val="20"/>
        </w:rPr>
        <w:t xml:space="preserve">6.1.43. Вставки отделяются от производственных помещений противопожарными стенами 1-го типа.</w:t>
      </w:r>
    </w:p>
    <w:p>
      <w:pPr>
        <w:pStyle w:val="0"/>
        <w:spacing w:before="200" w:line-rule="auto"/>
        <w:ind w:firstLine="540"/>
        <w:jc w:val="both"/>
      </w:pPr>
      <w:r>
        <w:rPr>
          <w:sz w:val="20"/>
        </w:rPr>
        <w:t xml:space="preserve">Вставки от производственных помещений категорий В1 - В4, Г и Д допускается отделять:</w:t>
      </w:r>
    </w:p>
    <w:p>
      <w:pPr>
        <w:pStyle w:val="0"/>
        <w:spacing w:before="200" w:line-rule="auto"/>
        <w:ind w:firstLine="540"/>
        <w:jc w:val="both"/>
      </w:pPr>
      <w:r>
        <w:rPr>
          <w:sz w:val="20"/>
        </w:rPr>
        <w:t xml:space="preserve">в зданиях I, II степеней огнестойкости классов С0 и С1, III степени огнестойкости класса С0 противопожарными перегородками 1-го типа;</w:t>
      </w:r>
    </w:p>
    <w:p>
      <w:pPr>
        <w:pStyle w:val="0"/>
        <w:spacing w:before="200" w:line-rule="auto"/>
        <w:ind w:firstLine="540"/>
        <w:jc w:val="both"/>
      </w:pPr>
      <w:r>
        <w:rPr>
          <w:sz w:val="20"/>
        </w:rPr>
        <w:t xml:space="preserve">в зданиях III степени огнестойкости класса С1 и IV степени огнестойкости классов С0 и С1 - противопожарными стенами 2-го типа.</w:t>
      </w:r>
    </w:p>
    <w:p>
      <w:pPr>
        <w:pStyle w:val="0"/>
        <w:spacing w:before="200" w:line-rule="auto"/>
        <w:ind w:firstLine="540"/>
        <w:jc w:val="both"/>
      </w:pPr>
      <w:r>
        <w:rPr>
          <w:sz w:val="20"/>
        </w:rPr>
        <w:t xml:space="preserve">Встройки надлежит принимать с числом этажей не более двух и отделять от производственных помещений противопожарными стенами и перекрытиями 1-го типа.</w:t>
      </w:r>
    </w:p>
    <w:p>
      <w:pPr>
        <w:pStyle w:val="0"/>
        <w:spacing w:before="200" w:line-rule="auto"/>
        <w:ind w:firstLine="540"/>
        <w:jc w:val="both"/>
      </w:pPr>
      <w:r>
        <w:rPr>
          <w:sz w:val="20"/>
        </w:rPr>
        <w:t xml:space="preserve">Встройки от производственных помещений категорий В1 - В4, Г и Д допускается отделять:</w:t>
      </w:r>
    </w:p>
    <w:p>
      <w:pPr>
        <w:pStyle w:val="0"/>
        <w:spacing w:before="200" w:line-rule="auto"/>
        <w:ind w:firstLine="540"/>
        <w:jc w:val="both"/>
      </w:pPr>
      <w:r>
        <w:rPr>
          <w:sz w:val="20"/>
        </w:rPr>
        <w:t xml:space="preserve">в зданиях I, II степеней огнестойкости классов С0 и С1, III степени огнестойкости класса С0 противопожарными перегородками 1-го типа и перекрытиями 2-го типа;</w:t>
      </w:r>
    </w:p>
    <w:p>
      <w:pPr>
        <w:pStyle w:val="0"/>
        <w:spacing w:before="200" w:line-rule="auto"/>
        <w:ind w:firstLine="540"/>
        <w:jc w:val="both"/>
      </w:pPr>
      <w:r>
        <w:rPr>
          <w:sz w:val="20"/>
        </w:rPr>
        <w:t xml:space="preserve">в зданиях III степени огнестойкости класса С1 и IV степени огнестойкости классов С0 и С1 - противопожарными стенами 2-го типа и противопожарными перекрытиями 3-го типа.</w:t>
      </w:r>
    </w:p>
    <w:p>
      <w:pPr>
        <w:pStyle w:val="0"/>
        <w:spacing w:before="200" w:line-rule="auto"/>
        <w:ind w:firstLine="540"/>
        <w:jc w:val="both"/>
      </w:pPr>
      <w:r>
        <w:rPr>
          <w:sz w:val="20"/>
        </w:rPr>
        <w:t xml:space="preserve">Суммарная площадь вставок, выделяемых противопожарными перегородками 1-го и противопожарными стенами 2-го типов, а также встроек и производственных помещений, не должна превышать площади пожарного отсека, установленной в </w:t>
      </w:r>
      <w:hyperlink w:history="0" r:id="rId246" w:tooltip="&quot;СП 2.13130.2009. Свод правил. Системы противопожарной защиты. Обеспечение огнестойкости объектов защиты&quot; (утв. Приказом МЧС РФ от 25.03.2009 N 172) ------------ Утратил силу или отменен {КонсультантПлюс}">
        <w:r>
          <w:rPr>
            <w:sz w:val="20"/>
            <w:color w:val="0000ff"/>
          </w:rPr>
          <w:t xml:space="preserve">СП 2.13130</w:t>
        </w:r>
      </w:hyperlink>
      <w:r>
        <w:rPr>
          <w:sz w:val="20"/>
        </w:rPr>
        <w:t xml:space="preserve">.</w:t>
      </w:r>
    </w:p>
    <w:p>
      <w:pPr>
        <w:pStyle w:val="0"/>
        <w:spacing w:before="200" w:line-rule="auto"/>
        <w:ind w:firstLine="540"/>
        <w:jc w:val="both"/>
      </w:pPr>
      <w:r>
        <w:rPr>
          <w:sz w:val="20"/>
        </w:rPr>
        <w:t xml:space="preserve">6.1.44. Вспомогательные помещения для обслуживающего персонала зерноперерабатывающих предприятий допускается располагать в пристройках в торце производственных зданий со стороны размещения помещений категорий В1 - В4, Г или Д (за исключением зерноочистительных отделений мельниц).</w:t>
      </w:r>
    </w:p>
    <w:p>
      <w:pPr>
        <w:pStyle w:val="0"/>
        <w:spacing w:before="200" w:line-rule="auto"/>
        <w:ind w:firstLine="540"/>
        <w:jc w:val="both"/>
      </w:pPr>
      <w:r>
        <w:rPr>
          <w:sz w:val="20"/>
        </w:rPr>
        <w:t xml:space="preserve">6.1.45. Коридоры длиной более 60 м следует разделять противопожарными перегородками 2-го типа на участки, длина которых не должна превышать 60 м.</w:t>
      </w:r>
    </w:p>
    <w:p>
      <w:pPr>
        <w:pStyle w:val="0"/>
        <w:jc w:val="both"/>
      </w:pPr>
      <w:r>
        <w:rPr>
          <w:sz w:val="20"/>
        </w:rPr>
        <w:t xml:space="preserve">(п. 6.1.45 в ред. </w:t>
      </w:r>
      <w:hyperlink w:history="0" r:id="rId247"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6.1.46. В зданиях I и II степеней огнестойкости с числом этажей не более трех главные лестницы допускается проектировать открытыми на всю высоту здания при условии размещения остальных (не менее двух) лестниц в обычных лестничных клетках 1-го типа. При этом вестибюли и поэтажные холлы, в которых размещены открытые лестницы, должны быть отделены от смежных помещений и коридоров противопожарными перегородками 1-го типа.</w:t>
      </w:r>
    </w:p>
    <w:p>
      <w:pPr>
        <w:pStyle w:val="0"/>
        <w:spacing w:before="200" w:line-rule="auto"/>
        <w:ind w:firstLine="540"/>
        <w:jc w:val="both"/>
      </w:pPr>
      <w:r>
        <w:rPr>
          <w:sz w:val="20"/>
        </w:rPr>
        <w:t xml:space="preserve">6.1.47. Утратил силу. - </w:t>
      </w:r>
      <w:hyperlink w:history="0" r:id="rId248"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w:t>
        </w:r>
      </w:hyperlink>
      <w:r>
        <w:rPr>
          <w:sz w:val="20"/>
        </w:rPr>
        <w:t xml:space="preserve"> МЧС России от 14.02.2020 N 89.</w:t>
      </w:r>
    </w:p>
    <w:p>
      <w:pPr>
        <w:pStyle w:val="0"/>
        <w:spacing w:before="200" w:line-rule="auto"/>
        <w:ind w:firstLine="540"/>
        <w:jc w:val="both"/>
      </w:pPr>
      <w:r>
        <w:rPr>
          <w:sz w:val="20"/>
        </w:rPr>
        <w:t xml:space="preserve">6.1.47. Помещения категорий А, Б, В1, В2, В3, а также Г (с наличием газообразного или жидкого топлива) по взрывопожарной и пожарной опасности следует отделять одно от другого, а также эти помещения от помещений категорий В4, Г (без наличия газообразного и (или) жидкого топлива), Д от коридоров и от помещений другого функционального назначения противопожарными перегородками и противопожарными перекрытиями следующих типов:</w:t>
      </w:r>
    </w:p>
    <w:p>
      <w:pPr>
        <w:pStyle w:val="0"/>
        <w:spacing w:before="200" w:line-rule="auto"/>
        <w:ind w:firstLine="540"/>
        <w:jc w:val="both"/>
      </w:pPr>
      <w:r>
        <w:rPr>
          <w:sz w:val="20"/>
        </w:rPr>
        <w:t xml:space="preserve">в зданиях I степени огнестойкости - противопожарными перегородками 1-го типа, противопожарными перекрытиями (междуэтажными и над подвалом) 2-го типа;</w:t>
      </w:r>
    </w:p>
    <w:p>
      <w:pPr>
        <w:pStyle w:val="0"/>
        <w:spacing w:before="200" w:line-rule="auto"/>
        <w:ind w:firstLine="540"/>
        <w:jc w:val="both"/>
      </w:pPr>
      <w:r>
        <w:rPr>
          <w:sz w:val="20"/>
        </w:rPr>
        <w:t xml:space="preserve">в зданиях II и III степени огнестойкости - противопожарными перегородками 1-го типа и противопожарными перекрытиями (междуэтажными и над подвалом) 3-го типа;</w:t>
      </w:r>
    </w:p>
    <w:p>
      <w:pPr>
        <w:pStyle w:val="0"/>
        <w:spacing w:before="200" w:line-rule="auto"/>
        <w:ind w:firstLine="540"/>
        <w:jc w:val="both"/>
      </w:pPr>
      <w:r>
        <w:rPr>
          <w:sz w:val="20"/>
        </w:rPr>
        <w:t xml:space="preserve">в зданиях IV степени огнестойкости классов конструктивной пожарной опасности С0, С1 - противопожарными перегородками 2-го типа и противопожарными перекрытиями 4-го типа;</w:t>
      </w:r>
    </w:p>
    <w:p>
      <w:pPr>
        <w:pStyle w:val="0"/>
        <w:spacing w:before="200" w:line-rule="auto"/>
        <w:ind w:firstLine="540"/>
        <w:jc w:val="both"/>
      </w:pPr>
      <w:r>
        <w:rPr>
          <w:sz w:val="20"/>
        </w:rPr>
        <w:t xml:space="preserve">в зданиях IV степени огнестойкости классов конструктивной пожарной опасности С2, С3 помещения категорий В1 - В3 по пожарной опасности - противопожарными перегородками 2-го типа и противопожарными перекрытиями 3-го типа, помещения категорий А и Б по взрывопожарной опасности - противопожарными перегородками 1-го типа и противопожарными перекрытиями 3-го типа.</w:t>
      </w:r>
    </w:p>
    <w:p>
      <w:pPr>
        <w:pStyle w:val="0"/>
        <w:jc w:val="both"/>
      </w:pPr>
      <w:r>
        <w:rPr>
          <w:sz w:val="20"/>
        </w:rPr>
        <w:t xml:space="preserve">(п. 6.1.47 введен </w:t>
      </w:r>
      <w:hyperlink w:history="0" r:id="rId249"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Приказом</w:t>
        </w:r>
      </w:hyperlink>
      <w:r>
        <w:rPr>
          <w:sz w:val="20"/>
        </w:rPr>
        <w:t xml:space="preserve"> МЧС России от 15.06.2022 N 610)</w:t>
      </w:r>
    </w:p>
    <w:p>
      <w:pPr>
        <w:pStyle w:val="0"/>
        <w:spacing w:before="200" w:line-rule="auto"/>
        <w:ind w:firstLine="540"/>
        <w:jc w:val="both"/>
      </w:pPr>
      <w:r>
        <w:rPr>
          <w:sz w:val="20"/>
        </w:rPr>
        <w:t xml:space="preserve">6.1.48. На территориях производственных объектов противопожарные расстояния от открытых площадок для хранения и ожидания автомобильного подвижного состава (в том числе с навесом без стеновых конструкций) должны приниматься:</w:t>
      </w:r>
    </w:p>
    <w:p>
      <w:pPr>
        <w:pStyle w:val="0"/>
        <w:spacing w:before="200" w:line-rule="auto"/>
        <w:ind w:firstLine="540"/>
        <w:jc w:val="both"/>
      </w:pPr>
      <w:r>
        <w:rPr>
          <w:sz w:val="20"/>
        </w:rPr>
        <w:t xml:space="preserve">а) до зданий, сооружений производственного и складского назначения:</w:t>
      </w:r>
    </w:p>
    <w:p>
      <w:pPr>
        <w:pStyle w:val="0"/>
        <w:spacing w:before="200" w:line-rule="auto"/>
        <w:ind w:firstLine="540"/>
        <w:jc w:val="both"/>
      </w:pPr>
      <w:r>
        <w:rPr>
          <w:sz w:val="20"/>
        </w:rPr>
        <w:t xml:space="preserve">I, II и III степеней огнестойкости класса конструктивной пожарной опасности С0 со стороны стен без проемов - не нормируются;</w:t>
      </w:r>
    </w:p>
    <w:p>
      <w:pPr>
        <w:pStyle w:val="0"/>
        <w:spacing w:before="200" w:line-rule="auto"/>
        <w:ind w:firstLine="540"/>
        <w:jc w:val="both"/>
      </w:pPr>
      <w:r>
        <w:rPr>
          <w:sz w:val="20"/>
        </w:rPr>
        <w:t xml:space="preserve">то же, со стороны стен с проемами - не менее 9 м;</w:t>
      </w:r>
    </w:p>
    <w:p>
      <w:pPr>
        <w:pStyle w:val="0"/>
        <w:spacing w:before="200" w:line-rule="auto"/>
        <w:ind w:firstLine="540"/>
        <w:jc w:val="both"/>
      </w:pPr>
      <w:r>
        <w:rPr>
          <w:sz w:val="20"/>
        </w:rPr>
        <w:t xml:space="preserve">IV степени огнестойкости классов конструктивной пожарной опасности С0 и С1 со стороны стен без проемов - не менее 6 м;</w:t>
      </w:r>
    </w:p>
    <w:p>
      <w:pPr>
        <w:pStyle w:val="0"/>
        <w:spacing w:before="200" w:line-rule="auto"/>
        <w:ind w:firstLine="540"/>
        <w:jc w:val="both"/>
      </w:pPr>
      <w:r>
        <w:rPr>
          <w:sz w:val="20"/>
        </w:rPr>
        <w:t xml:space="preserve">то же, со стороны стен с проемами - не менее 12 м;</w:t>
      </w:r>
    </w:p>
    <w:p>
      <w:pPr>
        <w:pStyle w:val="0"/>
        <w:spacing w:before="200" w:line-rule="auto"/>
        <w:ind w:firstLine="540"/>
        <w:jc w:val="both"/>
      </w:pPr>
      <w:r>
        <w:rPr>
          <w:sz w:val="20"/>
        </w:rPr>
        <w:t xml:space="preserve">других степеней огнестойкости и классов конструктивной пожарной опасности - не менее 15 м;</w:t>
      </w:r>
    </w:p>
    <w:p>
      <w:pPr>
        <w:pStyle w:val="0"/>
        <w:spacing w:before="200" w:line-rule="auto"/>
        <w:ind w:firstLine="540"/>
        <w:jc w:val="both"/>
      </w:pPr>
      <w:r>
        <w:rPr>
          <w:sz w:val="20"/>
        </w:rPr>
        <w:t xml:space="preserve">б) до административных и бытовых зданий предприятий:</w:t>
      </w:r>
    </w:p>
    <w:p>
      <w:pPr>
        <w:pStyle w:val="0"/>
        <w:spacing w:before="200" w:line-rule="auto"/>
        <w:ind w:firstLine="540"/>
        <w:jc w:val="both"/>
      </w:pPr>
      <w:r>
        <w:rPr>
          <w:sz w:val="20"/>
        </w:rPr>
        <w:t xml:space="preserve">I, II и III степеней огнестойкости класса конструктивной пожарной опасности С0 со стороны стен без проемов - не нормируются, со стороны стен с проемами - не менее 9 м;</w:t>
      </w:r>
    </w:p>
    <w:p>
      <w:pPr>
        <w:pStyle w:val="0"/>
        <w:spacing w:before="200" w:line-rule="auto"/>
        <w:ind w:firstLine="540"/>
        <w:jc w:val="both"/>
      </w:pPr>
      <w:r>
        <w:rPr>
          <w:sz w:val="20"/>
        </w:rPr>
        <w:t xml:space="preserve">других степеней огнестойкости и классов конструктивной пожарной опасности - не менее 15 м.</w:t>
      </w:r>
    </w:p>
    <w:p>
      <w:pPr>
        <w:pStyle w:val="0"/>
        <w:spacing w:before="200" w:line-rule="auto"/>
        <w:ind w:firstLine="540"/>
        <w:jc w:val="both"/>
      </w:pPr>
      <w:r>
        <w:rPr>
          <w:sz w:val="20"/>
        </w:rPr>
        <w:t xml:space="preserve">Расстояние от площадок для хранения автомобилей до зданий и сооружений I и II степеней огнестойкости класса конструктивной пожарной опасности С0 на территории станций технического обслуживания легковых автомобилей с количеством постов не более 15 не нормируется.</w:t>
      </w:r>
    </w:p>
    <w:p>
      <w:pPr>
        <w:pStyle w:val="0"/>
        <w:jc w:val="both"/>
      </w:pPr>
      <w:r>
        <w:rPr>
          <w:sz w:val="20"/>
        </w:rPr>
        <w:t xml:space="preserve">(п. 6.1.48 введен </w:t>
      </w:r>
      <w:hyperlink w:history="0" r:id="rId250"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Приказом</w:t>
        </w:r>
      </w:hyperlink>
      <w:r>
        <w:rPr>
          <w:sz w:val="20"/>
        </w:rPr>
        <w:t xml:space="preserve"> МЧС России от 15.06.2022 N 610)</w:t>
      </w:r>
    </w:p>
    <w:p>
      <w:pPr>
        <w:pStyle w:val="0"/>
        <w:spacing w:before="200" w:line-rule="auto"/>
        <w:ind w:firstLine="540"/>
        <w:jc w:val="both"/>
      </w:pPr>
      <w:r>
        <w:rPr>
          <w:sz w:val="20"/>
        </w:rPr>
        <w:t xml:space="preserve">6.1.49. Хранение автомобилей для перевозки пожароопасных жидкостей и горюче-смазочных материалов (ГСМ) следует предусматривать на территориях промышленных предприятий и организаций на открытых площадках или в отдельно стоящих одноэтажных зданиях не ниже II степени огнестойкости класса конструктивной пожарной опасности С0. Допускается такие стоянки автомобилей пристраивать к глухим противопожарным стенам 1-го или 2-го типа производственных зданий I и II степеней огнестойкости класса конструктивной пожарной опасности С0 (кроме зданий категорий А и Б по взрывопожарной опасности) при условии хранения на стоянке автомобилей общей вместимостью перевозимых ГСМ не более 30 м</w:t>
      </w:r>
      <w:r>
        <w:rPr>
          <w:sz w:val="20"/>
          <w:vertAlign w:val="superscript"/>
        </w:rPr>
        <w:t xml:space="preserve">3</w:t>
      </w:r>
      <w:r>
        <w:rPr>
          <w:sz w:val="20"/>
        </w:rPr>
        <w:t xml:space="preserve">.</w:t>
      </w:r>
    </w:p>
    <w:p>
      <w:pPr>
        <w:pStyle w:val="0"/>
        <w:spacing w:before="200" w:line-rule="auto"/>
        <w:ind w:firstLine="540"/>
        <w:jc w:val="both"/>
      </w:pPr>
      <w:r>
        <w:rPr>
          <w:sz w:val="20"/>
        </w:rPr>
        <w:t xml:space="preserve">На открытых площадках хранение автомобилей для перевозки ГСМ следует предусматривать группами в количестве не более 50 автомобилей и общей вместимостью ГСМ не более 600 м</w:t>
      </w:r>
      <w:r>
        <w:rPr>
          <w:sz w:val="20"/>
          <w:vertAlign w:val="superscript"/>
        </w:rPr>
        <w:t xml:space="preserve">3</w:t>
      </w:r>
      <w:r>
        <w:rPr>
          <w:sz w:val="20"/>
        </w:rPr>
        <w:t xml:space="preserve">. Расстояние между такими группами, а также до площадок для хранения других автомобилей должно быть не менее 12 м.</w:t>
      </w:r>
    </w:p>
    <w:p>
      <w:pPr>
        <w:pStyle w:val="0"/>
        <w:spacing w:before="200" w:line-rule="auto"/>
        <w:ind w:firstLine="540"/>
        <w:jc w:val="both"/>
      </w:pPr>
      <w:r>
        <w:rPr>
          <w:sz w:val="20"/>
        </w:rPr>
        <w:t xml:space="preserve">Расстояние от площадок хранения автомобилей для перевозки ГСМ до зданий и сооружений предприятия принимается в соответствии с </w:t>
      </w:r>
      <w:hyperlink w:history="0" w:anchor="P612" w:tooltip="Таблица 4">
        <w:r>
          <w:rPr>
            <w:sz w:val="20"/>
            <w:color w:val="0000ff"/>
          </w:rPr>
          <w:t xml:space="preserve">таблицей 4</w:t>
        </w:r>
      </w:hyperlink>
      <w:r>
        <w:rPr>
          <w:sz w:val="20"/>
        </w:rPr>
        <w:t xml:space="preserve">, как от складов легковоспламеняющихся или горючих жидкостей (исходя из вида ГСМ и общего объема хранения), а до административных и бытовых зданий этого предприятия - не менее 50 м.</w:t>
      </w:r>
    </w:p>
    <w:p>
      <w:pPr>
        <w:pStyle w:val="0"/>
        <w:jc w:val="both"/>
      </w:pPr>
      <w:r>
        <w:rPr>
          <w:sz w:val="20"/>
        </w:rPr>
        <w:t xml:space="preserve">(п. 6.1.49 введен </w:t>
      </w:r>
      <w:hyperlink w:history="0" r:id="rId251"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Приказом</w:t>
        </w:r>
      </w:hyperlink>
      <w:r>
        <w:rPr>
          <w:sz w:val="20"/>
        </w:rPr>
        <w:t xml:space="preserve"> МЧС России от 15.06.2022 N 610)</w:t>
      </w:r>
    </w:p>
    <w:p>
      <w:pPr>
        <w:pStyle w:val="0"/>
        <w:ind w:firstLine="540"/>
        <w:jc w:val="both"/>
      </w:pPr>
      <w:r>
        <w:rPr>
          <w:sz w:val="20"/>
        </w:rPr>
      </w:r>
    </w:p>
    <w:bookmarkStart w:id="1409" w:name="P1409"/>
    <w:bookmarkEnd w:id="1409"/>
    <w:p>
      <w:pPr>
        <w:pStyle w:val="2"/>
        <w:outlineLvl w:val="2"/>
        <w:ind w:firstLine="540"/>
        <w:jc w:val="both"/>
      </w:pPr>
      <w:r>
        <w:rPr>
          <w:sz w:val="20"/>
        </w:rPr>
        <w:t xml:space="preserve">6.2. Требования к производственным зданиям и помещениям</w:t>
      </w:r>
    </w:p>
    <w:p>
      <w:pPr>
        <w:pStyle w:val="0"/>
        <w:jc w:val="both"/>
      </w:pPr>
      <w:r>
        <w:rPr>
          <w:sz w:val="20"/>
        </w:rPr>
        <w:t xml:space="preserve">(в ред. </w:t>
      </w:r>
      <w:hyperlink w:history="0" r:id="rId252"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ind w:firstLine="540"/>
        <w:jc w:val="both"/>
      </w:pPr>
      <w:r>
        <w:rPr>
          <w:sz w:val="20"/>
        </w:rPr>
      </w:r>
    </w:p>
    <w:p>
      <w:pPr>
        <w:pStyle w:val="0"/>
        <w:ind w:firstLine="540"/>
        <w:jc w:val="both"/>
      </w:pPr>
      <w:r>
        <w:rPr>
          <w:sz w:val="20"/>
        </w:rPr>
        <w:t xml:space="preserve">6.2.1. При наличии площадок, этажерок и антресолей, площадь которых на любой отметке превышает 40% площади пола помещения, допустимая площадь этажа в пределах пожарного отсека определяется по </w:t>
      </w:r>
      <w:hyperlink w:history="0" r:id="rId253" w:tooltip="&quot;СП 2.13130.2009. Свод правил. Системы противопожарной защиты. Обеспечение огнестойкости объектов защиты&quot; (утв. Приказом МЧС РФ от 25.03.2009 N 172) ------------ Утратил силу или отменен {КонсультантПлюс}">
        <w:r>
          <w:rPr>
            <w:sz w:val="20"/>
            <w:color w:val="0000ff"/>
          </w:rPr>
          <w:t xml:space="preserve">СП 2.13130</w:t>
        </w:r>
      </w:hyperlink>
      <w:r>
        <w:rPr>
          <w:sz w:val="20"/>
        </w:rPr>
        <w:t xml:space="preserve">.</w:t>
      </w:r>
    </w:p>
    <w:p>
      <w:pPr>
        <w:pStyle w:val="0"/>
        <w:spacing w:before="200" w:line-rule="auto"/>
        <w:ind w:firstLine="540"/>
        <w:jc w:val="both"/>
      </w:pPr>
      <w:r>
        <w:rPr>
          <w:sz w:val="20"/>
        </w:rPr>
        <w:t xml:space="preserve">При оборудовании помещений установками автоматического пожаротушения указанные </w:t>
      </w:r>
      <w:hyperlink w:history="0" r:id="rId254" w:tooltip="&quot;СП 2.13130.2009. Свод правил. Системы противопожарной защиты. Обеспечение огнестойкости объектов защиты&quot; (утв. Приказом МЧС РФ от 25.03.2009 N 172) ------------ Утратил силу или отменен {КонсультантПлюс}">
        <w:r>
          <w:rPr>
            <w:sz w:val="20"/>
            <w:color w:val="0000ff"/>
          </w:rPr>
          <w:t xml:space="preserve">СП 2.13130</w:t>
        </w:r>
      </w:hyperlink>
      <w:r>
        <w:rPr>
          <w:sz w:val="20"/>
        </w:rPr>
        <w:t xml:space="preserve"> площади допускается увеличивать на 100%, за исключением зданий IV и V степеней огнестойкости.</w:t>
      </w:r>
    </w:p>
    <w:p>
      <w:pPr>
        <w:pStyle w:val="0"/>
        <w:spacing w:before="200" w:line-rule="auto"/>
        <w:ind w:firstLine="540"/>
        <w:jc w:val="both"/>
      </w:pPr>
      <w:r>
        <w:rPr>
          <w:sz w:val="20"/>
        </w:rPr>
        <w:t xml:space="preserve">При наличии открытых технологических проемов в перекрытиях смежных этажей суммарная площадь этих этажей не должна превышать площади этажа в пределах пожарного отсека, указанного в </w:t>
      </w:r>
      <w:hyperlink w:history="0" r:id="rId255" w:tooltip="&quot;СП 2.13130.2009. Свод правил. Системы противопожарной защиты. Обеспечение огнестойкости объектов защиты&quot; (утв. Приказом МЧС РФ от 25.03.2009 N 172) ------------ Утратил силу или отменен {КонсультантПлюс}">
        <w:r>
          <w:rPr>
            <w:sz w:val="20"/>
            <w:color w:val="0000ff"/>
          </w:rPr>
          <w:t xml:space="preserve">СП 2.13130</w:t>
        </w:r>
      </w:hyperlink>
      <w:r>
        <w:rPr>
          <w:sz w:val="20"/>
        </w:rPr>
        <w:t xml:space="preserve">.</w:t>
      </w:r>
    </w:p>
    <w:p>
      <w:pPr>
        <w:pStyle w:val="0"/>
        <w:spacing w:before="200" w:line-rule="auto"/>
        <w:ind w:firstLine="540"/>
        <w:jc w:val="both"/>
      </w:pPr>
      <w:r>
        <w:rPr>
          <w:sz w:val="20"/>
        </w:rPr>
        <w:t xml:space="preserve">В здании категории В при наличии помещений категории В1 высоту здания и площадь этажа в пределах пожарного отсека необходимо уменьшить на 25%.</w:t>
      </w:r>
    </w:p>
    <w:p>
      <w:pPr>
        <w:pStyle w:val="0"/>
        <w:spacing w:before="200" w:line-rule="auto"/>
        <w:ind w:firstLine="540"/>
        <w:jc w:val="both"/>
      </w:pPr>
      <w:r>
        <w:rPr>
          <w:sz w:val="20"/>
        </w:rPr>
        <w:t xml:space="preserve">6.2.2. В помещениях высота от пола до низа выступающих конструкций перекрытия (покрытия) должна быть не менее 2,2 м, высота от пола до низа выступающих частей коммуникаций и оборудования в местах регулярного прохода людей и на путях эвакуации - не менее 2 м, а в местах нерегулярного прохода людей - не менее 1,8 м.</w:t>
      </w:r>
    </w:p>
    <w:p>
      <w:pPr>
        <w:pStyle w:val="0"/>
        <w:jc w:val="both"/>
      </w:pPr>
      <w:r>
        <w:rPr>
          <w:sz w:val="20"/>
        </w:rPr>
        <w:t xml:space="preserve">(в ред. </w:t>
      </w:r>
      <w:hyperlink w:history="0" r:id="rId256"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6.2.3. Ввод железнодорожных путей в здания допускается предусматривать в соответствии с технологической частью проекта с учетом требований </w:t>
      </w:r>
      <w:hyperlink w:history="0" w:anchor="P1430" w:tooltip="6.2.12. Не следует предусматривать въезд локомотивов всех типов в помещения категорий А и Б по взрывопожарной опасности, а паровозов и тепловозов, в том числе в помещения категорий В1 - В3 по пожарной опасности и в помещения с конструкциями покрытий классов пожарной опасности К2 и К3.">
        <w:r>
          <w:rPr>
            <w:sz w:val="20"/>
            <w:color w:val="0000ff"/>
          </w:rPr>
          <w:t xml:space="preserve">6.2.12</w:t>
        </w:r>
      </w:hyperlink>
      <w:r>
        <w:rPr>
          <w:sz w:val="20"/>
        </w:rPr>
        <w:t xml:space="preserve">.</w:t>
      </w:r>
    </w:p>
    <w:p>
      <w:pPr>
        <w:pStyle w:val="0"/>
        <w:spacing w:before="200" w:line-rule="auto"/>
        <w:ind w:firstLine="540"/>
        <w:jc w:val="both"/>
      </w:pPr>
      <w:r>
        <w:rPr>
          <w:sz w:val="20"/>
        </w:rPr>
        <w:t xml:space="preserve">6.2.4. Склады сырья, полуфабрикатов и готовой продукции, размещаемые в производственных зданиях, а также грузовые платформы (рампы) проектируются с учетом требований </w:t>
      </w:r>
      <w:hyperlink w:history="0" w:anchor="P1452" w:tooltip="6.3. Требования к складским зданиям">
        <w:r>
          <w:rPr>
            <w:sz w:val="20"/>
            <w:color w:val="0000ff"/>
          </w:rPr>
          <w:t xml:space="preserve">раздела 6.3</w:t>
        </w:r>
      </w:hyperlink>
      <w:r>
        <w:rPr>
          <w:sz w:val="20"/>
        </w:rPr>
        <w:t xml:space="preserve">.</w:t>
      </w:r>
    </w:p>
    <w:p>
      <w:pPr>
        <w:pStyle w:val="0"/>
        <w:spacing w:before="200" w:line-rule="auto"/>
        <w:ind w:firstLine="540"/>
        <w:jc w:val="both"/>
      </w:pPr>
      <w:r>
        <w:rPr>
          <w:sz w:val="20"/>
        </w:rPr>
        <w:t xml:space="preserve">6.2.5. В помещениях категорий А и Б по взрывопожарной и пожарной опасности следует предусматривать наружные легкосбрасываемые ограждающие конструкции в соответствии с </w:t>
      </w:r>
      <w:hyperlink w:history="0" r:id="rId257" w:tooltip="&quot;СП 56.13330.2011. Свод правил. Производственные здания. Актуализированная редакция СНиП 31-03-2001&quot; (утв. Приказом Минрегиона РФ от 30.12.2010 N 850) (ред. от 22.11.2019) ------------ Утратил силу или отменен {КонсультантПлюс}">
        <w:r>
          <w:rPr>
            <w:sz w:val="20"/>
            <w:color w:val="0000ff"/>
          </w:rPr>
          <w:t xml:space="preserve">СП 56.13330</w:t>
        </w:r>
      </w:hyperlink>
      <w:r>
        <w:rPr>
          <w:sz w:val="20"/>
        </w:rPr>
        <w:t xml:space="preserve">.</w:t>
      </w:r>
    </w:p>
    <w:p>
      <w:pPr>
        <w:pStyle w:val="0"/>
        <w:jc w:val="both"/>
      </w:pPr>
      <w:r>
        <w:rPr>
          <w:sz w:val="20"/>
        </w:rPr>
        <w:t xml:space="preserve">(п. 6.2.5 в ред. </w:t>
      </w:r>
      <w:hyperlink w:history="0" r:id="rId258"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6.2.6. Под остеклением зенитных фонарей, выполняемых из листового силикатного стекла, стеклопакетов, профильного стекла, а также вдоль внутренней стороны остекления прямоугольных светоаэрационных фонарей предусматриваются устройства защитной металлической сетки.</w:t>
      </w:r>
    </w:p>
    <w:p>
      <w:pPr>
        <w:pStyle w:val="0"/>
        <w:spacing w:before="200" w:line-rule="auto"/>
        <w:ind w:firstLine="540"/>
        <w:jc w:val="both"/>
      </w:pPr>
      <w:r>
        <w:rPr>
          <w:sz w:val="20"/>
        </w:rPr>
        <w:t xml:space="preserve">6.2.7 - 6.2.8. Исключены с 1 декабря 2022 года. - </w:t>
      </w:r>
      <w:hyperlink w:history="0" r:id="rId259"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w:t>
        </w:r>
      </w:hyperlink>
      <w:r>
        <w:rPr>
          <w:sz w:val="20"/>
        </w:rPr>
        <w:t xml:space="preserve"> МЧС России от 15.06.2022 N 610.</w:t>
      </w:r>
    </w:p>
    <w:p>
      <w:pPr>
        <w:pStyle w:val="0"/>
        <w:spacing w:before="200" w:line-rule="auto"/>
        <w:ind w:firstLine="540"/>
        <w:jc w:val="both"/>
      </w:pPr>
      <w:r>
        <w:rPr>
          <w:sz w:val="20"/>
        </w:rPr>
        <w:t xml:space="preserve">6.2.9. В одноэтажных зданиях IV степени огнестойкости класса пожарной опасности С2 допускается размещать помещения категорий А и Б общей площадью не более 300 м</w:t>
      </w:r>
      <w:r>
        <w:rPr>
          <w:sz w:val="20"/>
          <w:vertAlign w:val="superscript"/>
        </w:rPr>
        <w:t xml:space="preserve">2</w:t>
      </w:r>
      <w:r>
        <w:rPr>
          <w:sz w:val="20"/>
        </w:rPr>
        <w:t xml:space="preserve">. При этом указанные помещения должны выделяться противопожарными перегородками 1-го типа и перекрытиями 3-го типа. Наружные стены этих помещений должны быть классов К0 или К1.</w:t>
      </w:r>
    </w:p>
    <w:p>
      <w:pPr>
        <w:pStyle w:val="0"/>
        <w:spacing w:before="200" w:line-rule="auto"/>
        <w:ind w:firstLine="540"/>
        <w:jc w:val="both"/>
      </w:pPr>
      <w:r>
        <w:rPr>
          <w:sz w:val="20"/>
        </w:rPr>
        <w:t xml:space="preserve">Допускается проектировать одноэтажные здания IV степени огнестойкости класса конструктивной пожарной опасности С2 и С3 категорий А и Б по взрывопожарной опасности площадью не более 75 м</w:t>
      </w:r>
      <w:r>
        <w:rPr>
          <w:sz w:val="20"/>
          <w:vertAlign w:val="superscript"/>
        </w:rPr>
        <w:t xml:space="preserve">2</w:t>
      </w:r>
      <w:r>
        <w:rPr>
          <w:sz w:val="20"/>
        </w:rPr>
        <w:t xml:space="preserve">.</w:t>
      </w:r>
    </w:p>
    <w:p>
      <w:pPr>
        <w:pStyle w:val="0"/>
        <w:jc w:val="both"/>
      </w:pPr>
      <w:r>
        <w:rPr>
          <w:sz w:val="20"/>
        </w:rPr>
        <w:t xml:space="preserve">(в ред. </w:t>
      </w:r>
      <w:hyperlink w:history="0" r:id="rId260"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6.2.10. Исключен с 1 декабря 2022 года. - </w:t>
      </w:r>
      <w:hyperlink w:history="0" r:id="rId261"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w:t>
        </w:r>
      </w:hyperlink>
      <w:r>
        <w:rPr>
          <w:sz w:val="20"/>
        </w:rPr>
        <w:t xml:space="preserve"> МЧС России от 15.06.2022 N 610.</w:t>
      </w:r>
    </w:p>
    <w:p>
      <w:pPr>
        <w:pStyle w:val="0"/>
        <w:spacing w:before="200" w:line-rule="auto"/>
        <w:ind w:firstLine="540"/>
        <w:jc w:val="both"/>
      </w:pPr>
      <w:r>
        <w:rPr>
          <w:sz w:val="20"/>
        </w:rPr>
        <w:t xml:space="preserve">6.2.11. Подвалы с помещениями категорий В1 - В3 должны разделяться противопожарными перегородками 1-го типа на пожарные секции площадью не более 3000 м</w:t>
      </w:r>
      <w:r>
        <w:rPr>
          <w:sz w:val="20"/>
          <w:vertAlign w:val="superscript"/>
        </w:rPr>
        <w:t xml:space="preserve">2</w:t>
      </w:r>
      <w:r>
        <w:rPr>
          <w:sz w:val="20"/>
        </w:rPr>
        <w:t xml:space="preserve"> каждая, и обеспечиваться противодымной защитой согласно требованиям </w:t>
      </w:r>
      <w:hyperlink w:history="0" r:id="rId262" w:tooltip="&quot;СП 7.13130.2009. Свод правил. Отопление, вентиляция и кондиционирование. Противопожарные требования&quot; (утв. Приказом МЧС РФ от 25.03.2009 N 177) ------------ Утратил силу или отменен {КонсультантПлюс}">
        <w:r>
          <w:rPr>
            <w:sz w:val="20"/>
            <w:color w:val="0000ff"/>
          </w:rPr>
          <w:t xml:space="preserve">СП 7.13130</w:t>
        </w:r>
      </w:hyperlink>
      <w:r>
        <w:rPr>
          <w:sz w:val="20"/>
        </w:rPr>
        <w:t xml:space="preserve">. Перекрытия над подвалами должны быть противопожарными 3-го типа. Перегородки, отделяющие помещения от коридоров, должны быть противопожарными 1-го типа.</w:t>
      </w:r>
    </w:p>
    <w:p>
      <w:pPr>
        <w:pStyle w:val="0"/>
        <w:jc w:val="both"/>
      </w:pPr>
      <w:r>
        <w:rPr>
          <w:sz w:val="20"/>
        </w:rPr>
        <w:t xml:space="preserve">(в ред. </w:t>
      </w:r>
      <w:hyperlink w:history="0" r:id="rId263"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bookmarkStart w:id="1430" w:name="P1430"/>
    <w:bookmarkEnd w:id="1430"/>
    <w:p>
      <w:pPr>
        <w:pStyle w:val="0"/>
        <w:spacing w:before="200" w:line-rule="auto"/>
        <w:ind w:firstLine="540"/>
        <w:jc w:val="both"/>
      </w:pPr>
      <w:r>
        <w:rPr>
          <w:sz w:val="20"/>
        </w:rPr>
        <w:t xml:space="preserve">6.2.12. Не следует предусматривать въезд локомотивов всех типов в помещения категорий А и Б по взрывопожарной опасности, а паровозов и тепловозов, в том числе в помещения категорий В1 - В3 по пожарной опасности и в помещения с конструкциями покрытий классов пожарной опасности К2 и К3.</w:t>
      </w:r>
    </w:p>
    <w:p>
      <w:pPr>
        <w:pStyle w:val="0"/>
        <w:spacing w:before="200" w:line-rule="auto"/>
        <w:ind w:firstLine="540"/>
        <w:jc w:val="both"/>
      </w:pPr>
      <w:r>
        <w:rPr>
          <w:sz w:val="20"/>
        </w:rPr>
        <w:t xml:space="preserve">Примечание. Положения настоящего пункта не распространяются на здания локомотивных депо, в которых осуществляются ремонт, обслуживание и стоянка соответствующих локомотивов.</w:t>
      </w:r>
    </w:p>
    <w:p>
      <w:pPr>
        <w:pStyle w:val="0"/>
        <w:ind w:firstLine="540"/>
        <w:jc w:val="both"/>
      </w:pPr>
      <w:r>
        <w:rPr>
          <w:sz w:val="20"/>
        </w:rPr>
      </w:r>
    </w:p>
    <w:p>
      <w:pPr>
        <w:pStyle w:val="0"/>
        <w:jc w:val="both"/>
      </w:pPr>
      <w:r>
        <w:rPr>
          <w:sz w:val="20"/>
        </w:rPr>
        <w:t xml:space="preserve">(п. 6.2.12 в ред. </w:t>
      </w:r>
      <w:hyperlink w:history="0" r:id="rId264"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bookmarkStart w:id="1434" w:name="P1434"/>
    <w:bookmarkEnd w:id="1434"/>
    <w:p>
      <w:pPr>
        <w:pStyle w:val="0"/>
        <w:spacing w:before="200" w:line-rule="auto"/>
        <w:ind w:firstLine="540"/>
        <w:jc w:val="both"/>
      </w:pPr>
      <w:r>
        <w:rPr>
          <w:sz w:val="20"/>
        </w:rPr>
        <w:t xml:space="preserve">6.2.13. Участки перекрытий и технологических площадок, на которых установлены аппараты, установки и оборудование с наличием в них легковоспламеняющихся, горючих жидкостей, должны иметь глухие бортики или поддоны из материалов НГ. Высота бортиков и площадь между бортиками или поддонов устанавливаются в технологической части проекта.</w:t>
      </w:r>
    </w:p>
    <w:p>
      <w:pPr>
        <w:pStyle w:val="0"/>
        <w:jc w:val="both"/>
      </w:pPr>
      <w:r>
        <w:rPr>
          <w:sz w:val="20"/>
        </w:rPr>
        <w:t xml:space="preserve">(в ред. </w:t>
      </w:r>
      <w:hyperlink w:history="0" r:id="rId265"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6.2.14. Зенитные фонари со светопропускающими элементами из материалов групп Г3 и Г4 допускается применять только в зданиях I, II и III степеней огнестойкости класса пожарной опасности С0 в помещениях категорий В4, Г и Д с покрытиями из материалов с пожарной опасностью НГ и группы Г1 и рулонной кровлей, имеющей защитное покрытие из гравия. Общая площадь светопропускающих элементов таких фонарей не должна превышать 15% общей площади покрытия, площадь проема одного фонаря - не более 12 м</w:t>
      </w:r>
      <w:r>
        <w:rPr>
          <w:sz w:val="20"/>
          <w:vertAlign w:val="superscript"/>
        </w:rPr>
        <w:t xml:space="preserve">2</w:t>
      </w:r>
      <w:r>
        <w:rPr>
          <w:sz w:val="20"/>
        </w:rPr>
        <w:t xml:space="preserve"> при удельной массе светопропускающих элементов не более 20 кг/м</w:t>
      </w:r>
      <w:r>
        <w:rPr>
          <w:sz w:val="20"/>
          <w:vertAlign w:val="superscript"/>
        </w:rPr>
        <w:t xml:space="preserve">2</w:t>
      </w:r>
      <w:r>
        <w:rPr>
          <w:sz w:val="20"/>
        </w:rPr>
        <w:t xml:space="preserve"> и не более 18 м</w:t>
      </w:r>
      <w:r>
        <w:rPr>
          <w:sz w:val="20"/>
          <w:vertAlign w:val="superscript"/>
        </w:rPr>
        <w:t xml:space="preserve">2</w:t>
      </w:r>
      <w:r>
        <w:rPr>
          <w:sz w:val="20"/>
        </w:rPr>
        <w:t xml:space="preserve"> при удельной массе светопропускающих элементов не более 10 кг/м</w:t>
      </w:r>
      <w:r>
        <w:rPr>
          <w:sz w:val="20"/>
          <w:vertAlign w:val="superscript"/>
        </w:rPr>
        <w:t xml:space="preserve">2</w:t>
      </w:r>
      <w:r>
        <w:rPr>
          <w:sz w:val="20"/>
        </w:rPr>
        <w:t xml:space="preserve">. При этом рулонная кровля должна иметь защитное покрытие из гравия.</w:t>
      </w:r>
    </w:p>
    <w:p>
      <w:pPr>
        <w:pStyle w:val="0"/>
        <w:spacing w:before="200" w:line-rule="auto"/>
        <w:ind w:firstLine="540"/>
        <w:jc w:val="both"/>
      </w:pPr>
      <w:r>
        <w:rPr>
          <w:sz w:val="20"/>
        </w:rPr>
        <w:t xml:space="preserve">Расстояние (в свету) между этими фонарями должно составлять не менее 6 м при площади проемов от 6 до 18 м</w:t>
      </w:r>
      <w:r>
        <w:rPr>
          <w:sz w:val="20"/>
          <w:vertAlign w:val="superscript"/>
        </w:rPr>
        <w:t xml:space="preserve">2</w:t>
      </w:r>
      <w:r>
        <w:rPr>
          <w:sz w:val="20"/>
        </w:rPr>
        <w:t xml:space="preserve"> и не менее 3 м при площади проемов до 6 м</w:t>
      </w:r>
      <w:r>
        <w:rPr>
          <w:sz w:val="20"/>
          <w:vertAlign w:val="superscript"/>
        </w:rPr>
        <w:t xml:space="preserve">2</w:t>
      </w:r>
      <w:r>
        <w:rPr>
          <w:sz w:val="20"/>
        </w:rPr>
        <w:t xml:space="preserve">.</w:t>
      </w:r>
    </w:p>
    <w:p>
      <w:pPr>
        <w:pStyle w:val="0"/>
        <w:spacing w:before="200" w:line-rule="auto"/>
        <w:ind w:firstLine="540"/>
        <w:jc w:val="both"/>
      </w:pPr>
      <w:r>
        <w:rPr>
          <w:sz w:val="20"/>
        </w:rPr>
        <w:t xml:space="preserve">При совмещении фонарей в группы они принимаются за один фонарь, к которому относятся все указанные ограничения.</w:t>
      </w:r>
    </w:p>
    <w:p>
      <w:pPr>
        <w:pStyle w:val="0"/>
        <w:spacing w:before="200" w:line-rule="auto"/>
        <w:ind w:firstLine="540"/>
        <w:jc w:val="both"/>
      </w:pPr>
      <w:r>
        <w:rPr>
          <w:sz w:val="20"/>
        </w:rPr>
        <w:t xml:space="preserve">Между зенитными фонарями со светопропускающими заполнениями из материалов групп Г3 и Г4 в продольном и поперечном направлениях покрытия здания через каждые 54 м должны устраиваться разрывы шириной не менее 6 м. Расстояние по горизонтали от противопожарных стен до указанных зенитных фонарей должно составлять не менее 5 м.</w:t>
      </w:r>
    </w:p>
    <w:p>
      <w:pPr>
        <w:pStyle w:val="0"/>
        <w:spacing w:before="200" w:line-rule="auto"/>
        <w:ind w:firstLine="540"/>
        <w:jc w:val="both"/>
      </w:pPr>
      <w:r>
        <w:rPr>
          <w:sz w:val="20"/>
        </w:rPr>
        <w:t xml:space="preserve">6.2.15. Исключен с 1 декабря 2022 года. - </w:t>
      </w:r>
      <w:hyperlink w:history="0" r:id="rId266"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w:t>
        </w:r>
      </w:hyperlink>
      <w:r>
        <w:rPr>
          <w:sz w:val="20"/>
        </w:rPr>
        <w:t xml:space="preserve"> МЧС России от 15.06.2022 N 610.</w:t>
      </w:r>
    </w:p>
    <w:p>
      <w:pPr>
        <w:pStyle w:val="0"/>
        <w:spacing w:before="200" w:line-rule="auto"/>
        <w:ind w:firstLine="540"/>
        <w:jc w:val="both"/>
      </w:pPr>
      <w:r>
        <w:rPr>
          <w:sz w:val="20"/>
        </w:rPr>
        <w:t xml:space="preserve">6.2.16. Здания, образующие полузамкнутые дворы, допускается применять в случаях, предусмотренных </w:t>
      </w:r>
      <w:hyperlink w:history="0" r:id="rId267" w:tooltip="&quot;Опечатки в СП 18.13330.2011 &quot;СНиП II-89-80*. Генеральные планы промышленных предприятий&quot; {КонсультантПлюс}">
        <w:r>
          <w:rPr>
            <w:sz w:val="20"/>
            <w:color w:val="0000ff"/>
          </w:rPr>
          <w:t xml:space="preserve">СП 18.13330</w:t>
        </w:r>
      </w:hyperlink>
      <w:r>
        <w:rPr>
          <w:sz w:val="20"/>
        </w:rPr>
        <w:t xml:space="preserve">.</w:t>
      </w:r>
    </w:p>
    <w:p>
      <w:pPr>
        <w:pStyle w:val="0"/>
        <w:jc w:val="both"/>
      </w:pPr>
      <w:r>
        <w:rPr>
          <w:sz w:val="20"/>
        </w:rPr>
        <w:t xml:space="preserve">(п. 6.2.16 в ред. </w:t>
      </w:r>
      <w:hyperlink w:history="0" r:id="rId268"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6.2.17. Размещение пристроек к зданиям, а также отдельно стоящих зданий или сооружений в замкнутых и полузамкнутых дворах допускается в случаях, предусмотренных </w:t>
      </w:r>
      <w:hyperlink w:history="0" r:id="rId269" w:tooltip="&quot;Опечатки в СП 18.13330.2011 &quot;СНиП II-89-80*. Генеральные планы промышленных предприятий&quot; {КонсультантПлюс}">
        <w:r>
          <w:rPr>
            <w:sz w:val="20"/>
            <w:color w:val="0000ff"/>
          </w:rPr>
          <w:t xml:space="preserve">СП 18.13330</w:t>
        </w:r>
      </w:hyperlink>
      <w:r>
        <w:rPr>
          <w:sz w:val="20"/>
        </w:rPr>
        <w:t xml:space="preserve">.</w:t>
      </w:r>
    </w:p>
    <w:p>
      <w:pPr>
        <w:pStyle w:val="0"/>
        <w:jc w:val="both"/>
      </w:pPr>
      <w:r>
        <w:rPr>
          <w:sz w:val="20"/>
        </w:rPr>
        <w:t xml:space="preserve">(п. 6.2.17 в ред. </w:t>
      </w:r>
      <w:hyperlink w:history="0" r:id="rId270"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6.2.18. Производства и испытательные станции с особо вредными процессами, взрывоопасные и пожароопасные объекты, а также базисные склады горючих и легковоспламеняющихся материалов, ядовитых и взрывоопасных веществ располагаются в соответствии с требованиями специальных норм.</w:t>
      </w:r>
    </w:p>
    <w:p>
      <w:pPr>
        <w:pStyle w:val="0"/>
        <w:spacing w:before="200" w:line-rule="auto"/>
        <w:ind w:firstLine="540"/>
        <w:jc w:val="both"/>
      </w:pPr>
      <w:r>
        <w:rPr>
          <w:sz w:val="20"/>
        </w:rPr>
        <w:t xml:space="preserve">6.2.19. Здания, сооружения, открытые установки с производственными процессами, выделяющими в атмосферу газ, дым и пыль, взрывоопасные и пожароопасные объекты не следует, по возможности, располагать по отношению к другим производственным зданиям и сооружениям с наветренной стороны для ветров преобладающего направления.</w:t>
      </w:r>
    </w:p>
    <w:p>
      <w:pPr>
        <w:pStyle w:val="0"/>
        <w:spacing w:before="200" w:line-rule="auto"/>
        <w:ind w:firstLine="540"/>
        <w:jc w:val="both"/>
      </w:pPr>
      <w:r>
        <w:rPr>
          <w:sz w:val="20"/>
        </w:rPr>
        <w:t xml:space="preserve">6.2.20 На объектах защиты железнодорожного транспорта площадки, отводимые под промывочно-пропарочные станции (пункты), должны располагаться от главных железнодорожных путей на расстоянии не менее 30 метров.</w:t>
      </w:r>
    </w:p>
    <w:p>
      <w:pPr>
        <w:pStyle w:val="0"/>
        <w:jc w:val="both"/>
      </w:pPr>
      <w:r>
        <w:rPr>
          <w:sz w:val="20"/>
        </w:rPr>
        <w:t xml:space="preserve">(п. 6.2.20 введен </w:t>
      </w:r>
      <w:hyperlink w:history="0" r:id="rId271"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Приказом</w:t>
        </w:r>
      </w:hyperlink>
      <w:r>
        <w:rPr>
          <w:sz w:val="20"/>
        </w:rPr>
        <w:t xml:space="preserve"> МЧС России от 14.02.2020 N 89)</w:t>
      </w:r>
    </w:p>
    <w:p>
      <w:pPr>
        <w:pStyle w:val="0"/>
        <w:spacing w:before="200" w:line-rule="auto"/>
        <w:ind w:firstLine="540"/>
        <w:jc w:val="both"/>
      </w:pPr>
      <w:r>
        <w:rPr>
          <w:sz w:val="20"/>
        </w:rPr>
        <w:t xml:space="preserve">6.2.21. Противопожарные требования к размещению зданий, помещений и сооружений генераторных на территории производственных объектов, должны соответствовать требованиям, предъявляемым к зданиям, помещениям и сооружениям класса функциональной пожарной опасности Ф5, использующим соответствующие горючие или легковоспламеняющиеся жидкости, или горючие газы.</w:t>
      </w:r>
    </w:p>
    <w:p>
      <w:pPr>
        <w:pStyle w:val="0"/>
        <w:jc w:val="both"/>
      </w:pPr>
      <w:r>
        <w:rPr>
          <w:sz w:val="20"/>
        </w:rPr>
        <w:t xml:space="preserve">(п. 6.2.21 введен </w:t>
      </w:r>
      <w:hyperlink w:history="0" r:id="rId272"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Приказом</w:t>
        </w:r>
      </w:hyperlink>
      <w:r>
        <w:rPr>
          <w:sz w:val="20"/>
        </w:rPr>
        <w:t xml:space="preserve"> МЧС России от 15.06.2022 N 610)</w:t>
      </w:r>
    </w:p>
    <w:p>
      <w:pPr>
        <w:pStyle w:val="0"/>
        <w:ind w:firstLine="540"/>
        <w:jc w:val="both"/>
      </w:pPr>
      <w:r>
        <w:rPr>
          <w:sz w:val="20"/>
        </w:rPr>
      </w:r>
    </w:p>
    <w:bookmarkStart w:id="1452" w:name="P1452"/>
    <w:bookmarkEnd w:id="1452"/>
    <w:p>
      <w:pPr>
        <w:pStyle w:val="2"/>
        <w:outlineLvl w:val="2"/>
        <w:ind w:firstLine="540"/>
        <w:jc w:val="both"/>
      </w:pPr>
      <w:r>
        <w:rPr>
          <w:sz w:val="20"/>
        </w:rPr>
        <w:t xml:space="preserve">6.3. Требования к складским зданиям</w:t>
      </w:r>
    </w:p>
    <w:p>
      <w:pPr>
        <w:pStyle w:val="0"/>
        <w:ind w:firstLine="540"/>
        <w:jc w:val="both"/>
      </w:pPr>
      <w:r>
        <w:rPr>
          <w:sz w:val="20"/>
        </w:rPr>
      </w:r>
    </w:p>
    <w:p>
      <w:pPr>
        <w:pStyle w:val="0"/>
        <w:ind w:firstLine="540"/>
        <w:jc w:val="both"/>
      </w:pPr>
      <w:r>
        <w:rPr>
          <w:sz w:val="20"/>
        </w:rPr>
        <w:t xml:space="preserve">6.3.1. Положения настоящего раздела распространяются на складские здания и помещения, предназначенные для хранения веществ, материалов, продукции и сырья, в том числе размещенных в зданиях другой функциональной пожарной опасности, и не требующих строительных мероприятий для сохранения заданных параметров внутренней среды.</w:t>
      </w:r>
    </w:p>
    <w:p>
      <w:pPr>
        <w:pStyle w:val="0"/>
        <w:spacing w:before="200" w:line-rule="auto"/>
        <w:ind w:firstLine="540"/>
        <w:jc w:val="both"/>
      </w:pPr>
      <w:r>
        <w:rPr>
          <w:sz w:val="20"/>
        </w:rPr>
        <w:t xml:space="preserve">Требования настоящего подраздела не распространяются на складские здания и помещения для хранения взрывчатых, радиоактивных и сильнодействующих ядовитых веществ, горючих газов, негорючих газов в таре под давлением более 70 кПа (0,7 кгс/см</w:t>
      </w:r>
      <w:r>
        <w:rPr>
          <w:sz w:val="20"/>
          <w:vertAlign w:val="superscript"/>
        </w:rPr>
        <w:t xml:space="preserve">2</w:t>
      </w:r>
      <w:r>
        <w:rPr>
          <w:sz w:val="20"/>
        </w:rPr>
        <w:t xml:space="preserve">), нефти и нефтепродуктов, каучука, целлулоида, горючих пластмасс и кинопленки, цемента, хлопка, пушнины, мехов и меховых изделий, а также на проектирование зданий и помещений для холодильников.</w:t>
      </w:r>
    </w:p>
    <w:p>
      <w:pPr>
        <w:pStyle w:val="0"/>
        <w:spacing w:before="200" w:line-rule="auto"/>
        <w:ind w:firstLine="540"/>
        <w:jc w:val="both"/>
      </w:pPr>
      <w:r>
        <w:rPr>
          <w:sz w:val="20"/>
        </w:rPr>
        <w:t xml:space="preserve">6.3.2. Степень огнестойкости, класс конструктивной пожарной опасности, высоту зданий и площадь этажа в пределах пожарного отсека принимаются по </w:t>
      </w:r>
      <w:hyperlink w:history="0" r:id="rId273" w:tooltip="&quot;СП 2.13130.2009. Свод правил. Системы противопожарной защиты. Обеспечение огнестойкости объектов защиты&quot; (утв. Приказом МЧС РФ от 25.03.2009 N 172) ------------ Утратил силу или отменен {КонсультантПлюс}">
        <w:r>
          <w:rPr>
            <w:sz w:val="20"/>
            <w:color w:val="0000ff"/>
          </w:rPr>
          <w:t xml:space="preserve">СП 2.13130</w:t>
        </w:r>
      </w:hyperlink>
      <w:r>
        <w:rPr>
          <w:sz w:val="20"/>
        </w:rPr>
        <w:t xml:space="preserve">, за исключением специально оговоренных случаев.</w:t>
      </w:r>
    </w:p>
    <w:p>
      <w:pPr>
        <w:pStyle w:val="0"/>
        <w:spacing w:before="200" w:line-rule="auto"/>
        <w:ind w:firstLine="540"/>
        <w:jc w:val="both"/>
      </w:pPr>
      <w:r>
        <w:rPr>
          <w:sz w:val="20"/>
        </w:rPr>
        <w:t xml:space="preserve">6.3.3. Наружные ограждающие конструкции складских помещений категорий А и Б проектируются в соответствии с требованиями </w:t>
      </w:r>
      <w:hyperlink w:history="0" w:anchor="P1409" w:tooltip="6.2. Требования к производственным зданиям и помещениям">
        <w:r>
          <w:rPr>
            <w:sz w:val="20"/>
            <w:color w:val="0000ff"/>
          </w:rPr>
          <w:t xml:space="preserve">подраздела 6.2</w:t>
        </w:r>
      </w:hyperlink>
      <w:r>
        <w:rPr>
          <w:sz w:val="20"/>
        </w:rPr>
        <w:t xml:space="preserve">.</w:t>
      </w:r>
    </w:p>
    <w:p>
      <w:pPr>
        <w:pStyle w:val="0"/>
        <w:spacing w:before="200" w:line-rule="auto"/>
        <w:ind w:firstLine="540"/>
        <w:jc w:val="both"/>
      </w:pPr>
      <w:r>
        <w:rPr>
          <w:sz w:val="20"/>
        </w:rPr>
        <w:t xml:space="preserve">6.3.4. Размещение административных и бытовых помещений в складских зданиях осуществляется в соответствии с требованиями </w:t>
      </w:r>
      <w:hyperlink w:history="0" w:anchor="P570" w:tooltip="6.1. Общие требования к объектам класса функциональной пожарной опасности Ф5">
        <w:r>
          <w:rPr>
            <w:sz w:val="20"/>
            <w:color w:val="0000ff"/>
          </w:rPr>
          <w:t xml:space="preserve">подраздела 6.1</w:t>
        </w:r>
      </w:hyperlink>
      <w:r>
        <w:rPr>
          <w:sz w:val="20"/>
        </w:rPr>
        <w:t xml:space="preserve">.</w:t>
      </w:r>
    </w:p>
    <w:p>
      <w:pPr>
        <w:pStyle w:val="0"/>
        <w:spacing w:before="200" w:line-rule="auto"/>
        <w:ind w:firstLine="540"/>
        <w:jc w:val="both"/>
      </w:pPr>
      <w:r>
        <w:rPr>
          <w:sz w:val="20"/>
        </w:rPr>
        <w:t xml:space="preserve">6.3.5 - 6.3.6. Исключены с 1 декабря 2022 года. - </w:t>
      </w:r>
      <w:hyperlink w:history="0" r:id="rId274"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w:t>
        </w:r>
      </w:hyperlink>
      <w:r>
        <w:rPr>
          <w:sz w:val="20"/>
        </w:rPr>
        <w:t xml:space="preserve"> МЧС России от 15.06.2022 N 610.</w:t>
      </w:r>
    </w:p>
    <w:p>
      <w:pPr>
        <w:pStyle w:val="0"/>
        <w:spacing w:before="200" w:line-rule="auto"/>
        <w:ind w:firstLine="540"/>
        <w:jc w:val="both"/>
      </w:pPr>
      <w:r>
        <w:rPr>
          <w:sz w:val="20"/>
        </w:rPr>
        <w:t xml:space="preserve">6.3.7. Складские помещения категорий В1 - В3 производственных зданий должны отделяться от других помещений противопожарными перегородками 1-го типа и перекрытиями 3-го типа, при хранении этой продукции на высотных стеллажах - противопожарными стенами 1-го типа и перекрытиями 1-го типа.</w:t>
      </w:r>
    </w:p>
    <w:p>
      <w:pPr>
        <w:pStyle w:val="0"/>
        <w:jc w:val="both"/>
      </w:pPr>
      <w:r>
        <w:rPr>
          <w:sz w:val="20"/>
        </w:rPr>
        <w:t xml:space="preserve">(в ред. </w:t>
      </w:r>
      <w:hyperlink w:history="0" r:id="rId275"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6.3.8. Площадь зданий зерноскладов в пределах пожарного отсека принимается по </w:t>
      </w:r>
      <w:hyperlink w:history="0" r:id="rId276" w:tooltip="&quot;СП 2.13130.2009. Свод правил. Системы противопожарной защиты. Обеспечение огнестойкости объектов защиты&quot; (утв. Приказом МЧС РФ от 25.03.2009 N 172) ------------ Утратил силу или отменен {КонсультантПлюс}">
        <w:r>
          <w:rPr>
            <w:sz w:val="20"/>
            <w:color w:val="0000ff"/>
          </w:rPr>
          <w:t xml:space="preserve">СП 2.13130</w:t>
        </w:r>
      </w:hyperlink>
      <w:r>
        <w:rPr>
          <w:sz w:val="20"/>
        </w:rPr>
        <w:t xml:space="preserve">, но не более 3000 м</w:t>
      </w:r>
      <w:r>
        <w:rPr>
          <w:sz w:val="20"/>
          <w:vertAlign w:val="superscript"/>
        </w:rPr>
        <w:t xml:space="preserve">2</w:t>
      </w:r>
      <w:r>
        <w:rPr>
          <w:sz w:val="20"/>
        </w:rPr>
        <w:t xml:space="preserve">.</w:t>
      </w:r>
    </w:p>
    <w:p>
      <w:pPr>
        <w:pStyle w:val="0"/>
        <w:spacing w:before="200" w:line-rule="auto"/>
        <w:ind w:firstLine="540"/>
        <w:jc w:val="both"/>
      </w:pPr>
      <w:r>
        <w:rPr>
          <w:sz w:val="20"/>
        </w:rPr>
        <w:t xml:space="preserve">6.3.9. В здании склада тарных грузов на первом этаже у торца здания допускается располагать помещения для зарядки аккумуляторных погрузчиков.</w:t>
      </w:r>
    </w:p>
    <w:p>
      <w:pPr>
        <w:pStyle w:val="0"/>
        <w:jc w:val="both"/>
      </w:pPr>
      <w:r>
        <w:rPr>
          <w:sz w:val="20"/>
        </w:rPr>
        <w:t xml:space="preserve">(в ред. </w:t>
      </w:r>
      <w:hyperlink w:history="0" r:id="rId277"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Ограждающие конструкции помещения для зарядки аккумуляторов должны иметь предел REI 45 и класс конструктивной пожарной опасности К0.</w:t>
      </w:r>
    </w:p>
    <w:p>
      <w:pPr>
        <w:pStyle w:val="0"/>
        <w:spacing w:before="200" w:line-rule="auto"/>
        <w:ind w:firstLine="540"/>
        <w:jc w:val="both"/>
      </w:pPr>
      <w:r>
        <w:rPr>
          <w:sz w:val="20"/>
        </w:rPr>
        <w:t xml:space="preserve">Помещения для зарядки аккумуляторов должны быть отделены от остальных складских помещений противопожарными стенами 2-го типа и перекрытиями 3-го типа и иметь обособленный выход.</w:t>
      </w:r>
    </w:p>
    <w:p>
      <w:pPr>
        <w:pStyle w:val="0"/>
        <w:spacing w:before="200" w:line-rule="auto"/>
        <w:ind w:firstLine="540"/>
        <w:jc w:val="both"/>
      </w:pPr>
      <w:r>
        <w:rPr>
          <w:sz w:val="20"/>
        </w:rPr>
        <w:t xml:space="preserve">6.3.10. Приемные сооружения для разгрузки сыпучих материалов с железнодорожного и автомобильного транспорта категории Б по взрывопожарной опасности допускается проектировать с бункерами, размещаемыми в заглубленных помещениях с проемами, заполненными легкосбрасываемыми конструкциями площадью не менее 0,03 м</w:t>
      </w:r>
      <w:r>
        <w:rPr>
          <w:sz w:val="20"/>
          <w:vertAlign w:val="superscript"/>
        </w:rPr>
        <w:t xml:space="preserve">2</w:t>
      </w:r>
      <w:r>
        <w:rPr>
          <w:sz w:val="20"/>
        </w:rPr>
        <w:t xml:space="preserve"> на 1 м</w:t>
      </w:r>
      <w:r>
        <w:rPr>
          <w:sz w:val="20"/>
          <w:vertAlign w:val="superscript"/>
        </w:rPr>
        <w:t xml:space="preserve">3</w:t>
      </w:r>
      <w:r>
        <w:rPr>
          <w:sz w:val="20"/>
        </w:rPr>
        <w:t xml:space="preserve"> объема помещения. Площадь указанных помещений не должна превышать 1000 м</w:t>
      </w:r>
      <w:r>
        <w:rPr>
          <w:sz w:val="20"/>
          <w:vertAlign w:val="superscript"/>
        </w:rPr>
        <w:t xml:space="preserve">2</w:t>
      </w:r>
      <w:r>
        <w:rPr>
          <w:sz w:val="20"/>
        </w:rPr>
        <w:t xml:space="preserve">, а высота - 6 м.</w:t>
      </w:r>
    </w:p>
    <w:p>
      <w:pPr>
        <w:pStyle w:val="0"/>
        <w:spacing w:before="200" w:line-rule="auto"/>
        <w:ind w:firstLine="540"/>
        <w:jc w:val="both"/>
      </w:pPr>
      <w:r>
        <w:rPr>
          <w:sz w:val="20"/>
        </w:rPr>
        <w:t xml:space="preserve">6.3.11. Наибольшая допустимая площадь этажа в пределах пожарного отсека складских зданий для удобрений и пестицидов принимается по </w:t>
      </w:r>
      <w:hyperlink w:history="0" w:anchor="P1470" w:tooltip="Таблица 11">
        <w:r>
          <w:rPr>
            <w:sz w:val="20"/>
            <w:color w:val="0000ff"/>
          </w:rPr>
          <w:t xml:space="preserve">таблице 11</w:t>
        </w:r>
      </w:hyperlink>
      <w:r>
        <w:rPr>
          <w:sz w:val="20"/>
        </w:rPr>
        <w:t xml:space="preserve">.</w:t>
      </w:r>
    </w:p>
    <w:p>
      <w:pPr>
        <w:pStyle w:val="0"/>
        <w:ind w:firstLine="540"/>
        <w:jc w:val="both"/>
      </w:pPr>
      <w:r>
        <w:rPr>
          <w:sz w:val="20"/>
        </w:rPr>
      </w:r>
    </w:p>
    <w:bookmarkStart w:id="1470" w:name="P1470"/>
    <w:bookmarkEnd w:id="1470"/>
    <w:p>
      <w:pPr>
        <w:pStyle w:val="0"/>
        <w:outlineLvl w:val="3"/>
        <w:jc w:val="both"/>
      </w:pPr>
      <w:r>
        <w:rPr>
          <w:sz w:val="20"/>
        </w:rPr>
        <w:t xml:space="preserve">Таблица 11</w:t>
      </w:r>
    </w:p>
    <w:p>
      <w:pPr>
        <w:pStyle w:val="0"/>
        <w:jc w:val="both"/>
      </w:pPr>
      <w:r>
        <w:rPr>
          <w:sz w:val="20"/>
        </w:rPr>
        <w:t xml:space="preserve">(в ред. </w:t>
      </w:r>
      <w:hyperlink w:history="0" r:id="rId278"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jc w:val="both"/>
      </w:pPr>
      <w:r>
        <w:rPr>
          <w:sz w:val="20"/>
        </w:rPr>
      </w:r>
    </w:p>
    <w:tbl>
      <w:tblPr>
        <w:tblInd w:w="0" w:type="dxa"/>
        <w:tblLayout w:type="fixed"/>
        <w:tblBorders>
          <w:top w:val="single" w:sz="4"/>
          <w:left w:val="single" w:sz="4"/>
          <w:bottom w:val="single" w:sz="4"/>
          <w:insideV w:val="single" w:sz="4"/>
        </w:tblBorders>
        <w:tblCellMar>
          <w:top w:w="102" w:type="dxa"/>
          <w:left w:w="62" w:type="dxa"/>
          <w:bottom w:w="102" w:type="dxa"/>
          <w:right w:w="62" w:type="dxa"/>
        </w:tblCellMar>
      </w:tblPr>
      <w:tblGrid>
        <w:gridCol w:w="1191"/>
        <w:gridCol w:w="1474"/>
        <w:gridCol w:w="1871"/>
        <w:gridCol w:w="1474"/>
        <w:gridCol w:w="1474"/>
        <w:gridCol w:w="1587"/>
      </w:tblGrid>
      <w:tr>
        <w:tblPrEx>
          <w:tblBorders>
            <w:insideH w:val="single" w:sz="4"/>
          </w:tblBorders>
        </w:tblPrEx>
        <w:tc>
          <w:tcPr>
            <w:tcW w:w="1191" w:type="dxa"/>
            <w:tcBorders>
              <w:top w:val="single" w:sz="4"/>
              <w:bottom w:val="single" w:sz="4"/>
            </w:tcBorders>
            <w:vMerge w:val="restart"/>
          </w:tcPr>
          <w:p>
            <w:pPr>
              <w:pStyle w:val="0"/>
              <w:jc w:val="center"/>
            </w:pPr>
            <w:r>
              <w:rPr>
                <w:sz w:val="20"/>
              </w:rPr>
              <w:t xml:space="preserve">Категория здания склада</w:t>
            </w:r>
          </w:p>
        </w:tc>
        <w:tc>
          <w:tcPr>
            <w:tcW w:w="1474" w:type="dxa"/>
            <w:tcBorders>
              <w:top w:val="single" w:sz="4"/>
              <w:bottom w:val="single" w:sz="4"/>
            </w:tcBorders>
            <w:vMerge w:val="restart"/>
          </w:tcPr>
          <w:p>
            <w:pPr>
              <w:pStyle w:val="0"/>
              <w:jc w:val="center"/>
            </w:pPr>
            <w:r>
              <w:rPr>
                <w:sz w:val="20"/>
              </w:rPr>
              <w:t xml:space="preserve">Степень огнестойкости здания</w:t>
            </w:r>
          </w:p>
        </w:tc>
        <w:tc>
          <w:tcPr>
            <w:tcW w:w="1871" w:type="dxa"/>
            <w:tcBorders>
              <w:top w:val="single" w:sz="4"/>
              <w:bottom w:val="single" w:sz="4"/>
            </w:tcBorders>
            <w:vMerge w:val="restart"/>
          </w:tcPr>
          <w:p>
            <w:pPr>
              <w:pStyle w:val="0"/>
              <w:jc w:val="center"/>
            </w:pPr>
            <w:r>
              <w:rPr>
                <w:sz w:val="20"/>
              </w:rPr>
              <w:t xml:space="preserve">Класс конструктивной пожарной опасности здания</w:t>
            </w:r>
          </w:p>
        </w:tc>
        <w:tc>
          <w:tcPr>
            <w:gridSpan w:val="3"/>
            <w:tcW w:w="4535" w:type="dxa"/>
            <w:tcBorders>
              <w:top w:val="single" w:sz="4"/>
              <w:bottom w:val="single" w:sz="4"/>
              <w:right w:val="nil"/>
            </w:tcBorders>
          </w:tcPr>
          <w:p>
            <w:pPr>
              <w:pStyle w:val="0"/>
              <w:jc w:val="center"/>
            </w:pPr>
            <w:r>
              <w:rPr>
                <w:sz w:val="20"/>
              </w:rPr>
              <w:t xml:space="preserve">Площадь этажа между противопожарными стенами, в зданиях, м</w:t>
            </w:r>
            <w:r>
              <w:rPr>
                <w:sz w:val="20"/>
                <w:vertAlign w:val="superscript"/>
              </w:rPr>
              <w:t xml:space="preserve">2</w:t>
            </w:r>
          </w:p>
        </w:tc>
      </w:tr>
      <w:tr>
        <w:tblPrEx>
          <w:tblBorders>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1474" w:type="dxa"/>
            <w:tcBorders>
              <w:top w:val="single" w:sz="4"/>
              <w:bottom w:val="single" w:sz="4"/>
            </w:tcBorders>
          </w:tcPr>
          <w:p>
            <w:pPr>
              <w:pStyle w:val="0"/>
              <w:jc w:val="center"/>
            </w:pPr>
            <w:r>
              <w:rPr>
                <w:sz w:val="20"/>
              </w:rPr>
              <w:t xml:space="preserve">одноэтажных</w:t>
            </w:r>
          </w:p>
        </w:tc>
        <w:tc>
          <w:tcPr>
            <w:tcW w:w="1474" w:type="dxa"/>
            <w:tcBorders>
              <w:top w:val="single" w:sz="4"/>
              <w:bottom w:val="single" w:sz="4"/>
            </w:tcBorders>
          </w:tcPr>
          <w:p>
            <w:pPr>
              <w:pStyle w:val="0"/>
              <w:jc w:val="center"/>
            </w:pPr>
            <w:r>
              <w:rPr>
                <w:sz w:val="20"/>
              </w:rPr>
              <w:t xml:space="preserve">двухэтажные</w:t>
            </w:r>
          </w:p>
        </w:tc>
        <w:tc>
          <w:tcPr>
            <w:tcW w:w="1587" w:type="dxa"/>
            <w:tcBorders>
              <w:top w:val="single" w:sz="4"/>
              <w:bottom w:val="single" w:sz="4"/>
              <w:right w:val="nil"/>
            </w:tcBorders>
          </w:tcPr>
          <w:p>
            <w:pPr>
              <w:pStyle w:val="0"/>
              <w:jc w:val="center"/>
            </w:pPr>
            <w:r>
              <w:rPr>
                <w:sz w:val="20"/>
              </w:rPr>
              <w:t xml:space="preserve">многоэтажные</w:t>
            </w:r>
          </w:p>
        </w:tc>
      </w:tr>
      <w:tr>
        <w:tblPrEx>
          <w:tblBorders>
            <w:insideH w:val="single" w:sz="4"/>
          </w:tblBorders>
        </w:tblPrEx>
        <w:tc>
          <w:tcPr>
            <w:tcW w:w="1191" w:type="dxa"/>
            <w:tcBorders>
              <w:top w:val="single" w:sz="4"/>
              <w:bottom w:val="single" w:sz="4"/>
            </w:tcBorders>
          </w:tcPr>
          <w:p>
            <w:pPr>
              <w:pStyle w:val="0"/>
              <w:jc w:val="center"/>
            </w:pPr>
            <w:r>
              <w:rPr>
                <w:sz w:val="20"/>
              </w:rPr>
              <w:t xml:space="preserve">А</w:t>
            </w:r>
          </w:p>
        </w:tc>
        <w:tc>
          <w:tcPr>
            <w:tcW w:w="1474" w:type="dxa"/>
            <w:tcBorders>
              <w:top w:val="single" w:sz="4"/>
              <w:bottom w:val="single" w:sz="4"/>
            </w:tcBorders>
          </w:tcPr>
          <w:p>
            <w:pPr>
              <w:pStyle w:val="0"/>
              <w:jc w:val="center"/>
            </w:pPr>
            <w:r>
              <w:rPr>
                <w:sz w:val="20"/>
              </w:rPr>
              <w:t xml:space="preserve">I, II</w:t>
            </w:r>
          </w:p>
        </w:tc>
        <w:tc>
          <w:tcPr>
            <w:tcW w:w="1871" w:type="dxa"/>
            <w:tcBorders>
              <w:top w:val="single" w:sz="4"/>
              <w:bottom w:val="single" w:sz="4"/>
            </w:tcBorders>
          </w:tcPr>
          <w:p>
            <w:pPr>
              <w:pStyle w:val="0"/>
              <w:jc w:val="center"/>
            </w:pPr>
            <w:r>
              <w:rPr>
                <w:sz w:val="20"/>
              </w:rPr>
              <w:t xml:space="preserve">С0</w:t>
            </w:r>
          </w:p>
        </w:tc>
        <w:tc>
          <w:tcPr>
            <w:tcW w:w="1474" w:type="dxa"/>
            <w:tcBorders>
              <w:top w:val="single" w:sz="4"/>
              <w:bottom w:val="single" w:sz="4"/>
            </w:tcBorders>
          </w:tcPr>
          <w:p>
            <w:pPr>
              <w:pStyle w:val="0"/>
              <w:jc w:val="center"/>
            </w:pPr>
            <w:r>
              <w:rPr>
                <w:sz w:val="20"/>
              </w:rPr>
              <w:t xml:space="preserve">5200</w:t>
            </w:r>
          </w:p>
        </w:tc>
        <w:tc>
          <w:tcPr>
            <w:tcW w:w="1474" w:type="dxa"/>
            <w:tcBorders>
              <w:top w:val="single" w:sz="4"/>
              <w:bottom w:val="single" w:sz="4"/>
            </w:tcBorders>
          </w:tcPr>
          <w:p>
            <w:pPr>
              <w:pStyle w:val="0"/>
              <w:jc w:val="center"/>
            </w:pPr>
            <w:r>
              <w:rPr>
                <w:sz w:val="20"/>
              </w:rPr>
              <w:t xml:space="preserve">-</w:t>
            </w:r>
          </w:p>
        </w:tc>
        <w:tc>
          <w:tcPr>
            <w:tcW w:w="1587" w:type="dxa"/>
            <w:tcBorders>
              <w:top w:val="single" w:sz="4"/>
              <w:bottom w:val="single" w:sz="4"/>
              <w:right w:val="nil"/>
            </w:tcBorders>
          </w:tcPr>
          <w:p>
            <w:pPr>
              <w:pStyle w:val="0"/>
              <w:jc w:val="center"/>
            </w:pPr>
            <w:r>
              <w:rPr>
                <w:sz w:val="20"/>
              </w:rPr>
              <w:t xml:space="preserve">-</w:t>
            </w:r>
          </w:p>
        </w:tc>
      </w:tr>
      <w:tr>
        <w:tblPrEx>
          <w:tblBorders>
            <w:insideH w:val="single" w:sz="4"/>
          </w:tblBorders>
        </w:tblPrEx>
        <w:tc>
          <w:tcPr>
            <w:tcW w:w="1191" w:type="dxa"/>
            <w:tcBorders>
              <w:top w:val="single" w:sz="4"/>
              <w:bottom w:val="single" w:sz="4"/>
            </w:tcBorders>
          </w:tcPr>
          <w:p>
            <w:pPr>
              <w:pStyle w:val="0"/>
              <w:jc w:val="center"/>
            </w:pPr>
            <w:r>
              <w:rPr>
                <w:sz w:val="20"/>
              </w:rPr>
              <w:t xml:space="preserve">Б</w:t>
            </w:r>
          </w:p>
        </w:tc>
        <w:tc>
          <w:tcPr>
            <w:tcW w:w="1474" w:type="dxa"/>
            <w:tcBorders>
              <w:top w:val="single" w:sz="4"/>
              <w:bottom w:val="single" w:sz="4"/>
            </w:tcBorders>
          </w:tcPr>
          <w:p>
            <w:pPr>
              <w:pStyle w:val="0"/>
              <w:jc w:val="center"/>
            </w:pPr>
            <w:r>
              <w:rPr>
                <w:sz w:val="20"/>
              </w:rPr>
              <w:t xml:space="preserve">I, II</w:t>
            </w:r>
          </w:p>
        </w:tc>
        <w:tc>
          <w:tcPr>
            <w:tcW w:w="1871" w:type="dxa"/>
            <w:tcBorders>
              <w:top w:val="single" w:sz="4"/>
              <w:bottom w:val="single" w:sz="4"/>
            </w:tcBorders>
          </w:tcPr>
          <w:p>
            <w:pPr>
              <w:pStyle w:val="0"/>
              <w:jc w:val="center"/>
            </w:pPr>
            <w:r>
              <w:rPr>
                <w:sz w:val="20"/>
              </w:rPr>
              <w:t xml:space="preserve">С0</w:t>
            </w:r>
          </w:p>
        </w:tc>
        <w:tc>
          <w:tcPr>
            <w:tcW w:w="1474" w:type="dxa"/>
            <w:tcBorders>
              <w:top w:val="single" w:sz="4"/>
              <w:bottom w:val="single" w:sz="4"/>
            </w:tcBorders>
          </w:tcPr>
          <w:p>
            <w:pPr>
              <w:pStyle w:val="0"/>
              <w:jc w:val="center"/>
            </w:pPr>
            <w:r>
              <w:rPr>
                <w:sz w:val="20"/>
              </w:rPr>
              <w:t xml:space="preserve">7800</w:t>
            </w:r>
          </w:p>
        </w:tc>
        <w:tc>
          <w:tcPr>
            <w:tcW w:w="1474" w:type="dxa"/>
            <w:tcBorders>
              <w:top w:val="single" w:sz="4"/>
              <w:bottom w:val="single" w:sz="4"/>
            </w:tcBorders>
          </w:tcPr>
          <w:p>
            <w:pPr>
              <w:pStyle w:val="0"/>
              <w:jc w:val="center"/>
            </w:pPr>
            <w:r>
              <w:rPr>
                <w:sz w:val="20"/>
              </w:rPr>
              <w:t xml:space="preserve">-</w:t>
            </w:r>
          </w:p>
        </w:tc>
        <w:tc>
          <w:tcPr>
            <w:tcW w:w="1587" w:type="dxa"/>
            <w:tcBorders>
              <w:top w:val="single" w:sz="4"/>
              <w:bottom w:val="single" w:sz="4"/>
              <w:right w:val="nil"/>
            </w:tcBorders>
          </w:tcPr>
          <w:p>
            <w:pPr>
              <w:pStyle w:val="0"/>
              <w:jc w:val="center"/>
            </w:pPr>
            <w:r>
              <w:rPr>
                <w:sz w:val="20"/>
              </w:rPr>
              <w:t xml:space="preserve">-</w:t>
            </w:r>
          </w:p>
        </w:tc>
      </w:tr>
      <w:tr>
        <w:tblPrEx>
          <w:tblBorders>
            <w:insideH w:val="single" w:sz="4"/>
          </w:tblBorders>
        </w:tblPrEx>
        <w:tc>
          <w:tcPr>
            <w:tcW w:w="1191" w:type="dxa"/>
            <w:tcBorders>
              <w:top w:val="single" w:sz="4"/>
              <w:bottom w:val="single" w:sz="4"/>
            </w:tcBorders>
            <w:vMerge w:val="restart"/>
          </w:tcPr>
          <w:p>
            <w:pPr>
              <w:pStyle w:val="0"/>
              <w:jc w:val="center"/>
            </w:pPr>
            <w:r>
              <w:rPr>
                <w:sz w:val="20"/>
              </w:rPr>
              <w:t xml:space="preserve">В</w:t>
            </w:r>
          </w:p>
        </w:tc>
        <w:tc>
          <w:tcPr>
            <w:tcW w:w="1474" w:type="dxa"/>
            <w:tcBorders>
              <w:top w:val="single" w:sz="4"/>
              <w:bottom w:val="nil"/>
            </w:tcBorders>
          </w:tcPr>
          <w:p>
            <w:pPr>
              <w:pStyle w:val="0"/>
              <w:jc w:val="center"/>
            </w:pPr>
            <w:r>
              <w:rPr>
                <w:sz w:val="20"/>
              </w:rPr>
              <w:t xml:space="preserve">I, II</w:t>
            </w:r>
          </w:p>
        </w:tc>
        <w:tc>
          <w:tcPr>
            <w:tcW w:w="1871" w:type="dxa"/>
            <w:tcBorders>
              <w:top w:val="single" w:sz="4"/>
              <w:bottom w:val="nil"/>
            </w:tcBorders>
          </w:tcPr>
          <w:p>
            <w:pPr>
              <w:pStyle w:val="0"/>
              <w:jc w:val="center"/>
            </w:pPr>
            <w:r>
              <w:rPr>
                <w:sz w:val="20"/>
              </w:rPr>
              <w:t xml:space="preserve">С0</w:t>
            </w:r>
          </w:p>
        </w:tc>
        <w:tc>
          <w:tcPr>
            <w:tcW w:w="1474" w:type="dxa"/>
            <w:tcBorders>
              <w:top w:val="single" w:sz="4"/>
              <w:bottom w:val="nil"/>
            </w:tcBorders>
          </w:tcPr>
          <w:p>
            <w:pPr>
              <w:pStyle w:val="0"/>
              <w:jc w:val="center"/>
            </w:pPr>
            <w:r>
              <w:rPr>
                <w:sz w:val="20"/>
              </w:rPr>
              <w:t xml:space="preserve">10500</w:t>
            </w:r>
          </w:p>
        </w:tc>
        <w:tc>
          <w:tcPr>
            <w:tcW w:w="1474" w:type="dxa"/>
            <w:tcBorders>
              <w:top w:val="single" w:sz="4"/>
              <w:bottom w:val="nil"/>
            </w:tcBorders>
          </w:tcPr>
          <w:p>
            <w:pPr>
              <w:pStyle w:val="0"/>
              <w:jc w:val="center"/>
            </w:pPr>
            <w:r>
              <w:rPr>
                <w:sz w:val="20"/>
              </w:rPr>
              <w:t xml:space="preserve">7800</w:t>
            </w:r>
          </w:p>
        </w:tc>
        <w:tc>
          <w:tcPr>
            <w:tcW w:w="1587" w:type="dxa"/>
            <w:tcBorders>
              <w:top w:val="single" w:sz="4"/>
              <w:bottom w:val="nil"/>
              <w:right w:val="nil"/>
            </w:tcBorders>
          </w:tcPr>
          <w:p>
            <w:pPr>
              <w:pStyle w:val="0"/>
              <w:jc w:val="center"/>
            </w:pPr>
            <w:r>
              <w:rPr>
                <w:sz w:val="20"/>
              </w:rPr>
              <w:t xml:space="preserve">5200 (6)</w:t>
            </w:r>
          </w:p>
        </w:tc>
      </w:tr>
      <w:tr>
        <w:tc>
          <w:tcPr>
            <w:tcBorders>
              <w:top w:val="single" w:sz="4"/>
              <w:bottom w:val="single" w:sz="4"/>
            </w:tcBorders>
            <w:vMerge w:val="continue"/>
          </w:tcPr>
          <w:p/>
        </w:tc>
        <w:tc>
          <w:tcPr>
            <w:tcW w:w="1474" w:type="dxa"/>
            <w:tcBorders>
              <w:top w:val="nil"/>
              <w:bottom w:val="nil"/>
            </w:tcBorders>
          </w:tcPr>
          <w:p>
            <w:pPr>
              <w:pStyle w:val="0"/>
              <w:jc w:val="center"/>
            </w:pPr>
            <w:r>
              <w:rPr>
                <w:sz w:val="20"/>
              </w:rPr>
              <w:t xml:space="preserve">III</w:t>
            </w:r>
          </w:p>
        </w:tc>
        <w:tc>
          <w:tcPr>
            <w:tcW w:w="1871" w:type="dxa"/>
            <w:tcBorders>
              <w:top w:val="nil"/>
              <w:bottom w:val="nil"/>
            </w:tcBorders>
          </w:tcPr>
          <w:p>
            <w:pPr>
              <w:pStyle w:val="0"/>
              <w:jc w:val="center"/>
            </w:pPr>
            <w:r>
              <w:rPr>
                <w:sz w:val="20"/>
              </w:rPr>
              <w:t xml:space="preserve">С0 С1</w:t>
            </w:r>
          </w:p>
        </w:tc>
        <w:tc>
          <w:tcPr>
            <w:tcW w:w="1474" w:type="dxa"/>
            <w:tcBorders>
              <w:top w:val="nil"/>
              <w:bottom w:val="nil"/>
            </w:tcBorders>
          </w:tcPr>
          <w:p>
            <w:pPr>
              <w:pStyle w:val="0"/>
              <w:jc w:val="center"/>
            </w:pPr>
            <w:r>
              <w:rPr>
                <w:sz w:val="20"/>
              </w:rPr>
              <w:t xml:space="preserve">3500</w:t>
            </w:r>
          </w:p>
        </w:tc>
        <w:tc>
          <w:tcPr>
            <w:tcW w:w="1474" w:type="dxa"/>
            <w:tcBorders>
              <w:top w:val="nil"/>
              <w:bottom w:val="nil"/>
            </w:tcBorders>
          </w:tcPr>
          <w:p>
            <w:pPr>
              <w:pStyle w:val="0"/>
              <w:jc w:val="center"/>
            </w:pPr>
            <w:r>
              <w:rPr>
                <w:sz w:val="20"/>
              </w:rPr>
              <w:t xml:space="preserve">2500</w:t>
            </w:r>
          </w:p>
        </w:tc>
        <w:tc>
          <w:tcPr>
            <w:tcW w:w="1587" w:type="dxa"/>
            <w:tcBorders>
              <w:top w:val="nil"/>
              <w:bottom w:val="nil"/>
              <w:right w:val="nil"/>
            </w:tcBorders>
          </w:tcPr>
          <w:p>
            <w:pPr>
              <w:pStyle w:val="0"/>
              <w:jc w:val="center"/>
            </w:pPr>
            <w:r>
              <w:rPr>
                <w:sz w:val="20"/>
              </w:rPr>
              <w:t xml:space="preserve">2200 (3)</w:t>
            </w:r>
          </w:p>
        </w:tc>
      </w:tr>
      <w:tr>
        <w:tc>
          <w:tcPr>
            <w:tcBorders>
              <w:top w:val="single" w:sz="4"/>
              <w:bottom w:val="single" w:sz="4"/>
            </w:tcBorders>
            <w:vMerge w:val="continue"/>
          </w:tcPr>
          <w:p/>
        </w:tc>
        <w:tc>
          <w:tcPr>
            <w:tcW w:w="1474" w:type="dxa"/>
            <w:tcBorders>
              <w:top w:val="nil"/>
              <w:bottom w:val="nil"/>
            </w:tcBorders>
          </w:tcPr>
          <w:p>
            <w:pPr>
              <w:pStyle w:val="0"/>
              <w:jc w:val="center"/>
            </w:pPr>
            <w:r>
              <w:rPr>
                <w:sz w:val="20"/>
              </w:rPr>
              <w:t xml:space="preserve">IV</w:t>
            </w:r>
          </w:p>
        </w:tc>
        <w:tc>
          <w:tcPr>
            <w:tcW w:w="1871" w:type="dxa"/>
            <w:tcBorders>
              <w:top w:val="nil"/>
              <w:bottom w:val="nil"/>
            </w:tcBorders>
          </w:tcPr>
          <w:p>
            <w:pPr>
              <w:pStyle w:val="0"/>
              <w:jc w:val="center"/>
            </w:pPr>
            <w:r>
              <w:rPr>
                <w:sz w:val="20"/>
              </w:rPr>
              <w:t xml:space="preserve">С1, С2</w:t>
            </w:r>
          </w:p>
        </w:tc>
        <w:tc>
          <w:tcPr>
            <w:tcW w:w="1474" w:type="dxa"/>
            <w:tcBorders>
              <w:top w:val="nil"/>
              <w:bottom w:val="nil"/>
            </w:tcBorders>
          </w:tcPr>
          <w:p>
            <w:pPr>
              <w:pStyle w:val="0"/>
              <w:jc w:val="center"/>
            </w:pPr>
            <w:r>
              <w:rPr>
                <w:sz w:val="20"/>
              </w:rPr>
              <w:t xml:space="preserve">2200</w:t>
            </w:r>
          </w:p>
        </w:tc>
        <w:tc>
          <w:tcPr>
            <w:tcW w:w="1474" w:type="dxa"/>
            <w:tcBorders>
              <w:top w:val="nil"/>
              <w:bottom w:val="nil"/>
            </w:tcBorders>
          </w:tcPr>
          <w:p>
            <w:pPr>
              <w:pStyle w:val="0"/>
              <w:jc w:val="center"/>
            </w:pPr>
            <w:r>
              <w:rPr>
                <w:sz w:val="20"/>
              </w:rPr>
              <w:t xml:space="preserve">1200</w:t>
            </w:r>
          </w:p>
        </w:tc>
        <w:tc>
          <w:tcPr>
            <w:tcW w:w="1587" w:type="dxa"/>
            <w:tcBorders>
              <w:top w:val="nil"/>
              <w:bottom w:val="nil"/>
              <w:right w:val="nil"/>
            </w:tcBorders>
          </w:tcPr>
          <w:p>
            <w:pPr>
              <w:pStyle w:val="0"/>
              <w:jc w:val="center"/>
            </w:pPr>
            <w:r>
              <w:rPr>
                <w:sz w:val="20"/>
              </w:rPr>
              <w:t xml:space="preserve">-</w:t>
            </w:r>
          </w:p>
        </w:tc>
      </w:tr>
      <w:tr>
        <w:tblPrEx>
          <w:tblBorders>
            <w:insideH w:val="single" w:sz="4"/>
          </w:tblBorders>
        </w:tblPrEx>
        <w:tc>
          <w:tcPr>
            <w:tcBorders>
              <w:top w:val="single" w:sz="4"/>
              <w:bottom w:val="single" w:sz="4"/>
            </w:tcBorders>
            <w:vMerge w:val="continue"/>
          </w:tcPr>
          <w:p/>
        </w:tc>
        <w:tc>
          <w:tcPr>
            <w:tcW w:w="1474" w:type="dxa"/>
            <w:tcBorders>
              <w:top w:val="nil"/>
              <w:bottom w:val="single" w:sz="4"/>
            </w:tcBorders>
          </w:tcPr>
          <w:p>
            <w:pPr>
              <w:pStyle w:val="0"/>
              <w:jc w:val="center"/>
            </w:pPr>
            <w:r>
              <w:rPr>
                <w:sz w:val="20"/>
              </w:rPr>
              <w:t xml:space="preserve">V</w:t>
            </w:r>
          </w:p>
        </w:tc>
        <w:tc>
          <w:tcPr>
            <w:tcW w:w="1871" w:type="dxa"/>
            <w:tcBorders>
              <w:top w:val="nil"/>
              <w:bottom w:val="single" w:sz="4"/>
            </w:tcBorders>
          </w:tcPr>
          <w:p>
            <w:pPr>
              <w:pStyle w:val="0"/>
            </w:pPr>
            <w:r>
              <w:rPr>
                <w:sz w:val="20"/>
              </w:rPr>
            </w:r>
          </w:p>
        </w:tc>
        <w:tc>
          <w:tcPr>
            <w:tcW w:w="1474" w:type="dxa"/>
            <w:tcBorders>
              <w:top w:val="nil"/>
              <w:bottom w:val="single" w:sz="4"/>
            </w:tcBorders>
          </w:tcPr>
          <w:p>
            <w:pPr>
              <w:pStyle w:val="0"/>
              <w:jc w:val="center"/>
            </w:pPr>
            <w:r>
              <w:rPr>
                <w:sz w:val="20"/>
              </w:rPr>
              <w:t xml:space="preserve">1200</w:t>
            </w:r>
          </w:p>
        </w:tc>
        <w:tc>
          <w:tcPr>
            <w:tcW w:w="1474" w:type="dxa"/>
            <w:tcBorders>
              <w:top w:val="nil"/>
              <w:bottom w:val="single" w:sz="4"/>
            </w:tcBorders>
          </w:tcPr>
          <w:p>
            <w:pPr>
              <w:pStyle w:val="0"/>
              <w:jc w:val="center"/>
            </w:pPr>
            <w:r>
              <w:rPr>
                <w:sz w:val="20"/>
              </w:rPr>
              <w:t xml:space="preserve">-</w:t>
            </w:r>
          </w:p>
        </w:tc>
        <w:tc>
          <w:tcPr>
            <w:tcW w:w="1587" w:type="dxa"/>
            <w:tcBorders>
              <w:top w:val="nil"/>
              <w:bottom w:val="single" w:sz="4"/>
              <w:right w:val="nil"/>
            </w:tcBorders>
          </w:tcPr>
          <w:p>
            <w:pPr>
              <w:pStyle w:val="0"/>
              <w:jc w:val="center"/>
            </w:pPr>
            <w:r>
              <w:rPr>
                <w:sz w:val="20"/>
              </w:rPr>
              <w:t xml:space="preserve">-</w:t>
            </w:r>
          </w:p>
        </w:tc>
      </w:tr>
      <w:tr>
        <w:tblPrEx>
          <w:tblBorders>
            <w:insideH w:val="single" w:sz="4"/>
          </w:tblBorders>
        </w:tblPrEx>
        <w:tc>
          <w:tcPr>
            <w:tcW w:w="1191" w:type="dxa"/>
            <w:tcBorders>
              <w:top w:val="single" w:sz="4"/>
              <w:bottom w:val="single" w:sz="4"/>
            </w:tcBorders>
            <w:vMerge w:val="restart"/>
          </w:tcPr>
          <w:p>
            <w:pPr>
              <w:pStyle w:val="0"/>
              <w:jc w:val="center"/>
            </w:pPr>
            <w:r>
              <w:rPr>
                <w:sz w:val="20"/>
              </w:rPr>
              <w:t xml:space="preserve">Д</w:t>
            </w:r>
          </w:p>
        </w:tc>
        <w:tc>
          <w:tcPr>
            <w:tcW w:w="1474" w:type="dxa"/>
            <w:tcBorders>
              <w:top w:val="single" w:sz="4"/>
              <w:bottom w:val="nil"/>
            </w:tcBorders>
          </w:tcPr>
          <w:p>
            <w:pPr>
              <w:pStyle w:val="0"/>
              <w:jc w:val="center"/>
            </w:pPr>
            <w:r>
              <w:rPr>
                <w:sz w:val="20"/>
              </w:rPr>
              <w:t xml:space="preserve">I, II</w:t>
            </w:r>
          </w:p>
        </w:tc>
        <w:tc>
          <w:tcPr>
            <w:tcW w:w="1871" w:type="dxa"/>
            <w:tcBorders>
              <w:top w:val="single" w:sz="4"/>
              <w:bottom w:val="nil"/>
            </w:tcBorders>
          </w:tcPr>
          <w:p>
            <w:pPr>
              <w:pStyle w:val="0"/>
              <w:jc w:val="center"/>
            </w:pPr>
            <w:r>
              <w:rPr>
                <w:sz w:val="20"/>
              </w:rPr>
              <w:t xml:space="preserve">С0, С1</w:t>
            </w:r>
          </w:p>
        </w:tc>
        <w:tc>
          <w:tcPr>
            <w:gridSpan w:val="3"/>
            <w:tcW w:w="4535" w:type="dxa"/>
            <w:tcBorders>
              <w:top w:val="single" w:sz="4"/>
              <w:bottom w:val="single" w:sz="4"/>
              <w:right w:val="nil"/>
            </w:tcBorders>
          </w:tcPr>
          <w:p>
            <w:pPr>
              <w:pStyle w:val="0"/>
              <w:jc w:val="center"/>
            </w:pPr>
            <w:r>
              <w:rPr>
                <w:sz w:val="20"/>
              </w:rPr>
              <w:t xml:space="preserve">Не ограничивается</w:t>
            </w:r>
          </w:p>
        </w:tc>
      </w:tr>
      <w:tr>
        <w:tc>
          <w:tcPr>
            <w:tcBorders>
              <w:top w:val="single" w:sz="4"/>
              <w:bottom w:val="single" w:sz="4"/>
            </w:tcBorders>
            <w:vMerge w:val="continue"/>
          </w:tcPr>
          <w:p/>
        </w:tc>
        <w:tc>
          <w:tcPr>
            <w:tcW w:w="1474" w:type="dxa"/>
            <w:tcBorders>
              <w:top w:val="nil"/>
              <w:bottom w:val="nil"/>
            </w:tcBorders>
          </w:tcPr>
          <w:p>
            <w:pPr>
              <w:pStyle w:val="0"/>
              <w:jc w:val="center"/>
            </w:pPr>
            <w:r>
              <w:rPr>
                <w:sz w:val="20"/>
              </w:rPr>
              <w:t xml:space="preserve">III</w:t>
            </w:r>
          </w:p>
        </w:tc>
        <w:tc>
          <w:tcPr>
            <w:tcW w:w="1871" w:type="dxa"/>
            <w:tcBorders>
              <w:top w:val="nil"/>
              <w:bottom w:val="nil"/>
            </w:tcBorders>
          </w:tcPr>
          <w:p>
            <w:pPr>
              <w:pStyle w:val="0"/>
              <w:jc w:val="center"/>
            </w:pPr>
            <w:r>
              <w:rPr>
                <w:sz w:val="20"/>
              </w:rPr>
              <w:t xml:space="preserve">С1, С2</w:t>
            </w:r>
          </w:p>
        </w:tc>
        <w:tc>
          <w:tcPr>
            <w:tcW w:w="1474" w:type="dxa"/>
            <w:tcBorders>
              <w:top w:val="single" w:sz="4"/>
              <w:bottom w:val="nil"/>
            </w:tcBorders>
          </w:tcPr>
          <w:p>
            <w:pPr>
              <w:pStyle w:val="0"/>
              <w:jc w:val="center"/>
            </w:pPr>
            <w:r>
              <w:rPr>
                <w:sz w:val="20"/>
              </w:rPr>
              <w:t xml:space="preserve">5200</w:t>
            </w:r>
          </w:p>
        </w:tc>
        <w:tc>
          <w:tcPr>
            <w:tcW w:w="1474" w:type="dxa"/>
            <w:tcBorders>
              <w:top w:val="single" w:sz="4"/>
              <w:bottom w:val="nil"/>
            </w:tcBorders>
          </w:tcPr>
          <w:p>
            <w:pPr>
              <w:pStyle w:val="0"/>
              <w:jc w:val="center"/>
            </w:pPr>
            <w:r>
              <w:rPr>
                <w:sz w:val="20"/>
              </w:rPr>
              <w:t xml:space="preserve">3500</w:t>
            </w:r>
          </w:p>
        </w:tc>
        <w:tc>
          <w:tcPr>
            <w:tcW w:w="1587" w:type="dxa"/>
            <w:tcBorders>
              <w:top w:val="single" w:sz="4"/>
              <w:bottom w:val="nil"/>
              <w:right w:val="nil"/>
            </w:tcBorders>
          </w:tcPr>
          <w:p>
            <w:pPr>
              <w:pStyle w:val="0"/>
              <w:jc w:val="center"/>
            </w:pPr>
            <w:r>
              <w:rPr>
                <w:sz w:val="20"/>
              </w:rPr>
              <w:t xml:space="preserve">3000 (3)</w:t>
            </w:r>
          </w:p>
        </w:tc>
      </w:tr>
      <w:tr>
        <w:tc>
          <w:tcPr>
            <w:tcBorders>
              <w:top w:val="single" w:sz="4"/>
              <w:bottom w:val="single" w:sz="4"/>
            </w:tcBorders>
            <w:vMerge w:val="continue"/>
          </w:tcPr>
          <w:p/>
        </w:tc>
        <w:tc>
          <w:tcPr>
            <w:tcW w:w="1474" w:type="dxa"/>
            <w:tcBorders>
              <w:top w:val="nil"/>
              <w:bottom w:val="nil"/>
            </w:tcBorders>
          </w:tcPr>
          <w:p>
            <w:pPr>
              <w:pStyle w:val="0"/>
              <w:jc w:val="center"/>
            </w:pPr>
            <w:r>
              <w:rPr>
                <w:sz w:val="20"/>
              </w:rPr>
              <w:t xml:space="preserve">IV</w:t>
            </w:r>
          </w:p>
        </w:tc>
        <w:tc>
          <w:tcPr>
            <w:tcW w:w="1871" w:type="dxa"/>
            <w:tcBorders>
              <w:top w:val="nil"/>
              <w:bottom w:val="nil"/>
            </w:tcBorders>
          </w:tcPr>
          <w:p>
            <w:pPr>
              <w:pStyle w:val="0"/>
              <w:jc w:val="center"/>
            </w:pPr>
            <w:r>
              <w:rPr>
                <w:sz w:val="20"/>
              </w:rPr>
              <w:t xml:space="preserve">С1, С2</w:t>
            </w:r>
          </w:p>
        </w:tc>
        <w:tc>
          <w:tcPr>
            <w:tcW w:w="1474" w:type="dxa"/>
            <w:tcBorders>
              <w:top w:val="nil"/>
              <w:bottom w:val="nil"/>
            </w:tcBorders>
          </w:tcPr>
          <w:p>
            <w:pPr>
              <w:pStyle w:val="0"/>
              <w:jc w:val="center"/>
            </w:pPr>
            <w:r>
              <w:rPr>
                <w:sz w:val="20"/>
              </w:rPr>
              <w:t xml:space="preserve">3500</w:t>
            </w:r>
          </w:p>
        </w:tc>
        <w:tc>
          <w:tcPr>
            <w:tcW w:w="1474" w:type="dxa"/>
            <w:tcBorders>
              <w:top w:val="nil"/>
              <w:bottom w:val="nil"/>
            </w:tcBorders>
          </w:tcPr>
          <w:p>
            <w:pPr>
              <w:pStyle w:val="0"/>
              <w:jc w:val="center"/>
            </w:pPr>
            <w:r>
              <w:rPr>
                <w:sz w:val="20"/>
              </w:rPr>
              <w:t xml:space="preserve">2200</w:t>
            </w:r>
          </w:p>
        </w:tc>
        <w:tc>
          <w:tcPr>
            <w:tcW w:w="1587" w:type="dxa"/>
            <w:tcBorders>
              <w:top w:val="nil"/>
              <w:bottom w:val="nil"/>
              <w:right w:val="nil"/>
            </w:tcBorders>
          </w:tcPr>
          <w:p>
            <w:pPr>
              <w:pStyle w:val="0"/>
              <w:jc w:val="center"/>
            </w:pPr>
            <w:r>
              <w:rPr>
                <w:sz w:val="20"/>
              </w:rPr>
              <w:t xml:space="preserve">-</w:t>
            </w:r>
          </w:p>
        </w:tc>
      </w:tr>
      <w:tr>
        <w:tc>
          <w:tcPr>
            <w:tcBorders>
              <w:top w:val="single" w:sz="4"/>
              <w:bottom w:val="single" w:sz="4"/>
            </w:tcBorders>
            <w:vMerge w:val="continue"/>
          </w:tcPr>
          <w:p/>
        </w:tc>
        <w:tc>
          <w:tcPr>
            <w:tcW w:w="1474" w:type="dxa"/>
            <w:tcBorders>
              <w:top w:val="nil"/>
              <w:bottom w:val="single" w:sz="4"/>
            </w:tcBorders>
          </w:tcPr>
          <w:p>
            <w:pPr>
              <w:pStyle w:val="0"/>
              <w:jc w:val="center"/>
            </w:pPr>
            <w:r>
              <w:rPr>
                <w:sz w:val="20"/>
              </w:rPr>
              <w:t xml:space="preserve">V</w:t>
            </w:r>
          </w:p>
        </w:tc>
        <w:tc>
          <w:tcPr>
            <w:tcW w:w="1871" w:type="dxa"/>
            <w:tcBorders>
              <w:top w:val="nil"/>
              <w:bottom w:val="single" w:sz="4"/>
            </w:tcBorders>
          </w:tcPr>
          <w:p>
            <w:pPr>
              <w:pStyle w:val="0"/>
            </w:pPr>
            <w:r>
              <w:rPr>
                <w:sz w:val="20"/>
              </w:rPr>
            </w:r>
          </w:p>
        </w:tc>
        <w:tc>
          <w:tcPr>
            <w:tcW w:w="1474" w:type="dxa"/>
            <w:tcBorders>
              <w:top w:val="nil"/>
              <w:bottom w:val="single" w:sz="4"/>
            </w:tcBorders>
          </w:tcPr>
          <w:p>
            <w:pPr>
              <w:pStyle w:val="0"/>
              <w:jc w:val="center"/>
            </w:pPr>
            <w:r>
              <w:rPr>
                <w:sz w:val="20"/>
              </w:rPr>
              <w:t xml:space="preserve">2200</w:t>
            </w:r>
          </w:p>
        </w:tc>
        <w:tc>
          <w:tcPr>
            <w:tcW w:w="1474" w:type="dxa"/>
            <w:tcBorders>
              <w:top w:val="nil"/>
              <w:bottom w:val="single" w:sz="4"/>
            </w:tcBorders>
          </w:tcPr>
          <w:p>
            <w:pPr>
              <w:pStyle w:val="0"/>
              <w:jc w:val="center"/>
            </w:pPr>
            <w:r>
              <w:rPr>
                <w:sz w:val="20"/>
              </w:rPr>
              <w:t xml:space="preserve">1200</w:t>
            </w:r>
          </w:p>
        </w:tc>
        <w:tc>
          <w:tcPr>
            <w:tcW w:w="1587" w:type="dxa"/>
            <w:tcBorders>
              <w:top w:val="nil"/>
              <w:bottom w:val="single" w:sz="4"/>
              <w:right w:val="nil"/>
            </w:tcBorders>
          </w:tcPr>
          <w:p>
            <w:pPr>
              <w:pStyle w:val="0"/>
              <w:jc w:val="center"/>
            </w:pPr>
            <w:r>
              <w:rPr>
                <w:sz w:val="20"/>
              </w:rPr>
              <w:t xml:space="preserve">-</w:t>
            </w:r>
          </w:p>
        </w:tc>
      </w:tr>
    </w:tbl>
    <w:p>
      <w:pPr>
        <w:pStyle w:val="0"/>
        <w:ind w:firstLine="540"/>
        <w:jc w:val="both"/>
      </w:pPr>
      <w:r>
        <w:rPr>
          <w:sz w:val="20"/>
        </w:rPr>
      </w:r>
    </w:p>
    <w:p>
      <w:pPr>
        <w:pStyle w:val="0"/>
        <w:ind w:firstLine="540"/>
        <w:jc w:val="both"/>
      </w:pPr>
      <w:r>
        <w:rPr>
          <w:sz w:val="20"/>
        </w:rPr>
        <w:t xml:space="preserve">Примечание. В графе "многоэтажные" цифры в скобках означают наибольшее допускаемое количество этажей.</w:t>
      </w:r>
    </w:p>
    <w:p>
      <w:pPr>
        <w:pStyle w:val="0"/>
        <w:jc w:val="both"/>
      </w:pPr>
      <w:r>
        <w:rPr>
          <w:sz w:val="20"/>
        </w:rPr>
        <w:t xml:space="preserve">(в ред. </w:t>
      </w:r>
      <w:hyperlink w:history="0" r:id="rId279"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ind w:firstLine="540"/>
        <w:jc w:val="both"/>
      </w:pPr>
      <w:r>
        <w:rPr>
          <w:sz w:val="20"/>
        </w:rPr>
      </w:r>
    </w:p>
    <w:p>
      <w:pPr>
        <w:pStyle w:val="0"/>
        <w:ind w:firstLine="540"/>
        <w:jc w:val="both"/>
      </w:pPr>
      <w:r>
        <w:rPr>
          <w:sz w:val="20"/>
        </w:rPr>
        <w:t xml:space="preserve">6.3.12. Аммиачную селитру допускается хранить в одноэтажных складских зданиях не ниже II степени огнестойкости, класса конструктивной пожарной опасности C0. Площадь этажа в пределах пожарного отсека не должна превышать 10500 м</w:t>
      </w:r>
      <w:r>
        <w:rPr>
          <w:sz w:val="20"/>
          <w:vertAlign w:val="superscript"/>
        </w:rPr>
        <w:t xml:space="preserve">2</w:t>
      </w:r>
      <w:r>
        <w:rPr>
          <w:sz w:val="20"/>
        </w:rPr>
        <w:t xml:space="preserve">.</w:t>
      </w:r>
    </w:p>
    <w:p>
      <w:pPr>
        <w:pStyle w:val="0"/>
        <w:spacing w:before="200" w:line-rule="auto"/>
        <w:ind w:firstLine="540"/>
        <w:jc w:val="both"/>
      </w:pPr>
      <w:r>
        <w:rPr>
          <w:sz w:val="20"/>
        </w:rPr>
        <w:t xml:space="preserve">В пожарном отсеке допускается хранение не более 25000 т селитры насыпью или в специальных мешках, мягких специализированных контейнерах. Условия хранения аммиачной селитры должны соответствовать </w:t>
      </w:r>
      <w:hyperlink w:history="0" r:id="rId280" w:tooltip="&quot;ГОСТ 2-2013. Межгосударственный стандарт. Селитра аммиачная. Технические условия&quot; (введен в действие Приказом Росстандарта от 05.12.2013 N 2158-ст) (ред. от 21.01.2022) {КонсультантПлюс}">
        <w:r>
          <w:rPr>
            <w:sz w:val="20"/>
            <w:color w:val="0000ff"/>
          </w:rPr>
          <w:t xml:space="preserve">ГОСТ 2-2013</w:t>
        </w:r>
      </w:hyperlink>
      <w:r>
        <w:rPr>
          <w:sz w:val="20"/>
        </w:rPr>
        <w:t xml:space="preserve">.</w:t>
      </w:r>
    </w:p>
    <w:p>
      <w:pPr>
        <w:pStyle w:val="0"/>
        <w:spacing w:before="200" w:line-rule="auto"/>
        <w:ind w:firstLine="540"/>
        <w:jc w:val="both"/>
      </w:pPr>
      <w:r>
        <w:rPr>
          <w:sz w:val="20"/>
        </w:rPr>
        <w:t xml:space="preserve">Условия размещения аммиачной селитры в штабелях, а также необходимость устройства систем вентиляции следует принимать в соответствии с требованиями </w:t>
      </w:r>
      <w:hyperlink w:history="0" r:id="rId281" w:tooltip="&quot;СП 92.13330.2012. Свод правил. Склады сухих минеральных удобрений и химических средств защиты растений. Актуализированная редакция СНиП II-108-78&quot; (утв. Приказом Минрегиона России от 29.12.2011 N 635/16) (ред. от 30.12.2015) {КонсультантПлюс}">
        <w:r>
          <w:rPr>
            <w:sz w:val="20"/>
            <w:color w:val="0000ff"/>
          </w:rPr>
          <w:t xml:space="preserve">СП 92.13330</w:t>
        </w:r>
      </w:hyperlink>
      <w:r>
        <w:rPr>
          <w:sz w:val="20"/>
        </w:rPr>
        <w:t xml:space="preserve">.</w:t>
      </w:r>
    </w:p>
    <w:p>
      <w:pPr>
        <w:pStyle w:val="0"/>
        <w:jc w:val="both"/>
      </w:pPr>
      <w:r>
        <w:rPr>
          <w:sz w:val="20"/>
        </w:rPr>
        <w:t xml:space="preserve">(п. 6.3.12 в ред. </w:t>
      </w:r>
      <w:hyperlink w:history="0" r:id="rId282" w:tooltip="&quot;Изменение N 2 к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 и введено в действие приказом МЧС России от 30.12.2021 N 944) {КонсультантПлюс}">
        <w:r>
          <w:rPr>
            <w:sz w:val="20"/>
            <w:color w:val="0000ff"/>
          </w:rPr>
          <w:t xml:space="preserve">Приказа</w:t>
        </w:r>
      </w:hyperlink>
      <w:r>
        <w:rPr>
          <w:sz w:val="20"/>
        </w:rPr>
        <w:t xml:space="preserve"> МЧС России от 30.12.2021 N 944)</w:t>
      </w:r>
    </w:p>
    <w:p>
      <w:pPr>
        <w:pStyle w:val="0"/>
        <w:spacing w:before="200" w:line-rule="auto"/>
        <w:ind w:firstLine="540"/>
        <w:jc w:val="both"/>
      </w:pPr>
      <w:r>
        <w:rPr>
          <w:sz w:val="20"/>
        </w:rPr>
        <w:t xml:space="preserve">6.3.13. Перегородки, отделяющие складские помещения для хранения взрывопожароопасных и пожароопасных пестицидов от других помещений, должны иметь предел огнестойкости не менее EI 45 и класс пожарной опасности К0; двери в этих перегородках должны быть с пределом огнестойкости EI 30.</w:t>
      </w:r>
    </w:p>
    <w:p>
      <w:pPr>
        <w:pStyle w:val="0"/>
        <w:spacing w:before="200" w:line-rule="auto"/>
        <w:ind w:firstLine="540"/>
        <w:jc w:val="both"/>
      </w:pPr>
      <w:r>
        <w:rPr>
          <w:sz w:val="20"/>
        </w:rPr>
        <w:t xml:space="preserve">6.3.14. Складские помещения для хранения аммиачной селитры в количестве не более 5000 т необходимо отделять от других помещений, в том числе от складских помещений для удобрений и пестицидов, сплошными (без проемов) противопожарными стенами 2-го типа.</w:t>
      </w:r>
    </w:p>
    <w:p>
      <w:pPr>
        <w:pStyle w:val="0"/>
        <w:jc w:val="both"/>
      </w:pPr>
      <w:r>
        <w:rPr>
          <w:sz w:val="20"/>
        </w:rPr>
        <w:t xml:space="preserve">(п. 6.3.14 в ред. </w:t>
      </w:r>
      <w:hyperlink w:history="0" r:id="rId283" w:tooltip="&quot;Изменение N 2 к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 и введено в действие приказом МЧС России от 30.12.2021 N 944) {КонсультантПлюс}">
        <w:r>
          <w:rPr>
            <w:sz w:val="20"/>
            <w:color w:val="0000ff"/>
          </w:rPr>
          <w:t xml:space="preserve">Приказа</w:t>
        </w:r>
      </w:hyperlink>
      <w:r>
        <w:rPr>
          <w:sz w:val="20"/>
        </w:rPr>
        <w:t xml:space="preserve"> МЧС России от 30.12.2021 N 944)</w:t>
      </w:r>
    </w:p>
    <w:p>
      <w:pPr>
        <w:pStyle w:val="0"/>
        <w:spacing w:before="200" w:line-rule="auto"/>
        <w:ind w:firstLine="540"/>
        <w:jc w:val="both"/>
      </w:pPr>
      <w:r>
        <w:rPr>
          <w:sz w:val="20"/>
        </w:rPr>
        <w:t xml:space="preserve">6.3.15. Склады табака делятся противопожарными стенами на отсеки не более 1500 м</w:t>
      </w:r>
      <w:r>
        <w:rPr>
          <w:sz w:val="20"/>
          <w:vertAlign w:val="superscript"/>
        </w:rPr>
        <w:t xml:space="preserve">2</w:t>
      </w:r>
      <w:r>
        <w:rPr>
          <w:sz w:val="20"/>
        </w:rPr>
        <w:t xml:space="preserve">, для складов готовой продукции - 750 м</w:t>
      </w:r>
      <w:r>
        <w:rPr>
          <w:sz w:val="20"/>
          <w:vertAlign w:val="superscript"/>
        </w:rPr>
        <w:t xml:space="preserve">2</w:t>
      </w:r>
      <w:r>
        <w:rPr>
          <w:sz w:val="20"/>
        </w:rPr>
        <w:t xml:space="preserve">.</w:t>
      </w:r>
    </w:p>
    <w:p>
      <w:pPr>
        <w:pStyle w:val="0"/>
        <w:spacing w:before="200" w:line-rule="auto"/>
        <w:ind w:firstLine="540"/>
        <w:jc w:val="both"/>
      </w:pPr>
      <w:r>
        <w:rPr>
          <w:sz w:val="20"/>
        </w:rPr>
        <w:t xml:space="preserve">6.3.16. Требования пожарной безопасности по размещению и хранению на складах аэрозольной продукции 1-го уровня пожарной опасности должны предъявляться как к горючим товарам.</w:t>
      </w:r>
    </w:p>
    <w:p>
      <w:pPr>
        <w:pStyle w:val="0"/>
        <w:spacing w:before="200" w:line-rule="auto"/>
        <w:ind w:firstLine="540"/>
        <w:jc w:val="both"/>
      </w:pPr>
      <w:r>
        <w:rPr>
          <w:sz w:val="20"/>
        </w:rPr>
        <w:t xml:space="preserve">Хранение аэрозольной продукции 2-го и 3-го уровней пожарной опасности в складах, расположенных в цокольных и подвальных этажах, не допускается.</w:t>
      </w:r>
    </w:p>
    <w:p>
      <w:pPr>
        <w:pStyle w:val="0"/>
        <w:spacing w:before="200" w:line-rule="auto"/>
        <w:ind w:firstLine="540"/>
        <w:jc w:val="both"/>
      </w:pPr>
      <w:r>
        <w:rPr>
          <w:sz w:val="20"/>
        </w:rPr>
        <w:t xml:space="preserve">Хранение аэрозольной продукции 2-го и 3-го уровней пожарной опасности должно осуществляться в специализированных складах, размещаемых в надземных одноэтажных складских зданиях или пожарных отсеках таких зданий, при этом количество и площадь размещения аэрозольной продукции не ограничивается. При проектировании системы противопожарной защиты таких складов необходимо разработать комплекс мероприятий, учитывающих специфику тушения возможного пожара аэрозольной продукции и обеспечивающих пожарную безопасность объекта защиты.</w:t>
      </w:r>
    </w:p>
    <w:p>
      <w:pPr>
        <w:pStyle w:val="0"/>
        <w:jc w:val="both"/>
      </w:pPr>
      <w:r>
        <w:rPr>
          <w:sz w:val="20"/>
        </w:rPr>
        <w:t xml:space="preserve">(в ред. </w:t>
      </w:r>
      <w:hyperlink w:history="0" r:id="rId284"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При хранении аэрозольной продукции в складах общего назначения, не защищенных установками автоматического пожаротушения, общее количество аэрозольной продукции уровня пожарной опасности 2-го и 3-го уровней по пожарной опасности не должно превышать:</w:t>
      </w:r>
    </w:p>
    <w:p>
      <w:pPr>
        <w:pStyle w:val="0"/>
        <w:spacing w:before="200" w:line-rule="auto"/>
        <w:ind w:firstLine="540"/>
        <w:jc w:val="both"/>
      </w:pPr>
      <w:r>
        <w:rPr>
          <w:sz w:val="20"/>
        </w:rPr>
        <w:t xml:space="preserve">- аэрозольных упаковок уровня 2 - 1100 кг;</w:t>
      </w:r>
    </w:p>
    <w:p>
      <w:pPr>
        <w:pStyle w:val="0"/>
        <w:spacing w:before="200" w:line-rule="auto"/>
        <w:ind w:firstLine="540"/>
        <w:jc w:val="both"/>
      </w:pPr>
      <w:r>
        <w:rPr>
          <w:sz w:val="20"/>
        </w:rPr>
        <w:t xml:space="preserve">- уровня 3 - 450 кг.</w:t>
      </w:r>
    </w:p>
    <w:p>
      <w:pPr>
        <w:pStyle w:val="0"/>
        <w:spacing w:before="200" w:line-rule="auto"/>
        <w:ind w:firstLine="540"/>
        <w:jc w:val="both"/>
      </w:pPr>
      <w:r>
        <w:rPr>
          <w:sz w:val="20"/>
        </w:rPr>
        <w:t xml:space="preserve">В складах общего назначения, защищенных установками водяного автоматического пожаротушения, аэрозольную продукцию 2-го и 3-го уровней по пожарной опасности надлежит хранить на участках, выделенных либо противопожарными перегородками 1-го типа, либо сетчатым ограждением, либо разделительной зоной без горючей нагрузки шириной не менее 8 м. Сетчатое ограждение выполняется из стальной проволоки диаметром не менее 4 мм и размером ячейки не более 50 мм. Конфигурация сетчатого ограждения должна исключать специфический "ракетообразный" разлет баллонов при пожаре за пределы участка хранения. Горючие товары размещаются на расстоянии не менее 2,5 м от сетчатого ограждения.</w:t>
      </w:r>
    </w:p>
    <w:p>
      <w:pPr>
        <w:pStyle w:val="0"/>
        <w:spacing w:before="200" w:line-rule="auto"/>
        <w:ind w:firstLine="540"/>
        <w:jc w:val="both"/>
      </w:pPr>
      <w:r>
        <w:rPr>
          <w:sz w:val="20"/>
        </w:rPr>
        <w:t xml:space="preserve">Допустимые площади указанных участков хранения, в зависимости от уровня пожарной опасности аэрозольной продукции, приведены в </w:t>
      </w:r>
      <w:hyperlink w:history="0" w:anchor="P1554" w:tooltip="Таблица 12">
        <w:r>
          <w:rPr>
            <w:sz w:val="20"/>
            <w:color w:val="0000ff"/>
          </w:rPr>
          <w:t xml:space="preserve">таблице 12</w:t>
        </w:r>
      </w:hyperlink>
      <w:r>
        <w:rPr>
          <w:sz w:val="20"/>
        </w:rPr>
        <w:t xml:space="preserve">.</w:t>
      </w:r>
    </w:p>
    <w:p>
      <w:pPr>
        <w:pStyle w:val="0"/>
        <w:ind w:firstLine="540"/>
        <w:jc w:val="both"/>
      </w:pPr>
      <w:r>
        <w:rPr>
          <w:sz w:val="20"/>
        </w:rPr>
      </w:r>
    </w:p>
    <w:bookmarkStart w:id="1554" w:name="P1554"/>
    <w:bookmarkEnd w:id="1554"/>
    <w:p>
      <w:pPr>
        <w:pStyle w:val="0"/>
        <w:outlineLvl w:val="3"/>
        <w:jc w:val="both"/>
      </w:pPr>
      <w:r>
        <w:rPr>
          <w:sz w:val="20"/>
        </w:rPr>
        <w:t xml:space="preserve">Таблица 12</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65"/>
        <w:gridCol w:w="4290"/>
        <w:gridCol w:w="4455"/>
      </w:tblGrid>
      <w:tr>
        <w:tc>
          <w:tcPr>
            <w:tcW w:w="3465" w:type="dxa"/>
            <w:vMerge w:val="restart"/>
          </w:tcPr>
          <w:p>
            <w:pPr>
              <w:pStyle w:val="0"/>
              <w:jc w:val="center"/>
            </w:pPr>
            <w:r>
              <w:rPr>
                <w:sz w:val="20"/>
              </w:rPr>
              <w:t xml:space="preserve">Участок хранения</w:t>
            </w:r>
          </w:p>
        </w:tc>
        <w:tc>
          <w:tcPr>
            <w:gridSpan w:val="2"/>
            <w:tcW w:w="8745" w:type="dxa"/>
          </w:tcPr>
          <w:p>
            <w:pPr>
              <w:pStyle w:val="0"/>
              <w:jc w:val="center"/>
            </w:pPr>
            <w:r>
              <w:rPr>
                <w:sz w:val="20"/>
              </w:rPr>
              <w:t xml:space="preserve">Площадь участка, не более</w:t>
            </w:r>
          </w:p>
        </w:tc>
      </w:tr>
      <w:tr>
        <w:tc>
          <w:tcPr>
            <w:vMerge w:val="continue"/>
          </w:tcPr>
          <w:p/>
        </w:tc>
        <w:tc>
          <w:tcPr>
            <w:tcW w:w="4290" w:type="dxa"/>
          </w:tcPr>
          <w:p>
            <w:pPr>
              <w:pStyle w:val="0"/>
              <w:jc w:val="center"/>
            </w:pPr>
            <w:r>
              <w:rPr>
                <w:sz w:val="20"/>
              </w:rPr>
              <w:t xml:space="preserve">Уровень опасности продукции 2</w:t>
            </w:r>
          </w:p>
        </w:tc>
        <w:tc>
          <w:tcPr>
            <w:tcW w:w="4455" w:type="dxa"/>
          </w:tcPr>
          <w:p>
            <w:pPr>
              <w:pStyle w:val="0"/>
              <w:jc w:val="center"/>
            </w:pPr>
            <w:r>
              <w:rPr>
                <w:sz w:val="20"/>
              </w:rPr>
              <w:t xml:space="preserve">Уровень опасности продукции 3</w:t>
            </w:r>
          </w:p>
        </w:tc>
      </w:tr>
      <w:tr>
        <w:tc>
          <w:tcPr>
            <w:tcW w:w="3465" w:type="dxa"/>
          </w:tcPr>
          <w:p>
            <w:pPr>
              <w:pStyle w:val="0"/>
              <w:jc w:val="both"/>
            </w:pPr>
            <w:r>
              <w:rPr>
                <w:sz w:val="20"/>
              </w:rPr>
              <w:t xml:space="preserve">При выделении противопожарными перегородками</w:t>
            </w:r>
          </w:p>
        </w:tc>
        <w:tc>
          <w:tcPr>
            <w:tcW w:w="4290" w:type="dxa"/>
          </w:tcPr>
          <w:p>
            <w:pPr>
              <w:pStyle w:val="0"/>
              <w:jc w:val="both"/>
            </w:pPr>
            <w:r>
              <w:rPr>
                <w:sz w:val="20"/>
              </w:rPr>
              <w:t xml:space="preserve">25% общей площади склада, но не более 2500 м</w:t>
            </w:r>
            <w:r>
              <w:rPr>
                <w:sz w:val="20"/>
                <w:vertAlign w:val="superscript"/>
              </w:rPr>
              <w:t xml:space="preserve">2</w:t>
            </w:r>
          </w:p>
        </w:tc>
        <w:tc>
          <w:tcPr>
            <w:tcW w:w="4455" w:type="dxa"/>
          </w:tcPr>
          <w:p>
            <w:pPr>
              <w:pStyle w:val="0"/>
              <w:jc w:val="both"/>
            </w:pPr>
            <w:r>
              <w:rPr>
                <w:sz w:val="20"/>
              </w:rPr>
              <w:t xml:space="preserve">20% общей площади склада, но не более 2100 м</w:t>
            </w:r>
            <w:r>
              <w:rPr>
                <w:sz w:val="20"/>
                <w:vertAlign w:val="superscript"/>
              </w:rPr>
              <w:t xml:space="preserve">2</w:t>
            </w:r>
          </w:p>
        </w:tc>
      </w:tr>
      <w:tr>
        <w:tc>
          <w:tcPr>
            <w:tcW w:w="3465" w:type="dxa"/>
          </w:tcPr>
          <w:p>
            <w:pPr>
              <w:pStyle w:val="0"/>
              <w:jc w:val="both"/>
            </w:pPr>
            <w:r>
              <w:rPr>
                <w:sz w:val="20"/>
              </w:rPr>
              <w:t xml:space="preserve">При выделении сетчатым ограждением</w:t>
            </w:r>
          </w:p>
        </w:tc>
        <w:tc>
          <w:tcPr>
            <w:tcW w:w="4290" w:type="dxa"/>
          </w:tcPr>
          <w:p>
            <w:pPr>
              <w:pStyle w:val="0"/>
              <w:jc w:val="both"/>
            </w:pPr>
            <w:r>
              <w:rPr>
                <w:sz w:val="20"/>
              </w:rPr>
              <w:t xml:space="preserve">20% площади помещения, но не более 1500 м</w:t>
            </w:r>
            <w:r>
              <w:rPr>
                <w:sz w:val="20"/>
                <w:vertAlign w:val="superscript"/>
              </w:rPr>
              <w:t xml:space="preserve">2</w:t>
            </w:r>
          </w:p>
        </w:tc>
        <w:tc>
          <w:tcPr>
            <w:tcW w:w="4455" w:type="dxa"/>
          </w:tcPr>
          <w:p>
            <w:pPr>
              <w:pStyle w:val="0"/>
              <w:jc w:val="both"/>
            </w:pPr>
            <w:r>
              <w:rPr>
                <w:sz w:val="20"/>
              </w:rPr>
              <w:t xml:space="preserve">20% площади помещения, но не более 1200 м</w:t>
            </w:r>
            <w:r>
              <w:rPr>
                <w:sz w:val="20"/>
                <w:vertAlign w:val="superscript"/>
              </w:rPr>
              <w:t xml:space="preserve">2</w:t>
            </w:r>
          </w:p>
        </w:tc>
      </w:tr>
      <w:tr>
        <w:tc>
          <w:tcPr>
            <w:tcW w:w="3465" w:type="dxa"/>
          </w:tcPr>
          <w:p>
            <w:pPr>
              <w:pStyle w:val="0"/>
              <w:jc w:val="both"/>
            </w:pPr>
            <w:r>
              <w:rPr>
                <w:sz w:val="20"/>
              </w:rPr>
              <w:t xml:space="preserve">С разделительной зоной</w:t>
            </w:r>
          </w:p>
        </w:tc>
        <w:tc>
          <w:tcPr>
            <w:tcW w:w="4290" w:type="dxa"/>
          </w:tcPr>
          <w:p>
            <w:pPr>
              <w:pStyle w:val="0"/>
              <w:jc w:val="both"/>
            </w:pPr>
            <w:r>
              <w:rPr>
                <w:sz w:val="20"/>
              </w:rPr>
              <w:t xml:space="preserve">15% площади помещения, но не более 1200 м</w:t>
            </w:r>
            <w:r>
              <w:rPr>
                <w:sz w:val="20"/>
                <w:vertAlign w:val="superscript"/>
              </w:rPr>
              <w:t xml:space="preserve">2</w:t>
            </w:r>
          </w:p>
        </w:tc>
        <w:tc>
          <w:tcPr>
            <w:tcW w:w="4455" w:type="dxa"/>
          </w:tcPr>
          <w:p>
            <w:pPr>
              <w:pStyle w:val="0"/>
              <w:jc w:val="both"/>
            </w:pPr>
            <w:r>
              <w:rPr>
                <w:sz w:val="20"/>
              </w:rPr>
              <w:t xml:space="preserve">15% площади помещения, но не более 1000 м</w:t>
            </w:r>
            <w:r>
              <w:rPr>
                <w:sz w:val="20"/>
                <w:vertAlign w:val="superscript"/>
              </w:rPr>
              <w:t xml:space="preserve">2</w:t>
            </w:r>
          </w:p>
        </w:tc>
      </w:tr>
    </w:tbl>
    <w:p>
      <w:pPr>
        <w:sectPr>
          <w:headerReference w:type="default" r:id="rId212"/>
          <w:headerReference w:type="first" r:id="rId212"/>
          <w:footerReference w:type="default" r:id="rId213"/>
          <w:footerReference w:type="first" r:id="rId213"/>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На открытых площадках или под навесами хранение аэрозольной продукции 2-го и 3-го уровней по пожарной опасности допускается только в непрозрачных и негорючих контейнерах. Располагать такие участки хранения допускается на расстоянии не менее 15 м до других участков хранения горючих товаров, а также до зданий и сооружений, либо у глухих противопожарных стен.</w:t>
      </w:r>
    </w:p>
    <w:p>
      <w:pPr>
        <w:pStyle w:val="0"/>
        <w:spacing w:before="200" w:line-rule="auto"/>
        <w:ind w:firstLine="540"/>
        <w:jc w:val="both"/>
      </w:pPr>
      <w:r>
        <w:rPr>
          <w:sz w:val="20"/>
        </w:rPr>
        <w:t xml:space="preserve">6.3.17. Здания склада активного вентилирования и половохранилища проектируются одноэтажными, без чердаков.</w:t>
      </w:r>
    </w:p>
    <w:p>
      <w:pPr>
        <w:pStyle w:val="0"/>
        <w:spacing w:before="200" w:line-rule="auto"/>
        <w:ind w:firstLine="540"/>
        <w:jc w:val="both"/>
      </w:pPr>
      <w:r>
        <w:rPr>
          <w:sz w:val="20"/>
        </w:rPr>
        <w:t xml:space="preserve">Расположение вспомогательных помещений в здании половохранилища не допускается.</w:t>
      </w:r>
    </w:p>
    <w:p>
      <w:pPr>
        <w:pStyle w:val="0"/>
        <w:spacing w:before="200" w:line-rule="auto"/>
        <w:ind w:firstLine="540"/>
        <w:jc w:val="both"/>
      </w:pPr>
      <w:r>
        <w:rPr>
          <w:sz w:val="20"/>
        </w:rPr>
        <w:t xml:space="preserve">6.3.18. Складские здания с высотным стеллажным хранением категории В проектируются одноэтажными I - IV степеней огнестойкости класса С0.</w:t>
      </w:r>
    </w:p>
    <w:p>
      <w:pPr>
        <w:pStyle w:val="0"/>
        <w:spacing w:before="200" w:line-rule="auto"/>
        <w:ind w:firstLine="540"/>
        <w:jc w:val="both"/>
      </w:pPr>
      <w:r>
        <w:rPr>
          <w:sz w:val="20"/>
        </w:rPr>
        <w:t xml:space="preserve">Стеллажи должны иметь горизонтальные экраны из материалов НГ с шагом по высоте не более 4 м.</w:t>
      </w:r>
    </w:p>
    <w:p>
      <w:pPr>
        <w:pStyle w:val="0"/>
        <w:spacing w:before="200" w:line-rule="auto"/>
        <w:ind w:firstLine="540"/>
        <w:jc w:val="both"/>
      </w:pPr>
      <w:r>
        <w:rPr>
          <w:sz w:val="20"/>
        </w:rPr>
        <w:t xml:space="preserve">Экраны должны перекрывать все горизонтальное сечение стеллажа, в том числе и зазоры между спаренными стеллажами, и не должны препятствовать погрузочно-разгрузочным работам. Экраны и днища тары и поддонов должны иметь отверстия диаметром 10 мм, расположенные равномерно, со стороной квадрата 150 мм.</w:t>
      </w:r>
    </w:p>
    <w:p>
      <w:pPr>
        <w:pStyle w:val="0"/>
        <w:spacing w:before="200" w:line-rule="auto"/>
        <w:ind w:firstLine="540"/>
        <w:jc w:val="both"/>
      </w:pPr>
      <w:r>
        <w:rPr>
          <w:sz w:val="20"/>
        </w:rPr>
        <w:t xml:space="preserve">В стеллажах должны быть предусмотрены поперечные проходы высотой не менее 2 м и шириной не менее 1,5 м через каждые 40 м. Проходы в пределах стеллажей необходимо отделять от конструкций стеллажей противопожарными перегородками. В наружных стенах в местах устройства поперечных проходов в стеллажах предусматриваются дверные проемы.</w:t>
      </w:r>
    </w:p>
    <w:p>
      <w:pPr>
        <w:pStyle w:val="0"/>
        <w:spacing w:before="200" w:line-rule="auto"/>
        <w:ind w:firstLine="540"/>
        <w:jc w:val="both"/>
      </w:pPr>
      <w:r>
        <w:rPr>
          <w:sz w:val="20"/>
        </w:rPr>
        <w:t xml:space="preserve">6.3.19. Конструкции рамп и навесов, примыкающих к зданиям I, II, III и IV степеней огнестойкости классов пожарной опасности С0 и С1, надлежит принимать из материалов НГ.</w:t>
      </w:r>
    </w:p>
    <w:p>
      <w:pPr>
        <w:pStyle w:val="0"/>
        <w:spacing w:before="200" w:line-rule="auto"/>
        <w:ind w:firstLine="540"/>
        <w:jc w:val="both"/>
      </w:pPr>
      <w:r>
        <w:rPr>
          <w:sz w:val="20"/>
        </w:rPr>
        <w:t xml:space="preserve">6.3.20. При разделении по технологическим или санитарным условиям перегородками складских помещений с грузами, одинаковыми по пожарной опасности, требования к перегородкам определяются в технологической части проекта.</w:t>
      </w:r>
    </w:p>
    <w:p>
      <w:pPr>
        <w:pStyle w:val="0"/>
        <w:spacing w:before="200" w:line-rule="auto"/>
        <w:ind w:firstLine="540"/>
        <w:jc w:val="both"/>
      </w:pPr>
      <w:r>
        <w:rPr>
          <w:sz w:val="20"/>
        </w:rPr>
        <w:t xml:space="preserve">По требованиям технологии хранения грузов допускается экспедицию, приемку, сортировку и комплектацию грузов размещать непосредственно в хранилищах, без отделения их перегородками. При этом рабочие места товароведов, экспертов, кладовщиков, отбраковщиков, учетчиков и операторов допускается ограждать перегородками с ненормируемыми пределами огнестойкости и классом пожарной опасности (остекленными или с сеткой при высоте глухой части не более 1,2 м, сборно-разборными и раздвижными).</w:t>
      </w:r>
    </w:p>
    <w:p>
      <w:pPr>
        <w:pStyle w:val="0"/>
        <w:ind w:firstLine="540"/>
        <w:jc w:val="both"/>
      </w:pPr>
      <w:r>
        <w:rPr>
          <w:sz w:val="20"/>
        </w:rPr>
      </w:r>
    </w:p>
    <w:p>
      <w:pPr>
        <w:pStyle w:val="2"/>
        <w:outlineLvl w:val="2"/>
        <w:ind w:firstLine="540"/>
        <w:jc w:val="both"/>
      </w:pPr>
      <w:r>
        <w:rPr>
          <w:sz w:val="20"/>
        </w:rPr>
        <w:t xml:space="preserve">6.4. Требования к складам нефти и нефтепродуктов</w:t>
      </w:r>
    </w:p>
    <w:p>
      <w:pPr>
        <w:pStyle w:val="0"/>
        <w:ind w:firstLine="540"/>
        <w:jc w:val="both"/>
      </w:pPr>
      <w:r>
        <w:rPr>
          <w:sz w:val="20"/>
        </w:rPr>
      </w:r>
    </w:p>
    <w:p>
      <w:pPr>
        <w:pStyle w:val="0"/>
        <w:ind w:firstLine="540"/>
        <w:jc w:val="both"/>
      </w:pPr>
      <w:r>
        <w:rPr>
          <w:sz w:val="20"/>
        </w:rPr>
        <w:t xml:space="preserve">Утратил силу. - </w:t>
      </w:r>
      <w:hyperlink w:history="0" r:id="rId285"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w:t>
        </w:r>
      </w:hyperlink>
      <w:r>
        <w:rPr>
          <w:sz w:val="20"/>
        </w:rPr>
        <w:t xml:space="preserve"> МЧС России от 14.02.2020 N 89.</w:t>
      </w:r>
    </w:p>
    <w:p>
      <w:pPr>
        <w:pStyle w:val="0"/>
        <w:ind w:firstLine="540"/>
        <w:jc w:val="both"/>
      </w:pPr>
      <w:r>
        <w:rPr>
          <w:sz w:val="20"/>
        </w:rPr>
      </w:r>
    </w:p>
    <w:p>
      <w:pPr>
        <w:pStyle w:val="2"/>
        <w:outlineLvl w:val="2"/>
        <w:ind w:firstLine="540"/>
        <w:jc w:val="both"/>
      </w:pPr>
      <w:r>
        <w:rPr>
          <w:sz w:val="20"/>
        </w:rPr>
        <w:t xml:space="preserve">6.5. Требования к сооружениям производственных объектов</w:t>
      </w:r>
    </w:p>
    <w:p>
      <w:pPr>
        <w:pStyle w:val="0"/>
        <w:ind w:firstLine="540"/>
        <w:jc w:val="both"/>
      </w:pPr>
      <w:r>
        <w:rPr>
          <w:sz w:val="20"/>
        </w:rPr>
      </w:r>
    </w:p>
    <w:p>
      <w:pPr>
        <w:pStyle w:val="0"/>
        <w:ind w:firstLine="540"/>
        <w:jc w:val="both"/>
      </w:pPr>
      <w:r>
        <w:rPr>
          <w:sz w:val="20"/>
        </w:rPr>
        <w:t xml:space="preserve">6.5.1. Требования настоящего подраздела надлежит соблюдать при проектировании:</w:t>
      </w:r>
    </w:p>
    <w:p>
      <w:pPr>
        <w:pStyle w:val="0"/>
        <w:spacing w:before="200" w:line-rule="auto"/>
        <w:ind w:firstLine="540"/>
        <w:jc w:val="both"/>
      </w:pPr>
      <w:r>
        <w:rPr>
          <w:sz w:val="20"/>
        </w:rPr>
        <w:t xml:space="preserve">- подвалов производственного назначения;</w:t>
      </w:r>
    </w:p>
    <w:p>
      <w:pPr>
        <w:pStyle w:val="0"/>
        <w:spacing w:before="200" w:line-rule="auto"/>
        <w:ind w:firstLine="540"/>
        <w:jc w:val="both"/>
      </w:pPr>
      <w:r>
        <w:rPr>
          <w:sz w:val="20"/>
        </w:rPr>
        <w:t xml:space="preserve">- тоннелей (конвейерных, подштабельных, пешеходных, коммуникационных, кабельных и комбинированных) и каналов, сооружаемых открытым способом;</w:t>
      </w:r>
    </w:p>
    <w:p>
      <w:pPr>
        <w:pStyle w:val="0"/>
        <w:spacing w:before="200" w:line-rule="auto"/>
        <w:ind w:firstLine="540"/>
        <w:jc w:val="both"/>
      </w:pPr>
      <w:r>
        <w:rPr>
          <w:sz w:val="20"/>
        </w:rPr>
        <w:t xml:space="preserve">- стальных и железобетонных резервуаров для нефти и нефтепродуктов (за исключением резервуаров: для нефти и нефтепродуктов специального назначения; для нефтепродуктов с упругостью паров выше 93,6 кПа (700 мм рт. ст.) при температуре 20 °C; для нефти и нефтепродуктов, хранящихся под внутренним рабочим давлением выше атмосферного на 70 кПа (0,7 кгс/см</w:t>
      </w:r>
      <w:r>
        <w:rPr>
          <w:sz w:val="20"/>
          <w:vertAlign w:val="superscript"/>
        </w:rPr>
        <w:t xml:space="preserve">2</w:t>
      </w:r>
      <w:r>
        <w:rPr>
          <w:sz w:val="20"/>
        </w:rPr>
        <w:t xml:space="preserve">); для нефти и нефтепродуктов, расположенных в горных выработках и в резервуарах казематного типа; входящих в состав технологических установок);</w:t>
      </w:r>
    </w:p>
    <w:p>
      <w:pPr>
        <w:pStyle w:val="0"/>
        <w:spacing w:before="200" w:line-rule="auto"/>
        <w:ind w:firstLine="540"/>
        <w:jc w:val="both"/>
      </w:pPr>
      <w:r>
        <w:rPr>
          <w:sz w:val="20"/>
        </w:rPr>
        <w:t xml:space="preserve">- стальных газгольдеров, предназначенных для хранения, смешения, усреднения концентраций и выравнивания давления и распределения газов;</w:t>
      </w:r>
    </w:p>
    <w:p>
      <w:pPr>
        <w:pStyle w:val="0"/>
        <w:spacing w:before="200" w:line-rule="auto"/>
        <w:ind w:firstLine="540"/>
        <w:jc w:val="both"/>
      </w:pPr>
      <w:r>
        <w:rPr>
          <w:sz w:val="20"/>
        </w:rPr>
        <w:t xml:space="preserve">- наружных бункеров и бункеров, располагаемых внутри зданий и сооружений;</w:t>
      </w:r>
    </w:p>
    <w:p>
      <w:pPr>
        <w:pStyle w:val="0"/>
        <w:spacing w:before="200" w:line-rule="auto"/>
        <w:ind w:firstLine="540"/>
        <w:jc w:val="both"/>
      </w:pPr>
      <w:r>
        <w:rPr>
          <w:sz w:val="20"/>
        </w:rPr>
        <w:t xml:space="preserve">- силосов и силосных корпусов, выполняемых из железобетона или стали и предназначающихся для хранения промышленных сыпучих материалов, кроме силосов для хранения зерна и продуктов его переработки;</w:t>
      </w:r>
    </w:p>
    <w:p>
      <w:pPr>
        <w:pStyle w:val="0"/>
        <w:spacing w:before="200" w:line-rule="auto"/>
        <w:ind w:firstLine="540"/>
        <w:jc w:val="both"/>
      </w:pPr>
      <w:r>
        <w:rPr>
          <w:sz w:val="20"/>
        </w:rPr>
        <w:t xml:space="preserve">- угольных башен коксохимзаводов, предназначенных для аккумуляции угольной шихты перед коксованием и ее погрузки в загрузочные вагоны для распределения по коксовым печам;</w:t>
      </w:r>
    </w:p>
    <w:p>
      <w:pPr>
        <w:pStyle w:val="0"/>
        <w:spacing w:before="200" w:line-rule="auto"/>
        <w:ind w:firstLine="540"/>
        <w:jc w:val="both"/>
      </w:pPr>
      <w:r>
        <w:rPr>
          <w:sz w:val="20"/>
        </w:rPr>
        <w:t xml:space="preserve">- наружных и располагаемых внутри зданий этажерок, предназначаемых для опирания технологического оборудования и прокладки трубопроводов, а также площадок для обслуживания оборудования;</w:t>
      </w:r>
    </w:p>
    <w:p>
      <w:pPr>
        <w:pStyle w:val="0"/>
        <w:spacing w:before="200" w:line-rule="auto"/>
        <w:ind w:firstLine="540"/>
        <w:jc w:val="both"/>
      </w:pPr>
      <w:r>
        <w:rPr>
          <w:sz w:val="20"/>
        </w:rPr>
        <w:t xml:space="preserve">- опор и эстакад под технологические трубопроводы;</w:t>
      </w:r>
    </w:p>
    <w:p>
      <w:pPr>
        <w:pStyle w:val="0"/>
        <w:spacing w:before="200" w:line-rule="auto"/>
        <w:ind w:firstLine="540"/>
        <w:jc w:val="both"/>
      </w:pPr>
      <w:r>
        <w:rPr>
          <w:sz w:val="20"/>
        </w:rPr>
        <w:t xml:space="preserve">- наружных конвейерных с перегрузочными узлами, пешеходных, кабельных, комбинированных галерей и эстакад (комбинированные галереи и эстакады предназначаются для установки ленточных конвейеров, прокладки транзитных кабелей и других коммуникаций);</w:t>
      </w:r>
    </w:p>
    <w:p>
      <w:pPr>
        <w:pStyle w:val="0"/>
        <w:spacing w:before="200" w:line-rule="auto"/>
        <w:ind w:firstLine="540"/>
        <w:jc w:val="both"/>
      </w:pPr>
      <w:r>
        <w:rPr>
          <w:sz w:val="20"/>
        </w:rPr>
        <w:t xml:space="preserve">- строительных конструкций вентиляторных и башенных градирен (за исключением поперечноточных и радиаторных (сухих) градирен);</w:t>
      </w:r>
    </w:p>
    <w:p>
      <w:pPr>
        <w:pStyle w:val="0"/>
        <w:spacing w:before="200" w:line-rule="auto"/>
        <w:ind w:firstLine="540"/>
        <w:jc w:val="both"/>
      </w:pPr>
      <w:r>
        <w:rPr>
          <w:sz w:val="20"/>
        </w:rPr>
        <w:t xml:space="preserve">- скиповых, клетевых и скипо-клетевых башенных копров, предназначенных для размещения многоканатных подъемных машин с приводом и пускорегулирующей аппаратурой, технологического, ремонтного и вспомогательного оборудования подъема, приемных устройств и емкостей для полезных ископаемых, а при наличии свободных площадей - складских и других помещений на предприятиях по добыче полезных ископаемых подземным способом;</w:t>
      </w:r>
    </w:p>
    <w:p>
      <w:pPr>
        <w:pStyle w:val="0"/>
        <w:spacing w:before="200" w:line-rule="auto"/>
        <w:ind w:firstLine="540"/>
        <w:jc w:val="both"/>
      </w:pPr>
      <w:r>
        <w:rPr>
          <w:sz w:val="20"/>
        </w:rPr>
        <w:t xml:space="preserve">- тепловой изоляции наружной поверхности оборудования, трубопроводов, газоходов и воздуховодов, расположенных в зданиях, сооружениях и на открытом воздухе с температурой содержащихся в них веществ от минус 180 до 600 °C, в том числе трубопроводов тепловых сетей при всех способах прокладки, и предназначенной для обеспечения их эксплуатационной надежности, безопасной эксплуатации и необходимого уровня энергосбережения (за исключением тепловой изоляции оборудования и трубопроводов, содержащих и транспортирующих взрывчатые вещества, изотермических хранилищ сжиженных газов, зданий и помещений для производства и хранения взрывчатых веществ, атомных станций и установок).</w:t>
      </w:r>
    </w:p>
    <w:p>
      <w:pPr>
        <w:pStyle w:val="0"/>
        <w:spacing w:before="200" w:line-rule="auto"/>
        <w:ind w:firstLine="540"/>
        <w:jc w:val="both"/>
      </w:pPr>
      <w:r>
        <w:rPr>
          <w:sz w:val="20"/>
        </w:rPr>
        <w:t xml:space="preserve">6.5.2. Размеры пешеходных тоннелей, галерей и эстакад должны быть приняты:</w:t>
      </w:r>
    </w:p>
    <w:p>
      <w:pPr>
        <w:pStyle w:val="0"/>
        <w:spacing w:before="200" w:line-rule="auto"/>
        <w:ind w:firstLine="540"/>
        <w:jc w:val="both"/>
      </w:pPr>
      <w:r>
        <w:rPr>
          <w:sz w:val="20"/>
        </w:rPr>
        <w:t xml:space="preserve">- высота тоннелей и галерей от уровня пола до низа выступающих конструкций перекрытий или покрытий - не менее 2,0 м (в наклонных тоннелях и галереях высоту надлежит измерять по нормали к полу);</w:t>
      </w:r>
    </w:p>
    <w:p>
      <w:pPr>
        <w:pStyle w:val="0"/>
        <w:spacing w:before="200" w:line-rule="auto"/>
        <w:ind w:firstLine="540"/>
        <w:jc w:val="both"/>
      </w:pPr>
      <w:r>
        <w:rPr>
          <w:sz w:val="20"/>
        </w:rPr>
        <w:t xml:space="preserve">- ширина тоннелей, галерей и эстакад - по расчету из условий пропускной способности в одном направлении 2000 чел./ч на 1 м ширины, но не менее 1,5 м.</w:t>
      </w:r>
    </w:p>
    <w:p>
      <w:pPr>
        <w:pStyle w:val="0"/>
        <w:spacing w:before="200" w:line-rule="auto"/>
        <w:ind w:firstLine="540"/>
        <w:jc w:val="both"/>
      </w:pPr>
      <w:r>
        <w:rPr>
          <w:sz w:val="20"/>
        </w:rPr>
        <w:t xml:space="preserve">6.5.3. Не допускается предусматривать эвакуацию людей из помещений через кабельные сооружения (помещения), а также транзитную прокладку воздуховодов через кабельные сооружения. Кабельные сооружения подлежат защите системами приточно-вытяжной противодымной вентиляции в соответствии с </w:t>
      </w:r>
      <w:hyperlink w:history="0" r:id="rId286" w:tooltip="Приказ МЧС России от 21.02.2013 N 116 (ред. от 12.03.2020) &quot;Об утверждении свода правил СП 7.13130 &quot;Отопление, вентиляция и кондиционирование. Требования пожарной безопасности&quot; {КонсультантПлюс}">
        <w:r>
          <w:rPr>
            <w:sz w:val="20"/>
            <w:color w:val="0000ff"/>
          </w:rPr>
          <w:t xml:space="preserve">СП 7.13130</w:t>
        </w:r>
      </w:hyperlink>
      <w:r>
        <w:rPr>
          <w:sz w:val="20"/>
        </w:rPr>
        <w:t xml:space="preserve">.</w:t>
      </w:r>
    </w:p>
    <w:p>
      <w:pPr>
        <w:pStyle w:val="0"/>
        <w:jc w:val="both"/>
      </w:pPr>
      <w:r>
        <w:rPr>
          <w:sz w:val="20"/>
        </w:rPr>
        <w:t xml:space="preserve">(в ред. </w:t>
      </w:r>
      <w:hyperlink w:history="0" r:id="rId287"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6.5.3.1 В помещениях с наличием фальшполов, в пространстве которых присутствует горючая нагрузка, превышающая 180 МДж/м</w:t>
      </w:r>
      <w:r>
        <w:rPr>
          <w:sz w:val="20"/>
          <w:vertAlign w:val="superscript"/>
        </w:rPr>
        <w:t xml:space="preserve">2</w:t>
      </w:r>
      <w:r>
        <w:rPr>
          <w:sz w:val="20"/>
        </w:rPr>
        <w:t xml:space="preserve">, несущие конструкции фальшполов должны иметь предел огнестойкости не менее REI 45.</w:t>
      </w:r>
    </w:p>
    <w:p>
      <w:pPr>
        <w:pStyle w:val="0"/>
        <w:jc w:val="both"/>
      </w:pPr>
      <w:r>
        <w:rPr>
          <w:sz w:val="20"/>
        </w:rPr>
        <w:t xml:space="preserve">(п. 6.5.3.1 введен </w:t>
      </w:r>
      <w:hyperlink w:history="0" r:id="rId288"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Приказом</w:t>
        </w:r>
      </w:hyperlink>
      <w:r>
        <w:rPr>
          <w:sz w:val="20"/>
        </w:rPr>
        <w:t xml:space="preserve"> МЧС России от 14.02.2020 N 89)</w:t>
      </w:r>
    </w:p>
    <w:p>
      <w:pPr>
        <w:pStyle w:val="0"/>
        <w:spacing w:before="200" w:line-rule="auto"/>
        <w:ind w:firstLine="540"/>
        <w:jc w:val="both"/>
      </w:pPr>
      <w:r>
        <w:rPr>
          <w:sz w:val="20"/>
        </w:rPr>
        <w:t xml:space="preserve">6.5.4. Подземные сооружения, расположенные в зоне влияния блуждающих токов, должны быть защищены от электрокоррозии.</w:t>
      </w:r>
    </w:p>
    <w:p>
      <w:pPr>
        <w:pStyle w:val="0"/>
        <w:spacing w:before="200" w:line-rule="auto"/>
        <w:ind w:firstLine="540"/>
        <w:jc w:val="both"/>
      </w:pPr>
      <w:r>
        <w:rPr>
          <w:sz w:val="20"/>
        </w:rPr>
        <w:t xml:space="preserve">Стальные конструкции сооружения должны быть заземлены.</w:t>
      </w:r>
    </w:p>
    <w:p>
      <w:pPr>
        <w:pStyle w:val="0"/>
        <w:spacing w:before="200" w:line-rule="auto"/>
        <w:ind w:firstLine="540"/>
        <w:jc w:val="both"/>
      </w:pPr>
      <w:r>
        <w:rPr>
          <w:sz w:val="20"/>
        </w:rPr>
        <w:t xml:space="preserve">6.5.5. При проектировании высотных сооружений, подземных и наземных резервуаров для нефти и нефтепродуктов и газгольдеров должна предусматриваться молниезащита.</w:t>
      </w:r>
    </w:p>
    <w:bookmarkStart w:id="1611" w:name="P1611"/>
    <w:bookmarkEnd w:id="1611"/>
    <w:p>
      <w:pPr>
        <w:pStyle w:val="0"/>
        <w:spacing w:before="200" w:line-rule="auto"/>
        <w:ind w:firstLine="540"/>
        <w:jc w:val="both"/>
      </w:pPr>
      <w:r>
        <w:rPr>
          <w:sz w:val="20"/>
        </w:rPr>
        <w:t xml:space="preserve">6.5.6. Эвакуационные выходы и лестницы из подвалов в помещения категорий В1 - В4, Г и Д, противопожарные требования к подвальным помещениям категории В1 - В4 по пожарной опасности или складам горючих материалов, а также негорючих материалов в горючей упаковке предусматриваются в соответствии с требованиями настоящего раздела и нормативных документов по пожарной безопасности.</w:t>
      </w:r>
    </w:p>
    <w:p>
      <w:pPr>
        <w:pStyle w:val="0"/>
        <w:spacing w:before="200" w:line-rule="auto"/>
        <w:ind w:firstLine="540"/>
        <w:jc w:val="both"/>
      </w:pPr>
      <w:r>
        <w:rPr>
          <w:sz w:val="20"/>
        </w:rPr>
        <w:t xml:space="preserve">6.5.7. Подвалы, тоннели и каналы не допускается предусматривать в зданиях категорий А и Б и на территориях, где расположены наружные установки, в которых применяются или образуются взрывоопасные или токсичные газы плотностью более 0,8 по отношению к воздуху, а также взрывоопасная пыль.</w:t>
      </w:r>
    </w:p>
    <w:p>
      <w:pPr>
        <w:pStyle w:val="0"/>
        <w:spacing w:before="200" w:line-rule="auto"/>
        <w:ind w:firstLine="540"/>
        <w:jc w:val="both"/>
      </w:pPr>
      <w:r>
        <w:rPr>
          <w:sz w:val="20"/>
        </w:rPr>
        <w:t xml:space="preserve">Допускается устраивать открытые приямки и лотки в помещениях и на территориях с наружными установками категорий АН и БН, если без этих приямков и лотков нельзя обеспечить требования технологического процесса.</w:t>
      </w:r>
    </w:p>
    <w:p>
      <w:pPr>
        <w:pStyle w:val="0"/>
        <w:spacing w:before="200" w:line-rule="auto"/>
        <w:ind w:firstLine="540"/>
        <w:jc w:val="both"/>
      </w:pPr>
      <w:r>
        <w:rPr>
          <w:sz w:val="20"/>
        </w:rPr>
        <w:t xml:space="preserve">В этих случаях приямки и лотки должны быть обеспечены надежной, непрерывно действующей приточной или приточно-вытяжной вентиляцией; число лестниц из открытых приямков при площади их более 50 м</w:t>
      </w:r>
      <w:r>
        <w:rPr>
          <w:sz w:val="20"/>
          <w:vertAlign w:val="superscript"/>
        </w:rPr>
        <w:t xml:space="preserve">2</w:t>
      </w:r>
      <w:r>
        <w:rPr>
          <w:sz w:val="20"/>
        </w:rPr>
        <w:t xml:space="preserve"> или протяженности свыше 30 м должно быть не менее двух.</w:t>
      </w:r>
    </w:p>
    <w:p>
      <w:pPr>
        <w:pStyle w:val="0"/>
        <w:spacing w:before="200" w:line-rule="auto"/>
        <w:ind w:firstLine="540"/>
        <w:jc w:val="both"/>
      </w:pPr>
      <w:r>
        <w:rPr>
          <w:sz w:val="20"/>
        </w:rPr>
        <w:t xml:space="preserve">Выходы из открытых приямков должны быть устроены на уровне пола помещений в противоположных сторонах приямков.</w:t>
      </w:r>
    </w:p>
    <w:p>
      <w:pPr>
        <w:pStyle w:val="0"/>
        <w:spacing w:before="200" w:line-rule="auto"/>
        <w:ind w:firstLine="540"/>
        <w:jc w:val="both"/>
      </w:pPr>
      <w:r>
        <w:rPr>
          <w:sz w:val="20"/>
        </w:rPr>
        <w:t xml:space="preserve">В производствах, в которых применяются или перерабатываются вещества с плотностью паров и газов менее 0,8 по отношению к воздуху, допускается (если это необходимо по требованиям технологического процесса) устраивать невентилируемые каналы глубиной не более 0,5 м.</w:t>
      </w:r>
    </w:p>
    <w:p>
      <w:pPr>
        <w:pStyle w:val="0"/>
        <w:spacing w:before="200" w:line-rule="auto"/>
        <w:ind w:firstLine="540"/>
        <w:jc w:val="both"/>
      </w:pPr>
      <w:r>
        <w:rPr>
          <w:sz w:val="20"/>
        </w:rPr>
        <w:t xml:space="preserve">6.5.8. В пешеходных тоннелях и галереях не допускается предусматривать прокладку трубопроводов, транспортирующих ядовитые, легковоспламеняющиеся и горючие жидкости, ядовитые и горючие газы, трубопроводов паровых тепловых сетей, а также транзитных кабелей любого назначения.</w:t>
      </w:r>
    </w:p>
    <w:p>
      <w:pPr>
        <w:pStyle w:val="0"/>
        <w:spacing w:before="200" w:line-rule="auto"/>
        <w:ind w:firstLine="540"/>
        <w:jc w:val="both"/>
      </w:pPr>
      <w:r>
        <w:rPr>
          <w:sz w:val="20"/>
        </w:rPr>
        <w:t xml:space="preserve">6.5.9. По технологическим требованиям допускается устройство подвалов с техническим этажом для кабельных разводок.</w:t>
      </w:r>
    </w:p>
    <w:p>
      <w:pPr>
        <w:pStyle w:val="0"/>
        <w:jc w:val="both"/>
      </w:pPr>
      <w:r>
        <w:rPr>
          <w:sz w:val="20"/>
        </w:rPr>
        <w:t xml:space="preserve">(в ред. </w:t>
      </w:r>
      <w:hyperlink w:history="0" r:id="rId289"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В обоснованных случаях допускается выполнять подвалы с </w:t>
      </w:r>
      <w:r>
        <w:rPr>
          <w:position w:val="-4"/>
        </w:rPr>
        <w:drawing>
          <wp:inline distT="0" distB="0" distL="0" distR="0">
            <wp:extent cx="647700"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a:extLst>
                        <a:ext uri="{28A0092B-C50C-407E-A947-70E740481C1C}">
                          <a14:useLocalDpi xmlns:a14="http://schemas.microsoft.com/office/drawing/2010/main" val="0"/>
                        </a:ext>
                      </a:extLst>
                    </a:blip>
                    <a:srcRect/>
                    <a:stretch>
                      <a:fillRect/>
                    </a:stretch>
                  </pic:blipFill>
                  <pic:spPr bwMode="auto">
                    <a:xfrm>
                      <a:off x="0" y="0"/>
                      <a:ext cx="647700" cy="180975"/>
                    </a:xfrm>
                    <a:prstGeom prst="rect">
                      <a:avLst/>
                    </a:prstGeom>
                    <a:noFill/>
                    <a:ln>
                      <a:noFill/>
                    </a:ln>
                  </pic:spPr>
                </pic:pic>
              </a:graphicData>
            </a:graphic>
          </wp:inline>
        </w:drawing>
      </w:r>
      <w:r>
        <w:rPr>
          <w:sz w:val="20"/>
        </w:rPr>
        <w:t xml:space="preserve"> числом кабельных этажей.</w:t>
      </w:r>
    </w:p>
    <w:p>
      <w:pPr>
        <w:pStyle w:val="0"/>
        <w:spacing w:before="200" w:line-rule="auto"/>
        <w:ind w:firstLine="540"/>
        <w:jc w:val="both"/>
      </w:pPr>
      <w:r>
        <w:rPr>
          <w:sz w:val="20"/>
        </w:rPr>
        <w:t xml:space="preserve">6.5.10. Высоту от пола подвала до низа ребер плит перекрытия надлежит назначать кратной 0,6 м, но не менее 3 м.</w:t>
      </w:r>
    </w:p>
    <w:p>
      <w:pPr>
        <w:pStyle w:val="0"/>
        <w:spacing w:before="200" w:line-rule="auto"/>
        <w:ind w:firstLine="540"/>
        <w:jc w:val="both"/>
      </w:pPr>
      <w:r>
        <w:rPr>
          <w:sz w:val="20"/>
        </w:rPr>
        <w:t xml:space="preserve">Высоту технического этажа для кабельных разводок в подвалах необходимо принимать не менее 2,4 м.</w:t>
      </w:r>
    </w:p>
    <w:p>
      <w:pPr>
        <w:pStyle w:val="0"/>
        <w:spacing w:before="200" w:line-rule="auto"/>
        <w:ind w:firstLine="540"/>
        <w:jc w:val="both"/>
      </w:pPr>
      <w:r>
        <w:rPr>
          <w:sz w:val="20"/>
        </w:rPr>
        <w:t xml:space="preserve">6.5.11. Высота проходов в подвалах (в чистоте) должна назначаться не менее 2 м.</w:t>
      </w:r>
    </w:p>
    <w:p>
      <w:pPr>
        <w:pStyle w:val="0"/>
        <w:spacing w:before="200" w:line-rule="auto"/>
        <w:ind w:firstLine="540"/>
        <w:jc w:val="both"/>
      </w:pPr>
      <w:r>
        <w:rPr>
          <w:sz w:val="20"/>
        </w:rPr>
        <w:t xml:space="preserve">6.5.12. Кабельные подвалы и кабельные этажи подвалов разделяются противопожарными перегородками на отсеки объемом не более 3000 м</w:t>
      </w:r>
      <w:r>
        <w:rPr>
          <w:sz w:val="20"/>
          <w:vertAlign w:val="superscript"/>
        </w:rPr>
        <w:t xml:space="preserve">3</w:t>
      </w:r>
      <w:r>
        <w:rPr>
          <w:sz w:val="20"/>
        </w:rPr>
        <w:t xml:space="preserve"> при оборудовании их объемными средствами пожаротушения.</w:t>
      </w:r>
    </w:p>
    <w:p>
      <w:pPr>
        <w:pStyle w:val="0"/>
        <w:spacing w:before="200" w:line-rule="auto"/>
        <w:ind w:firstLine="540"/>
        <w:jc w:val="both"/>
      </w:pPr>
      <w:r>
        <w:rPr>
          <w:sz w:val="20"/>
        </w:rPr>
        <w:t xml:space="preserve">6.5.13. Двери выходов из кабельных подвалов (кабельных этажей подвалов) и двери между секциями, выделенными противопожарными преградами с пределом огнестойкости не менее (R)EI 15, должны быть противопожарными 3-го типа и открываться по направлению ближайшего выхода.</w:t>
      </w:r>
    </w:p>
    <w:p>
      <w:pPr>
        <w:pStyle w:val="0"/>
        <w:jc w:val="both"/>
      </w:pPr>
      <w:r>
        <w:rPr>
          <w:sz w:val="20"/>
        </w:rPr>
        <w:t xml:space="preserve">(в ред. </w:t>
      </w:r>
      <w:hyperlink w:history="0" r:id="rId291"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Притворы дверей должны быть уплотнены.</w:t>
      </w:r>
    </w:p>
    <w:p>
      <w:pPr>
        <w:pStyle w:val="0"/>
        <w:spacing w:before="200" w:line-rule="auto"/>
        <w:ind w:firstLine="540"/>
        <w:jc w:val="both"/>
      </w:pPr>
      <w:r>
        <w:rPr>
          <w:sz w:val="20"/>
        </w:rPr>
        <w:t xml:space="preserve">6.5.14. Из каждого отсека подвала, кабельного подвала или кабельного этажа подвала необходимо предусматривать не менее двух выходов; выходы располагаются в разных сторонах помещения.</w:t>
      </w:r>
    </w:p>
    <w:p>
      <w:pPr>
        <w:pStyle w:val="0"/>
        <w:spacing w:before="200" w:line-rule="auto"/>
        <w:ind w:firstLine="540"/>
        <w:jc w:val="both"/>
      </w:pPr>
      <w:r>
        <w:rPr>
          <w:sz w:val="20"/>
        </w:rPr>
        <w:t xml:space="preserve">Выходы должны размещаться так, чтобы не было тупиков длиной более 25 м. Длина пути от наиболее удаленного места нахождения обслуживающего персонала до ближайшего выхода не должна превышать 75 м. Второй выход допускается предусматривать через расположенное на том же уровне (этаже) соседнее помещение (подвал, этаж подвала, тоннель) категорий В1 - В4, Г и Д. При выходе в помещения категории В1 - В4 суммарная длина пути эвакуации не должна превышать 75 м.</w:t>
      </w:r>
    </w:p>
    <w:p>
      <w:pPr>
        <w:pStyle w:val="0"/>
        <w:spacing w:before="200" w:line-rule="auto"/>
        <w:ind w:firstLine="540"/>
        <w:jc w:val="both"/>
      </w:pPr>
      <w:r>
        <w:rPr>
          <w:sz w:val="20"/>
        </w:rPr>
        <w:t xml:space="preserve">6.5.15. Эвакуационные выходы из маслоподвалов и кабельных этажей подвалов осуществляются через обособленные лестничные клетки, имеющие выход непосредственно наружу. Допускается использовать общую лестничную клетку, ведущую к надземным этажам, при этом для подвальных помещений должен быть устроен обособленный выход из лестничной клетки на уровне первого этажа наружу, отделенный от остальной части лестничной клетки на высоту одного этажа глухой противопожарной перегородкой с пределом огнестойкости не менее EI 60.</w:t>
      </w:r>
    </w:p>
    <w:p>
      <w:pPr>
        <w:pStyle w:val="0"/>
        <w:spacing w:before="200" w:line-rule="auto"/>
        <w:ind w:firstLine="540"/>
        <w:jc w:val="both"/>
      </w:pPr>
      <w:r>
        <w:rPr>
          <w:sz w:val="20"/>
        </w:rPr>
        <w:t xml:space="preserve">При невозможности устройства выходов непосредственно наружу допускается их устраивать в помещения категорий Г и Д с учетом требований </w:t>
      </w:r>
      <w:hyperlink w:history="0" w:anchor="P1611" w:tooltip="6.5.6. Эвакуационные выходы и лестницы из подвалов в помещения категорий В1 - В4, Г и Д, противопожарные требования к подвальным помещениям категории В1 - В4 по пожарной опасности или складам горючих материалов, а также негорючих материалов в горючей упаковке предусматриваются в соответствии с требованиями настоящего раздела и нормативных документов по пожарной безопасности.">
        <w:r>
          <w:rPr>
            <w:sz w:val="20"/>
            <w:color w:val="0000ff"/>
          </w:rPr>
          <w:t xml:space="preserve">пункта 6.5.6</w:t>
        </w:r>
      </w:hyperlink>
      <w:r>
        <w:rPr>
          <w:sz w:val="20"/>
        </w:rPr>
        <w:t xml:space="preserve">.</w:t>
      </w:r>
    </w:p>
    <w:p>
      <w:pPr>
        <w:pStyle w:val="0"/>
        <w:spacing w:before="200" w:line-rule="auto"/>
        <w:ind w:firstLine="540"/>
        <w:jc w:val="both"/>
      </w:pPr>
      <w:r>
        <w:rPr>
          <w:sz w:val="20"/>
        </w:rPr>
        <w:t xml:space="preserve">6.5.16. Допускается предусматривать отдельно стоящие одноэтажные насосные станции (или отсеки) категорий А, Б и В, заглубленные ниже планировочных отметок земли более чем на 1 м, площадью не более 400 м</w:t>
      </w:r>
      <w:r>
        <w:rPr>
          <w:sz w:val="20"/>
          <w:vertAlign w:val="superscript"/>
        </w:rPr>
        <w:t xml:space="preserve">2</w:t>
      </w:r>
      <w:r>
        <w:rPr>
          <w:sz w:val="20"/>
        </w:rPr>
        <w:t xml:space="preserve">.</w:t>
      </w:r>
    </w:p>
    <w:p>
      <w:pPr>
        <w:pStyle w:val="0"/>
        <w:spacing w:before="200" w:line-rule="auto"/>
        <w:ind w:firstLine="540"/>
        <w:jc w:val="both"/>
      </w:pPr>
      <w:r>
        <w:rPr>
          <w:sz w:val="20"/>
        </w:rPr>
        <w:t xml:space="preserve">Из этих помещений надлежит предусматривать:</w:t>
      </w:r>
    </w:p>
    <w:p>
      <w:pPr>
        <w:pStyle w:val="0"/>
        <w:spacing w:before="200" w:line-rule="auto"/>
        <w:ind w:firstLine="540"/>
        <w:jc w:val="both"/>
      </w:pPr>
      <w:r>
        <w:rPr>
          <w:sz w:val="20"/>
        </w:rPr>
        <w:t xml:space="preserve">- один эвакуационный выход через лестничную клетку, изолированную от помещений, при площади пола не более 54 м</w:t>
      </w:r>
      <w:r>
        <w:rPr>
          <w:sz w:val="20"/>
          <w:vertAlign w:val="superscript"/>
        </w:rPr>
        <w:t xml:space="preserve">2</w:t>
      </w:r>
      <w:r>
        <w:rPr>
          <w:sz w:val="20"/>
        </w:rPr>
        <w:t xml:space="preserve">;</w:t>
      </w:r>
    </w:p>
    <w:p>
      <w:pPr>
        <w:pStyle w:val="0"/>
        <w:spacing w:before="200" w:line-rule="auto"/>
        <w:ind w:firstLine="540"/>
        <w:jc w:val="both"/>
      </w:pPr>
      <w:r>
        <w:rPr>
          <w:sz w:val="20"/>
        </w:rPr>
        <w:t xml:space="preserve">- два эвакуационных выхода, расположенных в противоположных сторонах помещения, при площади пола более 54 м</w:t>
      </w:r>
      <w:r>
        <w:rPr>
          <w:sz w:val="20"/>
          <w:vertAlign w:val="superscript"/>
        </w:rPr>
        <w:t xml:space="preserve">2</w:t>
      </w:r>
      <w:r>
        <w:rPr>
          <w:sz w:val="20"/>
        </w:rPr>
        <w:t xml:space="preserve">.</w:t>
      </w:r>
    </w:p>
    <w:p>
      <w:pPr>
        <w:pStyle w:val="0"/>
        <w:spacing w:before="200" w:line-rule="auto"/>
        <w:ind w:firstLine="540"/>
        <w:jc w:val="both"/>
      </w:pPr>
      <w:r>
        <w:rPr>
          <w:sz w:val="20"/>
        </w:rPr>
        <w:t xml:space="preserve">Вместо второго эвакуационного выхода допускается предусматривать аварийный выход по вертикальной лестнице, находящейся в шахте, изолированной от помещений категорий А, Б и В1 - В4.</w:t>
      </w:r>
    </w:p>
    <w:p>
      <w:pPr>
        <w:pStyle w:val="0"/>
        <w:spacing w:before="200" w:line-rule="auto"/>
        <w:ind w:firstLine="540"/>
        <w:jc w:val="both"/>
      </w:pPr>
      <w:r>
        <w:rPr>
          <w:sz w:val="20"/>
        </w:rPr>
        <w:t xml:space="preserve">6.5.17. Устройство порогов у выходов из подвалов и перепадов в уровне пола не допускается, за исключением маслоподвалов, где на выходах должны быть пороги высотой не менее 300 мм со ступенями или пандусами.</w:t>
      </w:r>
    </w:p>
    <w:p>
      <w:pPr>
        <w:pStyle w:val="0"/>
        <w:spacing w:before="200" w:line-rule="auto"/>
        <w:ind w:firstLine="540"/>
        <w:jc w:val="both"/>
      </w:pPr>
      <w:r>
        <w:rPr>
          <w:sz w:val="20"/>
        </w:rPr>
        <w:t xml:space="preserve">6.5.18. Для отделки пешеходных тоннелей используются материалы НГ, допускающие легкую очистку и промывку.</w:t>
      </w:r>
    </w:p>
    <w:p>
      <w:pPr>
        <w:pStyle w:val="0"/>
        <w:spacing w:before="200" w:line-rule="auto"/>
        <w:ind w:firstLine="540"/>
        <w:jc w:val="both"/>
      </w:pPr>
      <w:r>
        <w:rPr>
          <w:sz w:val="20"/>
        </w:rPr>
        <w:t xml:space="preserve">6.5.19. Выходы из конвейерных, коммуникационных (кроме кабельных) тоннелей должны предусматриваться не реже чем через 100 м, но не менее двух, кроме случаев, предусмотренных нормативными документами по проектированию предприятий отдельных отраслей промышленности.</w:t>
      </w:r>
    </w:p>
    <w:p>
      <w:pPr>
        <w:pStyle w:val="0"/>
        <w:spacing w:before="200" w:line-rule="auto"/>
        <w:ind w:firstLine="540"/>
        <w:jc w:val="both"/>
      </w:pPr>
      <w:r>
        <w:rPr>
          <w:sz w:val="20"/>
        </w:rPr>
        <w:t xml:space="preserve">Выходами коммуникационных тоннелей могут служить люки, оборудованные легко открывающимися изнутри крышками и запорными устройствами, стационарными лестницами или скобами.</w:t>
      </w:r>
    </w:p>
    <w:p>
      <w:pPr>
        <w:pStyle w:val="0"/>
        <w:spacing w:before="200" w:line-rule="auto"/>
        <w:ind w:firstLine="540"/>
        <w:jc w:val="both"/>
      </w:pPr>
      <w:r>
        <w:rPr>
          <w:sz w:val="20"/>
        </w:rPr>
        <w:t xml:space="preserve">В кабельных тоннелях допускается увеличение расстояния между выходами до 120 м при маслонаполненных кабелях и до 150 м при других кабелях.</w:t>
      </w:r>
    </w:p>
    <w:p>
      <w:pPr>
        <w:pStyle w:val="0"/>
        <w:spacing w:before="200" w:line-rule="auto"/>
        <w:ind w:firstLine="540"/>
        <w:jc w:val="both"/>
      </w:pPr>
      <w:r>
        <w:rPr>
          <w:sz w:val="20"/>
        </w:rPr>
        <w:t xml:space="preserve">Выходы из межцеховых кабельных тоннелей выполняются с надземной частью, совмещенной с вентиляционными камерами. Лестницы в этих выходах допускается выполнять вертикальными, двери из надземной части должны открываться наружу. Камера выхода должна быть отделена от основной части тоннеля (отсека) противопожарной перегородкой из материала НГ.</w:t>
      </w:r>
    </w:p>
    <w:p>
      <w:pPr>
        <w:pStyle w:val="0"/>
        <w:spacing w:before="200" w:line-rule="auto"/>
        <w:ind w:firstLine="540"/>
        <w:jc w:val="both"/>
      </w:pPr>
      <w:r>
        <w:rPr>
          <w:sz w:val="20"/>
        </w:rPr>
        <w:t xml:space="preserve">Выходы из внутрицеховых кабельных тоннелей предусматриваются через лестничные клетки (ведущие также на верхние этажи здания) либо через отдельные лестницы, ведущие только на первый этаж. Лестницы и лестничные клетки должны иметь выход непосредственно наружу или в помещение первого этажа (с учетом требований </w:t>
      </w:r>
      <w:hyperlink w:history="0" w:anchor="P1645" w:tooltip="6.5.20. Выходы из конвейерных, коммуникационных и кабельных тоннелей должны предусматриваться наружу (на территорию предприятия, населенного пункта и т.п.) или в помещения категорий Г и Д.">
        <w:r>
          <w:rPr>
            <w:sz w:val="20"/>
            <w:color w:val="0000ff"/>
          </w:rPr>
          <w:t xml:space="preserve">пункта 6.5.20</w:t>
        </w:r>
      </w:hyperlink>
      <w:r>
        <w:rPr>
          <w:sz w:val="20"/>
        </w:rPr>
        <w:t xml:space="preserve">). При использовании для выхода общей лестничной клетки (ведущей также на верхние этажи) для кабельных тоннелей надлежит устраивать в лестничной клетке обособленный выход наружу, отделенный от остальной лестничной клетки перегородкой из материала НГ с пределом огнестойкости EI 60. Если для выхода предназначена отдельная лестница, ведущая на первый этаж здания, она должна ограждаться противопожарными перегородками 1-го типа, при этом на выходе из тоннеля на лестницу надлежит предусматривать тамбур, если в уровне первого этажа устраивается открытый проем. Площадки лестниц, через которые осуществляется выход из кабельных тоннелей, могут использоваться также для организации выхода из других подвальных помещений.</w:t>
      </w:r>
    </w:p>
    <w:p>
      <w:pPr>
        <w:pStyle w:val="0"/>
        <w:jc w:val="both"/>
      </w:pPr>
      <w:r>
        <w:rPr>
          <w:sz w:val="20"/>
        </w:rPr>
        <w:t xml:space="preserve">(в ред. </w:t>
      </w:r>
      <w:hyperlink w:history="0" r:id="rId292"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bookmarkStart w:id="1645" w:name="P1645"/>
    <w:bookmarkEnd w:id="1645"/>
    <w:p>
      <w:pPr>
        <w:pStyle w:val="0"/>
        <w:spacing w:before="200" w:line-rule="auto"/>
        <w:ind w:firstLine="540"/>
        <w:jc w:val="both"/>
      </w:pPr>
      <w:r>
        <w:rPr>
          <w:sz w:val="20"/>
        </w:rPr>
        <w:t xml:space="preserve">6.5.20. Выходы из конвейерных, коммуникационных и кабельных тоннелей должны предусматриваться наружу (на территорию предприятия, населенного пункта и т.п.) или в помещения категорий Г и Д.</w:t>
      </w:r>
    </w:p>
    <w:p>
      <w:pPr>
        <w:pStyle w:val="0"/>
        <w:spacing w:before="200" w:line-rule="auto"/>
        <w:ind w:firstLine="540"/>
        <w:jc w:val="both"/>
      </w:pPr>
      <w:r>
        <w:rPr>
          <w:sz w:val="20"/>
        </w:rPr>
        <w:t xml:space="preserve">Двери на выходе из кабельных тоннелей предусматриваются открывающимися в направлении выхода из тоннеля и снабженными самозапирающимися замками.</w:t>
      </w:r>
    </w:p>
    <w:p>
      <w:pPr>
        <w:pStyle w:val="0"/>
        <w:spacing w:before="200" w:line-rule="auto"/>
        <w:ind w:firstLine="540"/>
        <w:jc w:val="both"/>
      </w:pPr>
      <w:r>
        <w:rPr>
          <w:sz w:val="20"/>
        </w:rPr>
        <w:t xml:space="preserve">Если выходы ведут наружу, двери допускается выполнять из материала НГ, предел огнестойкости не нормируется.</w:t>
      </w:r>
    </w:p>
    <w:p>
      <w:pPr>
        <w:pStyle w:val="0"/>
        <w:spacing w:before="200" w:line-rule="auto"/>
        <w:ind w:firstLine="540"/>
        <w:jc w:val="both"/>
      </w:pPr>
      <w:r>
        <w:rPr>
          <w:sz w:val="20"/>
        </w:rPr>
        <w:t xml:space="preserve">Если выходы ведут в помещение, двери должны быть самозапирающимися с уплотнением в притворах и иметь предел огнестойкости не менее EI 30.</w:t>
      </w:r>
    </w:p>
    <w:p>
      <w:pPr>
        <w:pStyle w:val="0"/>
        <w:spacing w:before="200" w:line-rule="auto"/>
        <w:ind w:firstLine="540"/>
        <w:jc w:val="both"/>
      </w:pPr>
      <w:r>
        <w:rPr>
          <w:sz w:val="20"/>
        </w:rPr>
        <w:t xml:space="preserve">Во внутрицеховых (внутри зданий) тоннелях замки должны открываться без ключа как из тоннеля, так и из помещения, если это помещение электротехническое или кабельное; в случае, если выход из кабельного тоннеля ведет в другое смежное производственное помещение, замки должны открываться без ключа только из тоннеля.</w:t>
      </w:r>
    </w:p>
    <w:p>
      <w:pPr>
        <w:pStyle w:val="0"/>
        <w:spacing w:before="200" w:line-rule="auto"/>
        <w:ind w:firstLine="540"/>
        <w:jc w:val="both"/>
      </w:pPr>
      <w:r>
        <w:rPr>
          <w:sz w:val="20"/>
        </w:rPr>
        <w:t xml:space="preserve">6.5.21. Выходы из подштабельных тоннелей, предназначенных для транспортирования негорючих материалов и руды, следует предусматривать не реже чем через 100 м, но не менее двух, расположенных в торцах склада. Для устройства промежуточных выходов предусматриваются поперечные тоннели с переходами под продольными конвейерами или над ними и выходами за пределы склада.</w:t>
      </w:r>
    </w:p>
    <w:p>
      <w:pPr>
        <w:pStyle w:val="0"/>
        <w:spacing w:before="200" w:line-rule="auto"/>
        <w:ind w:firstLine="540"/>
        <w:jc w:val="both"/>
      </w:pPr>
      <w:r>
        <w:rPr>
          <w:sz w:val="20"/>
        </w:rPr>
        <w:t xml:space="preserve">6.5.22. Расстояние от тупикового конца тоннеля (включая кабельные) до ближайшего выхода надлежит назначать не более 25 м.</w:t>
      </w:r>
    </w:p>
    <w:p>
      <w:pPr>
        <w:pStyle w:val="0"/>
        <w:spacing w:before="200" w:line-rule="auto"/>
        <w:ind w:firstLine="540"/>
        <w:jc w:val="both"/>
      </w:pPr>
      <w:r>
        <w:rPr>
          <w:sz w:val="20"/>
        </w:rPr>
        <w:t xml:space="preserve">В тоннелях длиной до 50 м допускается предусматривать один выход при условии обеспечения длины от тупикового конца тоннеля до выхода не более 25 м.</w:t>
      </w:r>
    </w:p>
    <w:p>
      <w:pPr>
        <w:pStyle w:val="0"/>
        <w:spacing w:before="200" w:line-rule="auto"/>
        <w:ind w:firstLine="540"/>
        <w:jc w:val="both"/>
      </w:pPr>
      <w:r>
        <w:rPr>
          <w:sz w:val="20"/>
        </w:rPr>
        <w:t xml:space="preserve">6.5.23. Люки тоннелей не следует располагать на проездах, вплотную к зданиям, сооружениям, другим люкам и колодцам и ближе чем на 2 м от рельса железнодорожного пути.</w:t>
      </w:r>
    </w:p>
    <w:p>
      <w:pPr>
        <w:pStyle w:val="0"/>
        <w:spacing w:before="200" w:line-rule="auto"/>
        <w:ind w:firstLine="540"/>
        <w:jc w:val="both"/>
      </w:pPr>
      <w:r>
        <w:rPr>
          <w:sz w:val="20"/>
        </w:rPr>
        <w:t xml:space="preserve">6.5.24. Кабельные тоннели должны быть обеспечены независимой вентиляцией каждого отсека, автоматически отключающейся при подаче импульса от системы пожаротушения или от системы пожарной сигнализации.</w:t>
      </w:r>
    </w:p>
    <w:p>
      <w:pPr>
        <w:pStyle w:val="0"/>
        <w:spacing w:before="200" w:line-rule="auto"/>
        <w:ind w:firstLine="540"/>
        <w:jc w:val="both"/>
      </w:pPr>
      <w:r>
        <w:rPr>
          <w:sz w:val="20"/>
        </w:rPr>
        <w:t xml:space="preserve">6.5.25. Абзац исключен. - </w:t>
      </w:r>
      <w:hyperlink w:history="0" r:id="rId293"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w:t>
        </w:r>
      </w:hyperlink>
      <w:r>
        <w:rPr>
          <w:sz w:val="20"/>
        </w:rPr>
        <w:t xml:space="preserve"> МЧС России от 14.02.2020 N 89.</w:t>
      </w:r>
    </w:p>
    <w:p>
      <w:pPr>
        <w:pStyle w:val="0"/>
        <w:spacing w:before="200" w:line-rule="auto"/>
        <w:ind w:firstLine="540"/>
        <w:jc w:val="both"/>
      </w:pPr>
      <w:r>
        <w:rPr>
          <w:sz w:val="20"/>
        </w:rPr>
        <w:t xml:space="preserve">Для подачи средств пожаротушения внутрь каждого отсека от передвижной пожарной техники надлежит использовать выходы из тоннелей и вентиляционные шахты.</w:t>
      </w:r>
    </w:p>
    <w:p>
      <w:pPr>
        <w:pStyle w:val="0"/>
        <w:spacing w:before="200" w:line-rule="auto"/>
        <w:ind w:firstLine="540"/>
        <w:jc w:val="both"/>
      </w:pPr>
      <w:r>
        <w:rPr>
          <w:sz w:val="20"/>
        </w:rPr>
        <w:t xml:space="preserve">Если расстояние между выходами из тоннеля и вентиляционными шахтами превышает 30 м, должны быть предусмотрены дополнительные люки, расположенные таким образом, чтобы расстояние между местами подачи огнегасящего вещества внутрь тоннеля не превышало 30 м.</w:t>
      </w:r>
    </w:p>
    <w:p>
      <w:pPr>
        <w:pStyle w:val="0"/>
        <w:spacing w:before="200" w:line-rule="auto"/>
        <w:ind w:firstLine="540"/>
        <w:jc w:val="both"/>
      </w:pPr>
      <w:r>
        <w:rPr>
          <w:sz w:val="20"/>
        </w:rPr>
        <w:t xml:space="preserve">Люки для подачи средств пожаротушения должны иметь размеры не менее 700 x 700 мм или диаметр не менее 700 мм; люки должны закрываться двойными металлическими крышками, из которых нижняя должна иметь снаружи приспособление для закрывания на замок. Под крышками люка, предназначенного только для подачи средств пожаротушения, не должно быть лестниц или скоб.</w:t>
      </w:r>
    </w:p>
    <w:p>
      <w:pPr>
        <w:pStyle w:val="0"/>
        <w:spacing w:before="200" w:line-rule="auto"/>
        <w:ind w:firstLine="540"/>
        <w:jc w:val="both"/>
      </w:pPr>
      <w:r>
        <w:rPr>
          <w:sz w:val="20"/>
        </w:rPr>
        <w:t xml:space="preserve">При установке в тоннеле систем с сухотрубами и стационарных систем пожаротушения устройство дополнительных люков не требуется.</w:t>
      </w:r>
    </w:p>
    <w:p>
      <w:pPr>
        <w:pStyle w:val="0"/>
        <w:spacing w:before="200" w:line-rule="auto"/>
        <w:ind w:firstLine="540"/>
        <w:jc w:val="both"/>
      </w:pPr>
      <w:r>
        <w:rPr>
          <w:sz w:val="20"/>
        </w:rPr>
        <w:t xml:space="preserve">6.5.26. В тоннелях (кроме пешеходных и кабельных) допускается прокладка маслопроводов (например, в прокатных цехах заводов черной металлургии) при условии разделения тоннелей на отсеки длиной не более 150 м. Перегородки между отсеками должны иметь предел огнестойкости не менее EI 45, а двери в перегородках - не менее ЕI 30.</w:t>
      </w:r>
    </w:p>
    <w:p>
      <w:pPr>
        <w:pStyle w:val="0"/>
        <w:spacing w:before="200" w:line-rule="auto"/>
        <w:ind w:firstLine="540"/>
        <w:jc w:val="both"/>
      </w:pPr>
      <w:r>
        <w:rPr>
          <w:sz w:val="20"/>
        </w:rPr>
        <w:t xml:space="preserve">6.5.27. Кабельные тоннели и каналы необходимо выполнять из материалов НГ с пределом огнестойкости строительных конструкций не менее EI 45.</w:t>
      </w:r>
    </w:p>
    <w:p>
      <w:pPr>
        <w:pStyle w:val="0"/>
        <w:spacing w:before="200" w:line-rule="auto"/>
        <w:ind w:firstLine="540"/>
        <w:jc w:val="both"/>
      </w:pPr>
      <w:r>
        <w:rPr>
          <w:sz w:val="20"/>
        </w:rPr>
        <w:t xml:space="preserve">Кабельные тоннели надлежит разделять на отсеки противопожарными перегородками 2-го типа. Длина отсека тоннеля должна быть не более 150 м, а при маслонаполненных кабелях - не более 120 м.</w:t>
      </w:r>
    </w:p>
    <w:p>
      <w:pPr>
        <w:pStyle w:val="0"/>
        <w:jc w:val="both"/>
      </w:pPr>
      <w:r>
        <w:rPr>
          <w:sz w:val="20"/>
        </w:rPr>
        <w:t xml:space="preserve">(в ред. </w:t>
      </w:r>
      <w:hyperlink w:history="0" r:id="rId294"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Двери между отсеками должны быть противопожарными 3-го типа, самозакрывающимися без замков, иметь уплотнение в притворах и открываться в направлении ближайшего выхода.</w:t>
      </w:r>
    </w:p>
    <w:p>
      <w:pPr>
        <w:pStyle w:val="0"/>
        <w:jc w:val="both"/>
      </w:pPr>
      <w:r>
        <w:rPr>
          <w:sz w:val="20"/>
        </w:rPr>
        <w:t xml:space="preserve">(в ред. </w:t>
      </w:r>
      <w:hyperlink w:history="0" r:id="rId295"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6.5.28. Кабельные каналы проектируются со съемными перекрытиями из материалов группы горючести НГ.</w:t>
      </w:r>
    </w:p>
    <w:p>
      <w:pPr>
        <w:pStyle w:val="0"/>
        <w:spacing w:before="200" w:line-rule="auto"/>
        <w:ind w:firstLine="540"/>
        <w:jc w:val="both"/>
      </w:pPr>
      <w:r>
        <w:rPr>
          <w:sz w:val="20"/>
        </w:rPr>
        <w:t xml:space="preserve">Допускается в помещениях управления устраивать перекрытия кабельных каналов и конструкций фальшпола из материалов групп горючести Г1 - Г4, защищенными снизу материалами группы горючести НГ или Г1, обеспечивающими предел огнестойкости указанных конструкций не менее REI 45.</w:t>
      </w:r>
    </w:p>
    <w:p>
      <w:pPr>
        <w:pStyle w:val="0"/>
        <w:jc w:val="both"/>
      </w:pPr>
      <w:r>
        <w:rPr>
          <w:sz w:val="20"/>
        </w:rPr>
        <w:t xml:space="preserve">(п. 6.5.28 в ред. </w:t>
      </w:r>
      <w:hyperlink w:history="0" r:id="rId296"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6.5.29 - 6.5.36. Утратили силу. - </w:t>
      </w:r>
      <w:hyperlink w:history="0" r:id="rId297"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w:t>
        </w:r>
      </w:hyperlink>
      <w:r>
        <w:rPr>
          <w:sz w:val="20"/>
        </w:rPr>
        <w:t xml:space="preserve"> МЧС России от 14.02.2020 N 89.</w:t>
      </w:r>
    </w:p>
    <w:p>
      <w:pPr>
        <w:pStyle w:val="0"/>
        <w:spacing w:before="200" w:line-rule="auto"/>
        <w:ind w:firstLine="540"/>
        <w:jc w:val="both"/>
      </w:pPr>
      <w:r>
        <w:rPr>
          <w:sz w:val="20"/>
        </w:rPr>
        <w:t xml:space="preserve">6.5.37. Для стока из кольцевого пространства, образованного стальным кольцевым барьером и стеной резервуара, атмосферных вод и раствора пенообразователя после пожаротушения в нижней части барьера необходимо предусматривать дренажные отверстия диаметром 30 мм, расположенные на расстоянии 1 м одно от другого по периметру.</w:t>
      </w:r>
    </w:p>
    <w:p>
      <w:pPr>
        <w:pStyle w:val="0"/>
        <w:spacing w:before="200" w:line-rule="auto"/>
        <w:ind w:firstLine="540"/>
        <w:jc w:val="both"/>
      </w:pPr>
      <w:r>
        <w:rPr>
          <w:sz w:val="20"/>
        </w:rPr>
        <w:t xml:space="preserve">6.5.38. Силосные корпуса, отдельно стоящие силосы, надсилосные галереи, надстройки (выше уровня надсилосного перекрытия) допускается проектировать из металлических несущих и ограждающих конструкций с пределом огнестойкости не менее R15 и E15 соответственно и класса пожарной опасности строительных конструкций не ниже К0.</w:t>
      </w:r>
    </w:p>
    <w:p>
      <w:pPr>
        <w:pStyle w:val="0"/>
        <w:jc w:val="both"/>
      </w:pPr>
      <w:r>
        <w:rPr>
          <w:sz w:val="20"/>
        </w:rPr>
        <w:t xml:space="preserve">(в ред. </w:t>
      </w:r>
      <w:hyperlink w:history="0" r:id="rId298"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Для стальных колонн и перекрытий надстроек, кроме двух верхних этажей, а также для несущих конструкций подсилосных этажей (колонн и балок под стены силосов) должна предусматриваться огнезащита, обеспечивающая предел огнестойкости этих конструкций не менее R 45.</w:t>
      </w:r>
    </w:p>
    <w:p>
      <w:pPr>
        <w:pStyle w:val="0"/>
        <w:spacing w:before="200" w:line-rule="auto"/>
        <w:ind w:firstLine="540"/>
        <w:jc w:val="both"/>
      </w:pPr>
      <w:r>
        <w:rPr>
          <w:sz w:val="20"/>
        </w:rPr>
        <w:t xml:space="preserve">6.5.39. Из надсилосных помещений надлежит предусматривать не менее двух эвакуационных выходов. Эвакуационные лестницы надлежит проектировать с шириной марша не менее 0,8 м и с уклоном не более 1:1. Наружные стальные маршевые лестницы, используемые для эвакуации людей, надлежит проектировать шириной не менее 0,7 м с уклоном маршей не более 1:1, ограждением высотой 1,0 м и площадками, расположенными по высоте на расстоянии не более 8 м.</w:t>
      </w:r>
    </w:p>
    <w:p>
      <w:pPr>
        <w:pStyle w:val="0"/>
        <w:spacing w:before="200" w:line-rule="auto"/>
        <w:ind w:firstLine="540"/>
        <w:jc w:val="both"/>
      </w:pPr>
      <w:r>
        <w:rPr>
          <w:sz w:val="20"/>
        </w:rPr>
        <w:t xml:space="preserve">6.5.40. Расстояние от наиболее удаленной части надсилосного помещения до ближайшего выхода на наружную лестницу или лестничную клетку должно быть не более 75 м. При хранении в силосах негорючих материалов это расстояние допускается увеличивать до 100 м.</w:t>
      </w:r>
    </w:p>
    <w:p>
      <w:pPr>
        <w:pStyle w:val="0"/>
        <w:spacing w:before="200" w:line-rule="auto"/>
        <w:ind w:firstLine="540"/>
        <w:jc w:val="both"/>
      </w:pPr>
      <w:r>
        <w:rPr>
          <w:sz w:val="20"/>
        </w:rPr>
        <w:t xml:space="preserve">6.5.41. Из надъемкостной части угольной башни надлежит предусматривать не менее двух выходов, при этом допускается предусматривать лестничную клетку за пределами башни. В качестве второго эвакуационного выхода допускается использовать конвейерную галерею для подачи шихты (при площади помещений до 300 м</w:t>
      </w:r>
      <w:r>
        <w:rPr>
          <w:sz w:val="20"/>
          <w:vertAlign w:val="superscript"/>
        </w:rPr>
        <w:t xml:space="preserve">2</w:t>
      </w:r>
      <w:r>
        <w:rPr>
          <w:sz w:val="20"/>
        </w:rPr>
        <w:t xml:space="preserve">), которая должна выполняться из материалов НГ и отвечать требованиям, предъявляемым к путям эвакуации.</w:t>
      </w:r>
    </w:p>
    <w:p>
      <w:pPr>
        <w:pStyle w:val="0"/>
        <w:spacing w:before="200" w:line-rule="auto"/>
        <w:ind w:firstLine="540"/>
        <w:jc w:val="both"/>
      </w:pPr>
      <w:r>
        <w:rPr>
          <w:sz w:val="20"/>
        </w:rPr>
        <w:t xml:space="preserve">Лестница до уровня верха коксовой батареи должна быть из железобетонных ступеней по стальным косоурам, а выше - из стали с уклоном маршей 1:1. Кроме того, должны предусматриваться лестница для выхода на кровлю и ограждение кровли.</w:t>
      </w:r>
    </w:p>
    <w:p>
      <w:pPr>
        <w:pStyle w:val="0"/>
        <w:spacing w:before="200" w:line-rule="auto"/>
        <w:ind w:firstLine="540"/>
        <w:jc w:val="both"/>
      </w:pPr>
      <w:r>
        <w:rPr>
          <w:sz w:val="20"/>
        </w:rPr>
        <w:t xml:space="preserve">6.5.42. В угольных башнях должен быть предусмотрен грузопассажирский лифт до надъемкостной части.</w:t>
      </w:r>
    </w:p>
    <w:p>
      <w:pPr>
        <w:pStyle w:val="0"/>
        <w:spacing w:before="200" w:line-rule="auto"/>
        <w:ind w:firstLine="540"/>
        <w:jc w:val="both"/>
      </w:pPr>
      <w:r>
        <w:rPr>
          <w:sz w:val="20"/>
        </w:rPr>
        <w:t xml:space="preserve">6.5.43. Для обеспечения пожарной безопасности необходимо предусматривать в помещениях угольной башни пожарно-питьевой водопровод.</w:t>
      </w:r>
    </w:p>
    <w:p>
      <w:pPr>
        <w:pStyle w:val="0"/>
        <w:spacing w:before="200" w:line-rule="auto"/>
        <w:ind w:firstLine="540"/>
        <w:jc w:val="both"/>
      </w:pPr>
      <w:r>
        <w:rPr>
          <w:sz w:val="20"/>
        </w:rPr>
        <w:t xml:space="preserve">6.5.44. Колонны этажерок и площадок, размещаемых в зданиях I, II и III степеней огнестойкости, проектируются из материалов НГ, а в зданиях IV степени огнестойкости - из материалов НГ или группы горючести Г1. Перекрытия этажерок и площадок, размещаемых в зданиях I и II степеней огнестойкости, проектируются из материалов НГ, а в зданиях III и IV степеней огнестойкости - из материалов НГ или группы горючести Г1.</w:t>
      </w:r>
    </w:p>
    <w:p>
      <w:pPr>
        <w:pStyle w:val="0"/>
        <w:spacing w:before="200" w:line-rule="auto"/>
        <w:ind w:firstLine="540"/>
        <w:jc w:val="both"/>
      </w:pPr>
      <w:r>
        <w:rPr>
          <w:sz w:val="20"/>
        </w:rPr>
        <w:t xml:space="preserve">6.5.45. При наличии на наружных этажерках производств, размещаемых в помещениях категорий А, Б и В1 - В3, или оборудования, выделяющего вредные вещества, для указанных помещений следует предусматривать специальные мероприятия, обеспечивающие пожарную и взрывопожарную безопасность и исключающие воздействие вредных веществ на работающих (герметизацию, подпор воздуха, устройства шлюзов, сигнализацию и т.п.).</w:t>
      </w:r>
    </w:p>
    <w:p>
      <w:pPr>
        <w:pStyle w:val="0"/>
        <w:spacing w:before="200" w:line-rule="auto"/>
        <w:ind w:firstLine="540"/>
        <w:jc w:val="both"/>
      </w:pPr>
      <w:r>
        <w:rPr>
          <w:sz w:val="20"/>
        </w:rPr>
        <w:t xml:space="preserve">6.5.46. Для конструкций стальных этажерок, размещаемых в зданиях с помещениями категорий А, Б и В1 - В3, следует предусматривать защиту, обеспечивающую предел огнестойкости этих конструкций не менее R 45. При этом должны быть предусмотрены средства автоматического пожаротушения.</w:t>
      </w:r>
    </w:p>
    <w:p>
      <w:pPr>
        <w:pStyle w:val="0"/>
        <w:spacing w:before="200" w:line-rule="auto"/>
        <w:ind w:firstLine="540"/>
        <w:jc w:val="both"/>
      </w:pPr>
      <w:r>
        <w:rPr>
          <w:sz w:val="20"/>
        </w:rPr>
        <w:t xml:space="preserve">В помещениях категорий А и Б предусматривается защита отдельных стальных конструкций от искрообразования.</w:t>
      </w:r>
    </w:p>
    <w:p>
      <w:pPr>
        <w:pStyle w:val="0"/>
        <w:spacing w:before="200" w:line-rule="auto"/>
        <w:ind w:firstLine="540"/>
        <w:jc w:val="both"/>
      </w:pPr>
      <w:r>
        <w:rPr>
          <w:sz w:val="20"/>
        </w:rPr>
        <w:t xml:space="preserve">6.5.47. Наружные этажерки, на которых располагаются оборудование или трубопроводы, содержащие легковоспламеняющиеся и горючие жидкости и горючие газы, выполняются железобетонными. В стальных этажерках первый ярус, включая перекрытие, но на высоту не менее 4 м надлежит защищать от воздействия высокой температуры. Предел огнестойкости защищенных конструкций должен быть не менее R 45.</w:t>
      </w:r>
    </w:p>
    <w:p>
      <w:pPr>
        <w:pStyle w:val="0"/>
        <w:spacing w:before="200" w:line-rule="auto"/>
        <w:ind w:firstLine="540"/>
        <w:jc w:val="both"/>
      </w:pPr>
      <w:r>
        <w:rPr>
          <w:sz w:val="20"/>
        </w:rPr>
        <w:t xml:space="preserve">Допускается применять незащищенные стальные конструкции этажерок при оборудовании их стационарными автоматическими установками пожаротушения.</w:t>
      </w:r>
    </w:p>
    <w:bookmarkStart w:id="1686" w:name="P1686"/>
    <w:bookmarkEnd w:id="1686"/>
    <w:p>
      <w:pPr>
        <w:pStyle w:val="0"/>
        <w:spacing w:before="200" w:line-rule="auto"/>
        <w:ind w:firstLine="540"/>
        <w:jc w:val="both"/>
      </w:pPr>
      <w:r>
        <w:rPr>
          <w:sz w:val="20"/>
        </w:rPr>
        <w:t xml:space="preserve">6.5.48. Площадь одного яруса наружной этажерки или технологической площадки с оборудованием производств, размещаемых в помещениях категорий А, Б и В1 - В3 по взрывопожарной и пожарной опасности, не должна превышать:</w:t>
      </w:r>
    </w:p>
    <w:p>
      <w:pPr>
        <w:pStyle w:val="0"/>
        <w:spacing w:before="200" w:line-rule="auto"/>
        <w:ind w:firstLine="540"/>
        <w:jc w:val="both"/>
      </w:pPr>
      <w:r>
        <w:rPr>
          <w:sz w:val="20"/>
        </w:rPr>
        <w:t xml:space="preserve">при высоте этажерки или площадки до 30 м - 5200 м</w:t>
      </w:r>
      <w:r>
        <w:rPr>
          <w:sz w:val="20"/>
          <w:vertAlign w:val="superscript"/>
        </w:rPr>
        <w:t xml:space="preserve">2</w:t>
      </w:r>
      <w:r>
        <w:rPr>
          <w:sz w:val="20"/>
        </w:rPr>
        <w:t xml:space="preserve">;</w:t>
      </w:r>
    </w:p>
    <w:p>
      <w:pPr>
        <w:pStyle w:val="0"/>
        <w:spacing w:before="200" w:line-rule="auto"/>
        <w:ind w:firstLine="540"/>
        <w:jc w:val="both"/>
      </w:pPr>
      <w:r>
        <w:rPr>
          <w:sz w:val="20"/>
        </w:rPr>
        <w:t xml:space="preserve">при высоте 30 м и более - 3000 м</w:t>
      </w:r>
      <w:r>
        <w:rPr>
          <w:sz w:val="20"/>
          <w:vertAlign w:val="superscript"/>
        </w:rPr>
        <w:t xml:space="preserve">2</w:t>
      </w:r>
      <w:r>
        <w:rPr>
          <w:sz w:val="20"/>
        </w:rPr>
        <w:t xml:space="preserve">.</w:t>
      </w:r>
    </w:p>
    <w:p>
      <w:pPr>
        <w:pStyle w:val="0"/>
        <w:spacing w:before="200" w:line-rule="auto"/>
        <w:ind w:firstLine="540"/>
        <w:jc w:val="both"/>
      </w:pPr>
      <w:r>
        <w:rPr>
          <w:sz w:val="20"/>
        </w:rPr>
        <w:t xml:space="preserve">При большей площади этажерки или площадки следует разделять на секции с разрывами между ними не менее 15 м.</w:t>
      </w:r>
    </w:p>
    <w:p>
      <w:pPr>
        <w:pStyle w:val="0"/>
        <w:spacing w:before="200" w:line-rule="auto"/>
        <w:ind w:firstLine="540"/>
        <w:jc w:val="both"/>
      </w:pPr>
      <w:r>
        <w:rPr>
          <w:sz w:val="20"/>
        </w:rPr>
        <w:t xml:space="preserve">Площадь этажерок и площадок с оборудованием производств, размещаемых в помещениях категорий Г и Д, не ограничивается.</w:t>
      </w:r>
    </w:p>
    <w:p>
      <w:pPr>
        <w:pStyle w:val="0"/>
        <w:spacing w:before="200" w:line-rule="auto"/>
        <w:ind w:firstLine="540"/>
        <w:jc w:val="both"/>
      </w:pPr>
      <w:r>
        <w:rPr>
          <w:sz w:val="20"/>
        </w:rPr>
        <w:t xml:space="preserve">Высотой этажерки или технологической площадки с оборудованием следует считать максимальную высоту оборудования или непосредственно этажерки, занимающих не менее 30% общей площади этажерки или площадки.</w:t>
      </w:r>
    </w:p>
    <w:p>
      <w:pPr>
        <w:pStyle w:val="0"/>
        <w:spacing w:before="200" w:line-rule="auto"/>
        <w:ind w:firstLine="540"/>
        <w:jc w:val="both"/>
      </w:pPr>
      <w:r>
        <w:rPr>
          <w:sz w:val="20"/>
        </w:rPr>
        <w:t xml:space="preserve">Предельные площади этажерок или технологических площадок относятся к этажеркам или площадкам с оборудованием и аппаратами, содержащими легковоспламеняющиеся и горючие жидкости и сжиженные горючие газы. Для этажерок и площадок с оборудованием, содержащим горючие газы в несжиженном состоянии, предельная площадь увеличивается в 1,5 раза.</w:t>
      </w:r>
    </w:p>
    <w:p>
      <w:pPr>
        <w:pStyle w:val="0"/>
        <w:spacing w:before="200" w:line-rule="auto"/>
        <w:ind w:firstLine="540"/>
        <w:jc w:val="both"/>
      </w:pPr>
      <w:r>
        <w:rPr>
          <w:sz w:val="20"/>
        </w:rPr>
        <w:t xml:space="preserve">Ширина этажерки или технологической площадки при высоте этажерки или площадки вместе с оборудованием на ней не более 18 м должна быть не более 48 м, при высоте более 18 м - не более 36 м.</w:t>
      </w:r>
    </w:p>
    <w:p>
      <w:pPr>
        <w:pStyle w:val="0"/>
        <w:spacing w:before="200" w:line-rule="auto"/>
        <w:ind w:firstLine="540"/>
        <w:jc w:val="both"/>
      </w:pPr>
      <w:r>
        <w:rPr>
          <w:sz w:val="20"/>
        </w:rPr>
        <w:t xml:space="preserve">Допускается увеличение предельных площадей одного яруса наружной этажерки или технологической площадки с оборудованием производств, размещаемых в помещениях категорий А, Б и В1 - В3 по взрывопожарной и пожарной опасности (при высоте этажерки или площадки до 30 м - до 25000 м</w:t>
      </w:r>
      <w:r>
        <w:rPr>
          <w:sz w:val="20"/>
          <w:vertAlign w:val="superscript"/>
        </w:rPr>
        <w:t xml:space="preserve">2</w:t>
      </w:r>
      <w:r>
        <w:rPr>
          <w:sz w:val="20"/>
        </w:rPr>
        <w:t xml:space="preserve">, при высоте 30 м и более - до 15000 м</w:t>
      </w:r>
      <w:r>
        <w:rPr>
          <w:sz w:val="20"/>
          <w:vertAlign w:val="superscript"/>
        </w:rPr>
        <w:t xml:space="preserve">2</w:t>
      </w:r>
      <w:r>
        <w:rPr>
          <w:sz w:val="20"/>
        </w:rPr>
        <w:t xml:space="preserve">) и ширины этажерки или технологической площадки (при высоте вместе с оборудованием на ней не более 18 м - не более 96 м, при высоте более 18 м - не более 72 м) при выполнении следующих требований:</w:t>
      </w:r>
    </w:p>
    <w:p>
      <w:pPr>
        <w:pStyle w:val="0"/>
        <w:spacing w:before="200" w:line-rule="auto"/>
        <w:ind w:firstLine="540"/>
        <w:jc w:val="both"/>
      </w:pPr>
      <w:r>
        <w:rPr>
          <w:sz w:val="20"/>
        </w:rPr>
        <w:t xml:space="preserve">обеспечить проезд по периметру наружной установки не менее чем с трех сторон;</w:t>
      </w:r>
    </w:p>
    <w:p>
      <w:pPr>
        <w:pStyle w:val="0"/>
        <w:spacing w:before="200" w:line-rule="auto"/>
        <w:ind w:firstLine="540"/>
        <w:jc w:val="both"/>
      </w:pPr>
      <w:r>
        <w:rPr>
          <w:sz w:val="20"/>
        </w:rPr>
        <w:t xml:space="preserve">расстояние между пожарными гидрантами, расположенными вдоль проездов для пожарной техники к наружной установке, предусмотреть не более 60 м;</w:t>
      </w:r>
    </w:p>
    <w:p>
      <w:pPr>
        <w:pStyle w:val="0"/>
        <w:spacing w:before="200" w:line-rule="auto"/>
        <w:ind w:firstLine="540"/>
        <w:jc w:val="both"/>
      </w:pPr>
      <w:r>
        <w:rPr>
          <w:sz w:val="20"/>
        </w:rPr>
        <w:t xml:space="preserve">для тушения пожаров на наружных этажерках или технологических площадках должна быть обеспечена возможность подачи огнетушащего вещества на любой участок установки, где возможно горение пожарной нагрузки;</w:t>
      </w:r>
    </w:p>
    <w:p>
      <w:pPr>
        <w:pStyle w:val="0"/>
        <w:spacing w:before="200" w:line-rule="auto"/>
        <w:ind w:firstLine="540"/>
        <w:jc w:val="both"/>
      </w:pPr>
      <w:r>
        <w:rPr>
          <w:sz w:val="20"/>
        </w:rPr>
        <w:t xml:space="preserve">необходимо предусмотреть стационарные установки водяного орошения и/или лафетные стволы для охлаждения аппаратов и оборудования наружных этажерок или технологических площадок в соответствии с </w:t>
      </w:r>
      <w:hyperlink w:history="0" r:id="rId299" w:tooltip="&quot;ГОСТ Р 12.3.047-2012. Национальный стандарт Российской Федерации. Система стандартов безопасности труда. Пожарная безопасность технологических процессов. Общие требования. Методы контроля&quot; (утв. и введены в действие Приказом Росстандарта от 27.12.2012 N 1971-ст) {КонсультантПлюс}">
        <w:r>
          <w:rPr>
            <w:sz w:val="20"/>
            <w:color w:val="0000ff"/>
          </w:rPr>
          <w:t xml:space="preserve">ГОСТ Р 12.3.047</w:t>
        </w:r>
      </w:hyperlink>
      <w:r>
        <w:rPr>
          <w:sz w:val="20"/>
        </w:rPr>
        <w:t xml:space="preserve">.</w:t>
      </w:r>
    </w:p>
    <w:p>
      <w:pPr>
        <w:pStyle w:val="0"/>
        <w:spacing w:before="200" w:line-rule="auto"/>
        <w:ind w:firstLine="540"/>
        <w:jc w:val="both"/>
      </w:pPr>
      <w:r>
        <w:rPr>
          <w:sz w:val="20"/>
        </w:rPr>
        <w:t xml:space="preserve">наружные этажерки или технологические площадки или их секции должны быть оборудованы системой пожарной сигнализации. Ручные пожарные извещатели следует устанавливать на путях эвакуации в местах, доступных для их включения при возникновении пожара, по периметру этажерок и площадок не более чем через 100 м и на расстоянии не менее 5 м от их границ;</w:t>
      </w:r>
    </w:p>
    <w:p>
      <w:pPr>
        <w:pStyle w:val="0"/>
        <w:spacing w:before="200" w:line-rule="auto"/>
        <w:ind w:firstLine="540"/>
        <w:jc w:val="both"/>
      </w:pPr>
      <w:r>
        <w:rPr>
          <w:sz w:val="20"/>
        </w:rPr>
        <w:t xml:space="preserve">обеспечить предел огнестойкости несущих конструкций площадок и этажерок, на которых расположено оборудование и аппараты, в которых обращаются сжиженные горючие газы, легковоспламеняющиеся и горючие жидкости, не менее R 120 на высоту отметки первого яруса, но не менее 12 м. При этом предел огнестойкости перекрытия первого яруса, на котором расположено такое оборудование и аппараты, должен составлять не менее REI 120;</w:t>
      </w:r>
    </w:p>
    <w:p>
      <w:pPr>
        <w:pStyle w:val="0"/>
        <w:spacing w:before="200" w:line-rule="auto"/>
        <w:ind w:firstLine="540"/>
        <w:jc w:val="both"/>
      </w:pPr>
      <w:r>
        <w:rPr>
          <w:sz w:val="20"/>
        </w:rPr>
        <w:t xml:space="preserve">обеспечить предел огнестойкости несущих конструкций не менее R 120 на высоту следующего яруса, обеспечивая при этом предел огнестойкости перекрытия этого яруса не менее REI 120, для многоярусных этажерок с перекрытиями, на которых возможно горение сжиженных горючих газов, легковоспламеняющихся и горючих жидкостей;</w:t>
      </w:r>
    </w:p>
    <w:p>
      <w:pPr>
        <w:pStyle w:val="0"/>
        <w:spacing w:before="200" w:line-rule="auto"/>
        <w:ind w:firstLine="540"/>
        <w:jc w:val="both"/>
      </w:pPr>
      <w:r>
        <w:rPr>
          <w:sz w:val="20"/>
        </w:rPr>
        <w:t xml:space="preserve">при разработке документа предварительного планирования действий по тушению пожаров и проведению аварийно-спасательных работ учесть превышение нормативных значений площади, ширины секций наружных этажерок или технологических площадок или их секций.</w:t>
      </w:r>
    </w:p>
    <w:p>
      <w:pPr>
        <w:pStyle w:val="0"/>
        <w:spacing w:before="200" w:line-rule="auto"/>
        <w:ind w:firstLine="540"/>
        <w:jc w:val="both"/>
      </w:pPr>
      <w:r>
        <w:rPr>
          <w:sz w:val="20"/>
        </w:rPr>
        <w:t xml:space="preserve">При этом в случае увеличения предельных площадей одного яруса наружной этажерки или технологической площадки с оборудованием производств, размещаемых в помещениях категорий А и Б по взрывопожарной и пожарной опасности, а также отсутствия возможности подачи огнетушащего вещества (имеющимися стационарными установками пожаротушения и/или передвижной пожарной техникой с учетом недопущения превышения опасных факторов пожара выше критических значений на личный состав пожарной охраны) на любой участок установки, где возможно горение пожарной нагрузки, для тушения пожаров необходимо предусматривать в том числе мобильные робототехнические комплексы пожаротушения по </w:t>
      </w:r>
      <w:hyperlink w:history="0" r:id="rId300" w:tooltip="&quot;ГОСТ Р 54344-2011. Национальный стандарт Российской Федерации. Техника пожарная. Мобильные робототехнические комплексы для проведения аварийно-спасательных работ и пожаротушения. Классификация. Общие технические требования. Методы испытаний&quot; (утв. и введен в действие Приказом Росстандарта от 28.06.2011 N 158-ст) (ред. от 11.06.2014) {КонсультантПлюс}">
        <w:r>
          <w:rPr>
            <w:sz w:val="20"/>
            <w:color w:val="0000ff"/>
          </w:rPr>
          <w:t xml:space="preserve">ГОСТ Р 54344</w:t>
        </w:r>
      </w:hyperlink>
      <w:r>
        <w:rPr>
          <w:sz w:val="20"/>
        </w:rPr>
        <w:t xml:space="preserve"> в количестве не менее 2 единиц. Мобильное робототехническое средство пожаротушения должно обеспечивать расход воды не менее 40 л/с, водного раствора пенообразователя не менее 30 л/с, в соответствии с проектным решением. Дальность компактной струи огнетушащего вещества (ОТВ) должна обеспечивать орошение аппаратов и оборудования наружных этажерок или технологических площадок по всей высоте с учетом орошения стационарными установками.</w:t>
      </w:r>
    </w:p>
    <w:p>
      <w:pPr>
        <w:pStyle w:val="0"/>
        <w:jc w:val="both"/>
      </w:pPr>
      <w:r>
        <w:rPr>
          <w:sz w:val="20"/>
        </w:rPr>
        <w:t xml:space="preserve">(п. 6.5.48 в ред. </w:t>
      </w:r>
      <w:hyperlink w:history="0" r:id="rId301"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6.5.49. Отдельно стоящие опоры и эстакады, по которым прокладываются трубопроводы с негорючими веществами, жидкостями или газами, допускается проектировать из материалов группы горючести не ниже Г2.</w:t>
      </w:r>
    </w:p>
    <w:p>
      <w:pPr>
        <w:pStyle w:val="0"/>
        <w:jc w:val="both"/>
      </w:pPr>
      <w:r>
        <w:rPr>
          <w:sz w:val="20"/>
        </w:rPr>
        <w:t xml:space="preserve">(в ред. </w:t>
      </w:r>
      <w:hyperlink w:history="0" r:id="rId302"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Конструкции отдельно стоящих опор и эстакад под трубопроводы с легковоспламеняющимися и горючими веществами, жидкостями и газами должны проектироваться из материалов НГ.</w:t>
      </w:r>
    </w:p>
    <w:p>
      <w:pPr>
        <w:pStyle w:val="0"/>
        <w:spacing w:before="200" w:line-rule="auto"/>
        <w:ind w:firstLine="540"/>
        <w:jc w:val="both"/>
      </w:pPr>
      <w:r>
        <w:rPr>
          <w:sz w:val="20"/>
        </w:rPr>
        <w:t xml:space="preserve">6.5.50. Надземные галереи, предназначенные для транспортирования не подверженных нагреву материалов или кусковых горючих материалов (торф, древесина), следует предусматривать не ниже IV степени огнестойкости и класса конструктивной пожарной опасности не ниже С2.</w:t>
      </w:r>
    </w:p>
    <w:p>
      <w:pPr>
        <w:pStyle w:val="0"/>
        <w:jc w:val="both"/>
      </w:pPr>
      <w:r>
        <w:rPr>
          <w:sz w:val="20"/>
        </w:rPr>
        <w:t xml:space="preserve">(в ред. </w:t>
      </w:r>
      <w:hyperlink w:history="0" r:id="rId303"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Несущие строительные конструкции конвейерных галерей и перегрузочных узлов при транспортировке горючих материалов следует предусматривать с пределом огнестойкости не ниже R45.</w:t>
      </w:r>
    </w:p>
    <w:p>
      <w:pPr>
        <w:pStyle w:val="0"/>
        <w:jc w:val="both"/>
      </w:pPr>
      <w:r>
        <w:rPr>
          <w:sz w:val="20"/>
        </w:rPr>
        <w:t xml:space="preserve">(в ред. </w:t>
      </w:r>
      <w:hyperlink w:history="0" r:id="rId304"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Для ограничения распространения пожара из галерей в смежные здания, сооружения должны быть предусмотрены:</w:t>
      </w:r>
    </w:p>
    <w:p>
      <w:pPr>
        <w:pStyle w:val="0"/>
        <w:spacing w:before="200" w:line-rule="auto"/>
        <w:ind w:firstLine="540"/>
        <w:jc w:val="both"/>
      </w:pPr>
      <w:r>
        <w:rPr>
          <w:sz w:val="20"/>
        </w:rPr>
        <w:t xml:space="preserve">- противопожарные преграды (шторы, занавесы) с пределом огнестойкости EI 30 в местах примыкания конструкций галерей к зданиям, сооружениям;</w:t>
      </w:r>
    </w:p>
    <w:p>
      <w:pPr>
        <w:pStyle w:val="0"/>
        <w:spacing w:before="200" w:line-rule="auto"/>
        <w:ind w:firstLine="540"/>
        <w:jc w:val="both"/>
      </w:pPr>
      <w:r>
        <w:rPr>
          <w:sz w:val="20"/>
        </w:rPr>
        <w:t xml:space="preserve">- противопожарные зоны шириной не менее 6 метров из негорючих материалов через каждые 100 м длины галереи, а также в местах их примыкания к зданиям, сооружениям.</w:t>
      </w:r>
    </w:p>
    <w:p>
      <w:pPr>
        <w:pStyle w:val="0"/>
        <w:jc w:val="both"/>
      </w:pPr>
      <w:r>
        <w:rPr>
          <w:sz w:val="20"/>
        </w:rPr>
        <w:t xml:space="preserve">(п. 6.5.50 в ред. </w:t>
      </w:r>
      <w:hyperlink w:history="0" r:id="rId305"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6.5.51. Для пешеходных галерей и эстакад конструкции предусматриваются из материалов НГ.</w:t>
      </w:r>
    </w:p>
    <w:p>
      <w:pPr>
        <w:pStyle w:val="0"/>
        <w:spacing w:before="200" w:line-rule="auto"/>
        <w:ind w:firstLine="540"/>
        <w:jc w:val="both"/>
      </w:pPr>
      <w:r>
        <w:rPr>
          <w:sz w:val="20"/>
        </w:rPr>
        <w:t xml:space="preserve">Выходы из пешеходных галерей предусматриваются не реже чем через 120 м.</w:t>
      </w:r>
    </w:p>
    <w:p>
      <w:pPr>
        <w:pStyle w:val="0"/>
        <w:spacing w:before="200" w:line-rule="auto"/>
        <w:ind w:firstLine="540"/>
        <w:jc w:val="both"/>
      </w:pPr>
      <w:r>
        <w:rPr>
          <w:sz w:val="20"/>
        </w:rPr>
        <w:t xml:space="preserve">6.5.52. В примыканиях галерей к перегрузочным узлам, которые совмещаются с противопожарными преградами, предусматриваются противопожарные перегородки 2-го типа с противопожарными дверями 3-го типа.</w:t>
      </w:r>
    </w:p>
    <w:p>
      <w:pPr>
        <w:pStyle w:val="0"/>
        <w:spacing w:before="200" w:line-rule="auto"/>
        <w:ind w:firstLine="540"/>
        <w:jc w:val="both"/>
      </w:pPr>
      <w:r>
        <w:rPr>
          <w:sz w:val="20"/>
        </w:rPr>
        <w:t xml:space="preserve">В отапливаемых галереях, предназначенных для транспортирования горючих материалов, предусматривается устройство дренчерной завесы в соответствии с </w:t>
      </w:r>
      <w:hyperlink w:history="0" r:id="rId306" w:tooltip="Приказ МЧС России от 31.08.2020 N 628 &quot;Об утверждении свода правил &quot;Системы противопожарной защиты. Установки пожаротушения автоматические. Нормы и правила проектирования&quot; (вместе с &quot;СП 485.1311500.2020. Свод правил. Системы противопожарной защиты. Установки пожаротушения автоматические. Нормы и правила проектирования&quot;) {КонсультантПлюс}">
        <w:r>
          <w:rPr>
            <w:sz w:val="20"/>
            <w:color w:val="0000ff"/>
          </w:rPr>
          <w:t xml:space="preserve">СП 485.1311500</w:t>
        </w:r>
      </w:hyperlink>
      <w:r>
        <w:rPr>
          <w:sz w:val="20"/>
        </w:rPr>
        <w:t xml:space="preserve">.</w:t>
      </w:r>
    </w:p>
    <w:p>
      <w:pPr>
        <w:pStyle w:val="0"/>
        <w:jc w:val="both"/>
      </w:pPr>
      <w:r>
        <w:rPr>
          <w:sz w:val="20"/>
        </w:rPr>
        <w:t xml:space="preserve">(в ред. </w:t>
      </w:r>
      <w:hyperlink w:history="0" r:id="rId307"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jc w:val="both"/>
      </w:pPr>
      <w:r>
        <w:rPr>
          <w:sz w:val="20"/>
        </w:rPr>
        <w:t xml:space="preserve">(п. 6.5.52 в ред. </w:t>
      </w:r>
      <w:hyperlink w:history="0" r:id="rId308"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6.5.53. Эвакуационные выходы из галерей с конструкциями из материалов Г предусматриваются не реже чем через 100 м. Для галерей с конструкциями из материалов НГ, а также для галерей с конструкциями из материалов Г, но предназначенных для транспортирования негорючих грузов, расстояние между эвакуационными выходами допускается увеличивать до 200 м. Расстояние от торца галереи до выхода не должно превышать 25 м.</w:t>
      </w:r>
    </w:p>
    <w:p>
      <w:pPr>
        <w:pStyle w:val="0"/>
        <w:spacing w:before="200" w:line-rule="auto"/>
        <w:ind w:firstLine="540"/>
        <w:jc w:val="both"/>
      </w:pPr>
      <w:r>
        <w:rPr>
          <w:sz w:val="20"/>
        </w:rPr>
        <w:t xml:space="preserve">Наружные лестницы допускается выполнять открытыми стальными с уклоном не более 1:1, шириной не менее 0,7 м.</w:t>
      </w:r>
    </w:p>
    <w:p>
      <w:pPr>
        <w:pStyle w:val="0"/>
        <w:jc w:val="both"/>
      </w:pPr>
      <w:r>
        <w:rPr>
          <w:sz w:val="20"/>
        </w:rPr>
        <w:t xml:space="preserve">(в ред. </w:t>
      </w:r>
      <w:hyperlink w:history="0" r:id="rId309"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6.5.54. Выходы из галерей допускается совмещать с перегрузочными узлами. В свободных объемах перегрузочных узлов допускается размещать вспомогательные помещения, предназначенные для рабочих данного перегрузочного узла.</w:t>
      </w:r>
    </w:p>
    <w:p>
      <w:pPr>
        <w:pStyle w:val="0"/>
        <w:spacing w:before="200" w:line-rule="auto"/>
        <w:ind w:firstLine="540"/>
        <w:jc w:val="both"/>
      </w:pPr>
      <w:r>
        <w:rPr>
          <w:sz w:val="20"/>
        </w:rPr>
        <w:t xml:space="preserve">Для помещений перегрузочных узлов площадью до 300 м</w:t>
      </w:r>
      <w:r>
        <w:rPr>
          <w:sz w:val="20"/>
          <w:vertAlign w:val="superscript"/>
        </w:rPr>
        <w:t xml:space="preserve">2</w:t>
      </w:r>
      <w:r>
        <w:rPr>
          <w:sz w:val="20"/>
        </w:rPr>
        <w:t xml:space="preserve">, в которых работает не более 5 чел. в смену, допускается предусматривать один эвакуационный выход на наружную маршевую стальную лестницу с уклоном не более 1:1, шириной не менее 0,7 м. Ограждающие конструкции лестницы должны быть материала НГ.</w:t>
      </w:r>
    </w:p>
    <w:p>
      <w:pPr>
        <w:pStyle w:val="0"/>
        <w:spacing w:before="200" w:line-rule="auto"/>
        <w:ind w:firstLine="540"/>
        <w:jc w:val="both"/>
      </w:pPr>
      <w:r>
        <w:rPr>
          <w:sz w:val="20"/>
        </w:rPr>
        <w:t xml:space="preserve">6.5.55. Ширину проходов в проходных кабельных галереях и эстакадах следует принимать не менее:</w:t>
      </w:r>
    </w:p>
    <w:p>
      <w:pPr>
        <w:pStyle w:val="0"/>
        <w:spacing w:before="200" w:line-rule="auto"/>
        <w:ind w:firstLine="540"/>
        <w:jc w:val="both"/>
      </w:pPr>
      <w:r>
        <w:rPr>
          <w:sz w:val="20"/>
        </w:rPr>
        <w:t xml:space="preserve">- 0,9 м - при одностороннем расположении кабелей,</w:t>
      </w:r>
    </w:p>
    <w:p>
      <w:pPr>
        <w:pStyle w:val="0"/>
        <w:spacing w:before="200" w:line-rule="auto"/>
        <w:ind w:firstLine="540"/>
        <w:jc w:val="both"/>
      </w:pPr>
      <w:r>
        <w:rPr>
          <w:sz w:val="20"/>
        </w:rPr>
        <w:t xml:space="preserve">- 1 м - при двустороннем.</w:t>
      </w:r>
    </w:p>
    <w:p>
      <w:pPr>
        <w:pStyle w:val="0"/>
        <w:spacing w:before="200" w:line-rule="auto"/>
        <w:ind w:firstLine="540"/>
        <w:jc w:val="both"/>
      </w:pPr>
      <w:r>
        <w:rPr>
          <w:sz w:val="20"/>
        </w:rPr>
        <w:t xml:space="preserve">6.5.56. При проектировании кабельных эстакад и галерей, предназначенных для прокладки кабелей для питания электроприемников I и II категорий, необходимо предусматривать основные несущие строительные конструкции с пределом огнестойкости не менее R 45.</w:t>
      </w:r>
    </w:p>
    <w:p>
      <w:pPr>
        <w:pStyle w:val="0"/>
        <w:spacing w:before="200" w:line-rule="auto"/>
        <w:ind w:firstLine="540"/>
        <w:jc w:val="both"/>
      </w:pPr>
      <w:r>
        <w:rPr>
          <w:sz w:val="20"/>
        </w:rPr>
        <w:t xml:space="preserve">При проектировании комбинированных галерей и эстакад, предназначенных для прокладки кабелей и трубопроводов, транспортирующих ЛВЖ, ГЖ и ГГ необходимо предусматривать основные несущие строительные конструкции с пределом огнестойкости не менее R 45.</w:t>
      </w:r>
    </w:p>
    <w:p>
      <w:pPr>
        <w:pStyle w:val="0"/>
        <w:spacing w:before="200" w:line-rule="auto"/>
        <w:ind w:firstLine="540"/>
        <w:jc w:val="both"/>
      </w:pPr>
      <w:r>
        <w:rPr>
          <w:sz w:val="20"/>
        </w:rPr>
        <w:t xml:space="preserve">В остальных случаях при проектировании кабельных эстакад и галерей, а также комбинированных галерей и эстакад, предназначенных для прокладки трубопроводов, транспортирующих негорючие вещества, необходимо предусматривать основные несущие строительные конструкции с пределом огнестойкости не менее R 15.</w:t>
      </w:r>
    </w:p>
    <w:p>
      <w:pPr>
        <w:pStyle w:val="0"/>
        <w:spacing w:before="200" w:line-rule="auto"/>
        <w:ind w:firstLine="540"/>
        <w:jc w:val="both"/>
      </w:pPr>
      <w:r>
        <w:rPr>
          <w:sz w:val="20"/>
        </w:rPr>
        <w:t xml:space="preserve">Ограждающие конструкции галерей следует предусматривать с пределом огнестойкости не менее E15 и класса пожарной опасности не ниже К2.</w:t>
      </w:r>
    </w:p>
    <w:p>
      <w:pPr>
        <w:pStyle w:val="0"/>
        <w:jc w:val="both"/>
      </w:pPr>
      <w:r>
        <w:rPr>
          <w:sz w:val="20"/>
        </w:rPr>
        <w:t xml:space="preserve">(п. 6.5.56 в ред. </w:t>
      </w:r>
      <w:hyperlink w:history="0" r:id="rId310"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6.5.57. Закрытые кабельные и комбинированные галереи в местах сопряжения между собой и в местах примыкания их к производственным помещениям и сооружениям следует разделять глухими противопожарными перегородками или перегородками с противопожарными дверями.</w:t>
      </w:r>
    </w:p>
    <w:p>
      <w:pPr>
        <w:pStyle w:val="0"/>
        <w:spacing w:before="200" w:line-rule="auto"/>
        <w:ind w:firstLine="540"/>
        <w:jc w:val="both"/>
      </w:pPr>
      <w:r>
        <w:rPr>
          <w:sz w:val="20"/>
        </w:rPr>
        <w:t xml:space="preserve">6.5.58. При размещении кабельных и комбинированных галерей и эстакад параллельно зданиям и сооружениям с глухими стенами из материалов НГ с пределом огнестойкости не менее REI 45 расстояние между ними не нормируется. В этом случае стена здания может быть использована как ограждающая конструкция галереи. При расположении эстакады непосредственно у стен здания кабели должны быть защищены от стока воды с кровли и от сбрасываемого с нее снега.</w:t>
      </w:r>
    </w:p>
    <w:p>
      <w:pPr>
        <w:pStyle w:val="0"/>
        <w:spacing w:before="200" w:line-rule="auto"/>
        <w:ind w:firstLine="540"/>
        <w:jc w:val="both"/>
      </w:pPr>
      <w:r>
        <w:rPr>
          <w:sz w:val="20"/>
        </w:rPr>
        <w:t xml:space="preserve">6.5.59. При совмещении кабелей и трубопроводов в одной галерее или на эстакаде расстояние между трубопроводами и кабельными конструкциями должно быть не менее 0,5 м. В случае совмещенной прокладки кабелей с трубопроводами с ГГ, с ЛВЖ и ГЖ необходимо соблюдать одно из следующих требований:</w:t>
      </w:r>
    </w:p>
    <w:p>
      <w:pPr>
        <w:pStyle w:val="0"/>
        <w:spacing w:before="200" w:line-rule="auto"/>
        <w:ind w:firstLine="540"/>
        <w:jc w:val="both"/>
      </w:pPr>
      <w:r>
        <w:rPr>
          <w:sz w:val="20"/>
        </w:rPr>
        <w:t xml:space="preserve">- обеспечение расстояния от трубопроводов с ГГ и ЛВЖ до кабельных конструкций не менее 3 м;</w:t>
      </w:r>
    </w:p>
    <w:p>
      <w:pPr>
        <w:pStyle w:val="0"/>
        <w:jc w:val="both"/>
      </w:pPr>
      <w:r>
        <w:rPr>
          <w:sz w:val="20"/>
        </w:rPr>
        <w:t xml:space="preserve">(в ред. </w:t>
      </w:r>
      <w:hyperlink w:history="0" r:id="rId311"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 выполнение огнезащитного экрана между кабельными конструкциями и трубопроводами с ГГ и ЛВЖ с пределом огнестойкости не менее EI 15;</w:t>
      </w:r>
    </w:p>
    <w:p>
      <w:pPr>
        <w:pStyle w:val="0"/>
        <w:jc w:val="both"/>
      </w:pPr>
      <w:r>
        <w:rPr>
          <w:sz w:val="20"/>
        </w:rPr>
        <w:t xml:space="preserve">(в ред. </w:t>
      </w:r>
      <w:hyperlink w:history="0" r:id="rId312"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 применение бронированных кабелей.</w:t>
      </w:r>
    </w:p>
    <w:p>
      <w:pPr>
        <w:pStyle w:val="0"/>
        <w:jc w:val="both"/>
      </w:pPr>
      <w:r>
        <w:rPr>
          <w:sz w:val="20"/>
        </w:rPr>
        <w:t xml:space="preserve">(п. 6.5.59 в ред. </w:t>
      </w:r>
      <w:hyperlink w:history="0" r:id="rId313"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6.5.60. Наружные кабельные галереи и эстакады должны быть обеспечены молниезащитой.</w:t>
      </w:r>
    </w:p>
    <w:p>
      <w:pPr>
        <w:pStyle w:val="0"/>
        <w:spacing w:before="200" w:line-rule="auto"/>
        <w:ind w:firstLine="540"/>
        <w:jc w:val="both"/>
      </w:pPr>
      <w:r>
        <w:rPr>
          <w:sz w:val="20"/>
        </w:rPr>
        <w:t xml:space="preserve">6.5.61. Кабельные галереи должны быть вентилируемыми, необходимость вентиляции с механическим побуждением должна определяться расчетом.</w:t>
      </w:r>
    </w:p>
    <w:p>
      <w:pPr>
        <w:pStyle w:val="0"/>
        <w:spacing w:before="200" w:line-rule="auto"/>
        <w:ind w:firstLine="540"/>
        <w:jc w:val="both"/>
      </w:pPr>
      <w:r>
        <w:rPr>
          <w:sz w:val="20"/>
        </w:rPr>
        <w:t xml:space="preserve">Вентиляционные устройства галерей должны быть оборудованы заслонками для предотвращения доступа воздуха в случае возникновения пожара.</w:t>
      </w:r>
    </w:p>
    <w:p>
      <w:pPr>
        <w:pStyle w:val="0"/>
        <w:spacing w:before="200" w:line-rule="auto"/>
        <w:ind w:firstLine="540"/>
        <w:jc w:val="both"/>
      </w:pPr>
      <w:r>
        <w:rPr>
          <w:sz w:val="20"/>
        </w:rPr>
        <w:t xml:space="preserve">6.5.62. Кабельные и комбинированные (с прокладкой кабелей) галереи разделяются на пожарные секции противопожарными перегородками 1-го типа с противопожарными дверями 2-го типа.</w:t>
      </w:r>
    </w:p>
    <w:p>
      <w:pPr>
        <w:pStyle w:val="0"/>
        <w:jc w:val="both"/>
      </w:pPr>
      <w:r>
        <w:rPr>
          <w:sz w:val="20"/>
        </w:rPr>
        <w:t xml:space="preserve">(в ред. </w:t>
      </w:r>
      <w:hyperlink w:history="0" r:id="rId314"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Предельная длина отсеков - 150 м, а в галереях для маслонаполненных кабелей - 120 м.</w:t>
      </w:r>
    </w:p>
    <w:p>
      <w:pPr>
        <w:pStyle w:val="0"/>
        <w:spacing w:before="200" w:line-rule="auto"/>
        <w:ind w:firstLine="540"/>
        <w:jc w:val="both"/>
      </w:pPr>
      <w:r>
        <w:rPr>
          <w:sz w:val="20"/>
        </w:rPr>
        <w:t xml:space="preserve">Такие перегородки должны предусматриваться также в местах примыкания галерей к зданиям.</w:t>
      </w:r>
    </w:p>
    <w:p>
      <w:pPr>
        <w:pStyle w:val="0"/>
        <w:spacing w:before="200" w:line-rule="auto"/>
        <w:ind w:firstLine="540"/>
        <w:jc w:val="both"/>
      </w:pPr>
      <w:r>
        <w:rPr>
          <w:sz w:val="20"/>
        </w:rPr>
        <w:t xml:space="preserve">6.5.63. Расстояния между выходами в кабельных и комбинированных галереях должны быть не более 150 м, а на эстакадах - не более 300 м. Расстояние от торца эстакад или галерей до выхода не должно превышать 25 м.</w:t>
      </w:r>
    </w:p>
    <w:p>
      <w:pPr>
        <w:pStyle w:val="0"/>
        <w:spacing w:before="200" w:line-rule="auto"/>
        <w:ind w:firstLine="540"/>
        <w:jc w:val="both"/>
      </w:pPr>
      <w:r>
        <w:rPr>
          <w:sz w:val="20"/>
        </w:rPr>
        <w:t xml:space="preserve">6.5.64. Для выхода с галерей и эстакад предусматриваются открытые стальные лестницы с уклоном не более 1:1 и шириной не менее 0,7 м.</w:t>
      </w:r>
    </w:p>
    <w:p>
      <w:pPr>
        <w:pStyle w:val="0"/>
        <w:spacing w:before="200" w:line-rule="auto"/>
        <w:ind w:firstLine="540"/>
        <w:jc w:val="both"/>
      </w:pPr>
      <w:r>
        <w:rPr>
          <w:sz w:val="20"/>
        </w:rPr>
        <w:t xml:space="preserve">Двери должны открываться наружу и снабжаться самозапирающимися замками, открываемыми без ключа изнутри галереи, эстакады или с системой "антипаника".</w:t>
      </w:r>
    </w:p>
    <w:p>
      <w:pPr>
        <w:pStyle w:val="0"/>
        <w:spacing w:before="200" w:line-rule="auto"/>
        <w:ind w:firstLine="540"/>
        <w:jc w:val="both"/>
      </w:pPr>
      <w:r>
        <w:rPr>
          <w:sz w:val="20"/>
        </w:rPr>
        <w:t xml:space="preserve">Двери, ведущие наружу (на территорию предприятия, населенного пункта и т.п.), допускается выполнять из материалов групп горючести Г1 - Г4.</w:t>
      </w:r>
    </w:p>
    <w:p>
      <w:pPr>
        <w:pStyle w:val="0"/>
        <w:spacing w:before="200" w:line-rule="auto"/>
        <w:ind w:firstLine="540"/>
        <w:jc w:val="both"/>
      </w:pPr>
      <w:r>
        <w:rPr>
          <w:sz w:val="20"/>
        </w:rPr>
        <w:t xml:space="preserve">Внутренние двери должны быть противопожарными не ниже 2-го типа.</w:t>
      </w:r>
    </w:p>
    <w:p>
      <w:pPr>
        <w:pStyle w:val="0"/>
        <w:jc w:val="both"/>
      </w:pPr>
      <w:r>
        <w:rPr>
          <w:sz w:val="20"/>
        </w:rPr>
        <w:t xml:space="preserve">(п. 6.5.64 в ред. </w:t>
      </w:r>
      <w:hyperlink w:history="0" r:id="rId315"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6.5.65. Башенные копры допускается блокировать с надшахтными зданиями, дозировочно-аккумулирующими бункерами, административно-бытовыми помещениями. Указанные помещения должны отделяться от башенных копров противопожарными преградами.</w:t>
      </w:r>
    </w:p>
    <w:p>
      <w:pPr>
        <w:pStyle w:val="0"/>
        <w:spacing w:before="200" w:line-rule="auto"/>
        <w:ind w:firstLine="540"/>
        <w:jc w:val="both"/>
      </w:pPr>
      <w:r>
        <w:rPr>
          <w:sz w:val="20"/>
        </w:rPr>
        <w:t xml:space="preserve">При блокировании башенного копра с другими зданиями и помещениями следует обеспечивать доступ к монтажным проемам в стенах копра.</w:t>
      </w:r>
    </w:p>
    <w:p>
      <w:pPr>
        <w:pStyle w:val="0"/>
        <w:spacing w:before="200" w:line-rule="auto"/>
        <w:ind w:firstLine="540"/>
        <w:jc w:val="both"/>
      </w:pPr>
      <w:r>
        <w:rPr>
          <w:sz w:val="20"/>
        </w:rPr>
        <w:t xml:space="preserve">Блокировать башенные копры с помещениями, связанными с применением и хранением горючих материалов, легковоспламеняющихся и горючих жидкостей и горючих газов, не допускается.</w:t>
      </w:r>
    </w:p>
    <w:p>
      <w:pPr>
        <w:pStyle w:val="0"/>
        <w:spacing w:before="200" w:line-rule="auto"/>
        <w:ind w:firstLine="540"/>
        <w:jc w:val="both"/>
      </w:pPr>
      <w:r>
        <w:rPr>
          <w:sz w:val="20"/>
        </w:rPr>
        <w:t xml:space="preserve">6.5.66. В башенных копрах, помещения которых имеют непосредственную связь со стволом и отнесены к категории А по взрывопожарной и пожарной опасности, предусматриваются вентиляционные противометановые камеры высотой не менее 2,0 м, исключающие возможность появления взрывоопасных концентраций метана в машинных залах.</w:t>
      </w:r>
    </w:p>
    <w:p>
      <w:pPr>
        <w:pStyle w:val="0"/>
        <w:spacing w:before="200" w:line-rule="auto"/>
        <w:ind w:firstLine="540"/>
        <w:jc w:val="both"/>
      </w:pPr>
      <w:r>
        <w:rPr>
          <w:sz w:val="20"/>
        </w:rPr>
        <w:t xml:space="preserve">6.5.67. Лестницы принимаются железобетонными или стальными с защитой, обеспечивающей требуемый предел огнестойкости. Уклон стальных лестниц надлежит принимать не менее 1:1. В стесненных местах допускается увеличение уклона стальных лестниц до 1,7:1. Ограждающие конструкции лестничных клеток должны быть предусмотрены с пределом огнестойкости не менее REI 45 и соответствовать классу пожарной опасности строительных конструкций К0.</w:t>
      </w:r>
    </w:p>
    <w:p>
      <w:pPr>
        <w:pStyle w:val="0"/>
        <w:jc w:val="both"/>
      </w:pPr>
      <w:r>
        <w:rPr>
          <w:sz w:val="20"/>
        </w:rPr>
        <w:t xml:space="preserve">(в ред. </w:t>
      </w:r>
      <w:hyperlink w:history="0" r:id="rId316"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6.5.68. Сообщение между этажами башенных копров предусматривается при помощи лифта и лестниц. Кроме того, башенные копры должны проектироваться с наружными пожарными эвакуационными лестницами с входами в помещения на каждом этаже.</w:t>
      </w:r>
    </w:p>
    <w:p>
      <w:pPr>
        <w:pStyle w:val="0"/>
        <w:spacing w:before="200" w:line-rule="auto"/>
        <w:ind w:firstLine="540"/>
        <w:jc w:val="both"/>
      </w:pPr>
      <w:r>
        <w:rPr>
          <w:sz w:val="20"/>
        </w:rPr>
        <w:t xml:space="preserve">6.5.69. Выходы из лестничной клетки в помещения категорий А и Б по взрывопожарной опасности предусматриваются через тамбур-шлюз 1-го типа.</w:t>
      </w:r>
    </w:p>
    <w:p>
      <w:pPr>
        <w:pStyle w:val="0"/>
        <w:jc w:val="both"/>
      </w:pPr>
      <w:r>
        <w:rPr>
          <w:sz w:val="20"/>
        </w:rPr>
        <w:t xml:space="preserve">(п. 6.5.69 в ред. </w:t>
      </w:r>
      <w:hyperlink w:history="0" r:id="rId317"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6.5.70. При выборе теплоизоляционных материалов и покровных слоев учитывается стойкость элементов теплоизоляционной конструкции к химически агрессивным факторам окружающей среды, включая возможное воздействие веществ, содержащихся в изолируемом объекте.</w:t>
      </w:r>
    </w:p>
    <w:p>
      <w:pPr>
        <w:pStyle w:val="0"/>
        <w:spacing w:before="200" w:line-rule="auto"/>
        <w:ind w:firstLine="540"/>
        <w:jc w:val="both"/>
      </w:pPr>
      <w:r>
        <w:rPr>
          <w:sz w:val="20"/>
        </w:rPr>
        <w:t xml:space="preserve">Не допускается применение теплоизоляционных материалов, содержащих органические вещества, для изоляции конструкций оборудования и трубопроводов, содержащих сильные окислители (жидкий кислород).</w:t>
      </w:r>
    </w:p>
    <w:p>
      <w:pPr>
        <w:pStyle w:val="0"/>
        <w:spacing w:before="200" w:line-rule="auto"/>
        <w:ind w:firstLine="540"/>
        <w:jc w:val="both"/>
      </w:pPr>
      <w:r>
        <w:rPr>
          <w:sz w:val="20"/>
        </w:rPr>
        <w:t xml:space="preserve">Абзац исключен. - </w:t>
      </w:r>
      <w:hyperlink w:history="0" r:id="rId318"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w:t>
        </w:r>
      </w:hyperlink>
      <w:r>
        <w:rPr>
          <w:sz w:val="20"/>
        </w:rPr>
        <w:t xml:space="preserve"> МЧС России от 14.02.2020 N 89.</w:t>
      </w:r>
    </w:p>
    <w:p>
      <w:pPr>
        <w:pStyle w:val="0"/>
        <w:spacing w:before="200" w:line-rule="auto"/>
        <w:ind w:firstLine="540"/>
        <w:jc w:val="both"/>
      </w:pPr>
      <w:r>
        <w:rPr>
          <w:sz w:val="20"/>
        </w:rPr>
        <w:t xml:space="preserve">6.5.71. Теплоизоляционные конструкции из материалов с группой горючести Г3 и Г4 не допускается предусматривать для тепловой защиты технологического оборудования и инженерных коммуникаций, расположенных:</w:t>
      </w:r>
    </w:p>
    <w:p>
      <w:pPr>
        <w:pStyle w:val="0"/>
        <w:jc w:val="both"/>
      </w:pPr>
      <w:r>
        <w:rPr>
          <w:sz w:val="20"/>
        </w:rPr>
        <w:t xml:space="preserve">(в ред. </w:t>
      </w:r>
      <w:hyperlink w:history="0" r:id="rId319"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а) в зданиях, кроме зданий V степени огнестойкости, одноквартирных жилых домов и охлаждаемых помещений холодильников;</w:t>
      </w:r>
    </w:p>
    <w:p>
      <w:pPr>
        <w:pStyle w:val="0"/>
        <w:spacing w:before="200" w:line-rule="auto"/>
        <w:ind w:firstLine="540"/>
        <w:jc w:val="both"/>
      </w:pPr>
      <w:r>
        <w:rPr>
          <w:sz w:val="20"/>
        </w:rPr>
        <w:t xml:space="preserve">б) в наружных технологических установках, кроме отдельно стоящего оборудования;</w:t>
      </w:r>
    </w:p>
    <w:p>
      <w:pPr>
        <w:pStyle w:val="0"/>
        <w:spacing w:before="200" w:line-rule="auto"/>
        <w:ind w:firstLine="540"/>
        <w:jc w:val="both"/>
      </w:pPr>
      <w:r>
        <w:rPr>
          <w:sz w:val="20"/>
        </w:rPr>
        <w:t xml:space="preserve">в) на эстакадах, галереях и в тоннелях при наличии кабелей или трубопроводов, транспортирующих горючие вещества.</w:t>
      </w:r>
    </w:p>
    <w:p>
      <w:pPr>
        <w:pStyle w:val="0"/>
        <w:spacing w:before="200" w:line-rule="auto"/>
        <w:ind w:firstLine="540"/>
        <w:jc w:val="both"/>
      </w:pPr>
      <w:r>
        <w:rPr>
          <w:sz w:val="20"/>
        </w:rPr>
        <w:t xml:space="preserve">При этом допускается применение материалов группы горючести Г3 или Г4 для:</w:t>
      </w:r>
    </w:p>
    <w:p>
      <w:pPr>
        <w:pStyle w:val="0"/>
        <w:spacing w:before="200" w:line-rule="auto"/>
        <w:ind w:firstLine="540"/>
        <w:jc w:val="both"/>
      </w:pPr>
      <w:r>
        <w:rPr>
          <w:sz w:val="20"/>
        </w:rPr>
        <w:t xml:space="preserve">- пароизоляционного слоя толщиной не более 2 мм;</w:t>
      </w:r>
    </w:p>
    <w:p>
      <w:pPr>
        <w:pStyle w:val="0"/>
        <w:spacing w:before="200" w:line-rule="auto"/>
        <w:ind w:firstLine="540"/>
        <w:jc w:val="both"/>
      </w:pPr>
      <w:r>
        <w:rPr>
          <w:sz w:val="20"/>
        </w:rPr>
        <w:t xml:space="preserve">- слоя окраски или пленки толщиной не более 0,4 мм;</w:t>
      </w:r>
    </w:p>
    <w:p>
      <w:pPr>
        <w:pStyle w:val="0"/>
        <w:spacing w:before="200" w:line-rule="auto"/>
        <w:ind w:firstLine="540"/>
        <w:jc w:val="both"/>
      </w:pPr>
      <w:r>
        <w:rPr>
          <w:sz w:val="20"/>
        </w:rPr>
        <w:t xml:space="preserve">- покровного слоя трубопроводов, расположенных в технических подвальных этажах и подпольях с выходом только наружу в зданиях I и II степеней огнестойкости при устройстве вставок длиной 3 м из материалов НГ не более чем через 30 м длины трубопровода;</w:t>
      </w:r>
    </w:p>
    <w:p>
      <w:pPr>
        <w:pStyle w:val="0"/>
        <w:spacing w:before="200" w:line-rule="auto"/>
        <w:ind w:firstLine="540"/>
        <w:jc w:val="both"/>
      </w:pPr>
      <w:r>
        <w:rPr>
          <w:sz w:val="20"/>
        </w:rPr>
        <w:t xml:space="preserve">- теплоизоляционного слоя из заливочного пенополиуретана при покровном слое из оцинкованной стали в наружных технологических установках и тоннелях.</w:t>
      </w:r>
    </w:p>
    <w:p>
      <w:pPr>
        <w:pStyle w:val="0"/>
        <w:spacing w:before="200" w:line-rule="auto"/>
        <w:ind w:firstLine="540"/>
        <w:jc w:val="both"/>
      </w:pPr>
      <w:r>
        <w:rPr>
          <w:sz w:val="20"/>
        </w:rPr>
        <w:t xml:space="preserve">Покровный слой из материалов группы горючести Г1 и Г2, применяемых для наружных технологических установок высотой 6 м и более, должен быть на основе ткани из минерального или стеклянного волокна.</w:t>
      </w:r>
    </w:p>
    <w:p>
      <w:pPr>
        <w:pStyle w:val="0"/>
        <w:spacing w:before="200" w:line-rule="auto"/>
        <w:ind w:firstLine="540"/>
        <w:jc w:val="both"/>
      </w:pPr>
      <w:r>
        <w:rPr>
          <w:sz w:val="20"/>
        </w:rPr>
        <w:t xml:space="preserve">6.5.72. Абзац исключен. - </w:t>
      </w:r>
      <w:hyperlink w:history="0" r:id="rId320"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w:t>
        </w:r>
      </w:hyperlink>
      <w:r>
        <w:rPr>
          <w:sz w:val="20"/>
        </w:rPr>
        <w:t xml:space="preserve"> МЧС России от 14.02.2020 N 89.</w:t>
      </w:r>
    </w:p>
    <w:p>
      <w:pPr>
        <w:pStyle w:val="0"/>
        <w:spacing w:before="200" w:line-rule="auto"/>
        <w:ind w:firstLine="540"/>
        <w:jc w:val="both"/>
      </w:pPr>
      <w:r>
        <w:rPr>
          <w:sz w:val="20"/>
        </w:rPr>
        <w:t xml:space="preserve">Для трубопроводов надземной прокладки при применении теплоизоляционных конструкций из материалов группы горючести Г3 и Г4 следует предусматривать:</w:t>
      </w:r>
    </w:p>
    <w:p>
      <w:pPr>
        <w:pStyle w:val="0"/>
        <w:spacing w:before="200" w:line-rule="auto"/>
        <w:ind w:firstLine="540"/>
        <w:jc w:val="both"/>
      </w:pPr>
      <w:r>
        <w:rPr>
          <w:sz w:val="20"/>
        </w:rPr>
        <w:t xml:space="preserve">- вставки длиной 3 м из материалов НГ не более чем через 100 м длины трубопровода;</w:t>
      </w:r>
    </w:p>
    <w:p>
      <w:pPr>
        <w:pStyle w:val="0"/>
        <w:spacing w:before="200" w:line-rule="auto"/>
        <w:ind w:firstLine="540"/>
        <w:jc w:val="both"/>
      </w:pPr>
      <w:r>
        <w:rPr>
          <w:sz w:val="20"/>
        </w:rPr>
        <w:t xml:space="preserve">- участки теплоизоляционных конструкций из материалов НГ на расстоянии не менее 5 м от технологических установок, содержащих горючие газы и жидкости.</w:t>
      </w:r>
    </w:p>
    <w:p>
      <w:pPr>
        <w:pStyle w:val="0"/>
        <w:spacing w:before="200" w:line-rule="auto"/>
        <w:ind w:firstLine="540"/>
        <w:jc w:val="both"/>
      </w:pPr>
      <w:r>
        <w:rPr>
          <w:sz w:val="20"/>
        </w:rPr>
        <w:t xml:space="preserve">При пересечении трубопроводом противопожарной преграды предусматриваются теплоизоляционные конструкции из материалов НГ в пределах размера противопожарной преграды.</w:t>
      </w:r>
    </w:p>
    <w:p>
      <w:pPr>
        <w:pStyle w:val="0"/>
        <w:spacing w:before="200" w:line-rule="auto"/>
        <w:ind w:firstLine="540"/>
        <w:jc w:val="both"/>
      </w:pPr>
      <w:r>
        <w:rPr>
          <w:sz w:val="20"/>
        </w:rPr>
        <w:t xml:space="preserve">При применении конструкций теплопроводов в тепловой изоляции из материалов групп горючести Г1 - Г4 в оболочке из НГ допускается не делать противопожарные вставки.</w:t>
      </w:r>
    </w:p>
    <w:p>
      <w:pPr>
        <w:pStyle w:val="0"/>
        <w:jc w:val="both"/>
      </w:pPr>
      <w:r>
        <w:rPr>
          <w:sz w:val="20"/>
        </w:rPr>
        <w:t xml:space="preserve">(в ред. </w:t>
      </w:r>
      <w:hyperlink w:history="0" r:id="rId321"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6.5.73. Наименьший габаритный размер несущей вытяжной башни в нижнем основании надлежит назначать не менее 1/8 ее высоты.</w:t>
      </w:r>
    </w:p>
    <w:p>
      <w:pPr>
        <w:pStyle w:val="0"/>
        <w:spacing w:before="200" w:line-rule="auto"/>
        <w:ind w:firstLine="540"/>
        <w:jc w:val="both"/>
      </w:pPr>
      <w:r>
        <w:rPr>
          <w:sz w:val="20"/>
        </w:rPr>
        <w:t xml:space="preserve">Наименьший габаритный размер несущей башни в верхнем основании определяется по условиям размещения требуемого (по заданию) числа газоотводящих стволов и лифта, а также необходимых проходов для производства ремонтных работ. В случае стесненного габарита верхней части башни (при большом диаметре газоотводящего ствола или необходимости размещения нескольких газоотводящих стволов внутри башни и стесненных условиях генплана) для проходов допускается проектировать выносные площадки-балконы. Ширина проходов должна быть не менее 0,7 м.</w:t>
      </w:r>
    </w:p>
    <w:p>
      <w:pPr>
        <w:pStyle w:val="0"/>
        <w:spacing w:before="200" w:line-rule="auto"/>
        <w:ind w:firstLine="540"/>
        <w:jc w:val="both"/>
      </w:pPr>
      <w:r>
        <w:rPr>
          <w:sz w:val="20"/>
        </w:rPr>
        <w:t xml:space="preserve">6.5.74. Газоотводящие стволы следует предусматривать из материалов, стойких против воздействия отводимых газов, или иметь соответствующую антикоррозионную защиту.</w:t>
      </w:r>
    </w:p>
    <w:p>
      <w:pPr>
        <w:pStyle w:val="0"/>
        <w:spacing w:before="200" w:line-rule="auto"/>
        <w:ind w:firstLine="540"/>
        <w:jc w:val="both"/>
      </w:pPr>
      <w:r>
        <w:rPr>
          <w:sz w:val="20"/>
        </w:rPr>
        <w:t xml:space="preserve">6.5.75. При температуре наружной поверхности газоотводящего ствола более 50 °C примыкающие к нему площадки, лестничные проемы и подходы должны иметь специальное ограждение высотой не менее 1 м, часть которого на высоту не менее 100 мм от уровня настила сплошная.</w:t>
      </w:r>
    </w:p>
    <w:p>
      <w:pPr>
        <w:pStyle w:val="0"/>
        <w:spacing w:before="200" w:line-rule="auto"/>
        <w:ind w:firstLine="540"/>
        <w:jc w:val="both"/>
      </w:pPr>
      <w:r>
        <w:rPr>
          <w:sz w:val="20"/>
        </w:rPr>
        <w:t xml:space="preserve">6.5.76. Фундамент водонапорной башни проектировать железобетонным монолитным, внутри которого предусматривать утепленные, но неотапливаемые помещения с естественной приточно-вытяжной вентиляцией для размещения задвижек на водопроводных трубах и контрольно-измерительных приборов.</w:t>
      </w:r>
    </w:p>
    <w:p>
      <w:pPr>
        <w:pStyle w:val="0"/>
        <w:spacing w:before="200" w:line-rule="auto"/>
        <w:ind w:firstLine="540"/>
        <w:jc w:val="both"/>
      </w:pPr>
      <w:r>
        <w:rPr>
          <w:sz w:val="20"/>
        </w:rPr>
        <w:t xml:space="preserve">6.5.77. Башни следует оборудовать стальными лестницами для подъема к баку и на его покрытие, а также площадками для осмотра и обслуживания строительных конструкций и трубопроводов. Лестницы допускается проектировать вертикальными, типа стремянок, с дугами, обеспечивающими безопасность пользования ими. При этом расстояние между площадками не должно превышать 8 м.</w:t>
      </w:r>
    </w:p>
    <w:p>
      <w:pPr>
        <w:pStyle w:val="0"/>
        <w:jc w:val="both"/>
      </w:pPr>
      <w:r>
        <w:rPr>
          <w:sz w:val="20"/>
        </w:rPr>
        <w:t xml:space="preserve">(в ред. </w:t>
      </w:r>
      <w:hyperlink w:history="0" r:id="rId322"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Площадки должны иметь перильное ограждение.</w:t>
      </w:r>
    </w:p>
    <w:p>
      <w:pPr>
        <w:pStyle w:val="0"/>
        <w:spacing w:before="200" w:line-rule="auto"/>
        <w:ind w:firstLine="540"/>
        <w:jc w:val="both"/>
      </w:pPr>
      <w:r>
        <w:rPr>
          <w:sz w:val="20"/>
        </w:rPr>
        <w:t xml:space="preserve">6.5.78. Газоотводящие стволы предусматривать из материалов, стойких против воздействия отводимых газов, или иметь соответствующую антикоррозионную защиту.</w:t>
      </w:r>
    </w:p>
    <w:p>
      <w:pPr>
        <w:pStyle w:val="0"/>
        <w:spacing w:before="200" w:line-rule="auto"/>
        <w:ind w:firstLine="540"/>
        <w:jc w:val="both"/>
      </w:pPr>
      <w:r>
        <w:rPr>
          <w:sz w:val="20"/>
        </w:rPr>
        <w:t xml:space="preserve">Для газоотводящих стволов из конструкционных полимеров принимать химически и термически стойкие стеклопластики, текстофаолиты, бипластмассы (стеклопластики с внутренним слоем из термопласта) и слоистые конструкционные пластики.</w:t>
      </w:r>
    </w:p>
    <w:p>
      <w:pPr>
        <w:pStyle w:val="0"/>
        <w:spacing w:before="200" w:line-rule="auto"/>
        <w:ind w:firstLine="540"/>
        <w:jc w:val="both"/>
      </w:pPr>
      <w:r>
        <w:rPr>
          <w:sz w:val="20"/>
        </w:rPr>
        <w:t xml:space="preserve">Конструкционные полимерные материалы, применяемые для газоотводящих стволов, должны быть НГ или группы горючести Г1.</w:t>
      </w:r>
    </w:p>
    <w:p>
      <w:pPr>
        <w:pStyle w:val="0"/>
        <w:spacing w:before="200" w:line-rule="auto"/>
        <w:ind w:firstLine="540"/>
        <w:jc w:val="both"/>
      </w:pPr>
      <w:r>
        <w:rPr>
          <w:sz w:val="20"/>
        </w:rPr>
        <w:t xml:space="preserve">6.5.79. При температуре наружной поверхности газоотводящего ствола более 50 °C примыкающие к нему площадки, лестничные проемы и подходы должны иметь специальное ограждение высотой не менее 1 м, часть которого на высоту не менее 100 мм от уровня настила сплошная.</w:t>
      </w:r>
    </w:p>
    <w:p>
      <w:pPr>
        <w:pStyle w:val="0"/>
        <w:spacing w:before="200" w:line-rule="auto"/>
        <w:ind w:firstLine="540"/>
        <w:jc w:val="both"/>
      </w:pPr>
      <w:r>
        <w:rPr>
          <w:sz w:val="20"/>
        </w:rPr>
        <w:t xml:space="preserve">6.5.80. Хранение грузов на открытых площадках прирельсовых складов объектов железнодорожного транспорта колеи 1520 мм предусматривать группами площадью не более 300 м</w:t>
      </w:r>
      <w:r>
        <w:rPr>
          <w:sz w:val="20"/>
          <w:vertAlign w:val="superscript"/>
        </w:rPr>
        <w:t xml:space="preserve">2</w:t>
      </w:r>
      <w:r>
        <w:rPr>
          <w:sz w:val="20"/>
        </w:rPr>
        <w:t xml:space="preserve"> с расстоянием между группами не менее 6 м. Противопожарные расстояния от открытых площадок для хранения грузов до зданий и сооружений принимать в соответствии с требованиями </w:t>
      </w:r>
      <w:hyperlink w:history="0" w:anchor="P570" w:tooltip="6.1. Общие требования к объектам класса функциональной пожарной опасности Ф5">
        <w:r>
          <w:rPr>
            <w:sz w:val="20"/>
            <w:color w:val="0000ff"/>
          </w:rPr>
          <w:t xml:space="preserve">подраздела 6.1</w:t>
        </w:r>
      </w:hyperlink>
      <w:r>
        <w:rPr>
          <w:sz w:val="20"/>
        </w:rPr>
        <w:t xml:space="preserve">, приравнивая площадки с грузами, в том числе в деревянных и металлических контейнерах, к зданиям IV - V степеней огнестойкости.</w:t>
      </w:r>
    </w:p>
    <w:p>
      <w:pPr>
        <w:pStyle w:val="0"/>
        <w:spacing w:before="200" w:line-rule="auto"/>
        <w:ind w:firstLine="540"/>
        <w:jc w:val="both"/>
      </w:pPr>
      <w:r>
        <w:rPr>
          <w:sz w:val="20"/>
        </w:rPr>
        <w:t xml:space="preserve">6.5.81. Стойла локомотивно-вагонных депо промышленных предприятий, где производятся окрасочные работы, отделять от других помещений и сооружений противопожарными стенами 2-го типа. В таких стойлах надлежит предусматривать механические устройства (лебедки) для перемещения локомотивов в нерабочем состоянии. При этом механические устройства, располагаемые внутри помещения депо, должны быть предусмотрены во взрывозащищенном исполнении.</w:t>
      </w:r>
    </w:p>
    <w:p>
      <w:pPr>
        <w:pStyle w:val="0"/>
        <w:spacing w:before="200" w:line-rule="auto"/>
        <w:ind w:firstLine="540"/>
        <w:jc w:val="both"/>
      </w:pPr>
      <w:r>
        <w:rPr>
          <w:sz w:val="20"/>
        </w:rPr>
        <w:t xml:space="preserve">6.5.82. Вместимость резервуаров для хранения дизельного топлива и масел ремонтного хозяйства объектов железнодорожного транспорта колеи 750 мм надлежит определять из расчета хранения установленного запаса.</w:t>
      </w:r>
    </w:p>
    <w:p>
      <w:pPr>
        <w:pStyle w:val="0"/>
        <w:spacing w:before="200" w:line-rule="auto"/>
        <w:ind w:firstLine="540"/>
        <w:jc w:val="both"/>
      </w:pPr>
      <w:r>
        <w:rPr>
          <w:sz w:val="20"/>
        </w:rPr>
        <w:t xml:space="preserve">Для слива дизельного топлива и масел проектируются необходимые устройства и сливные пути.</w:t>
      </w:r>
    </w:p>
    <w:p>
      <w:pPr>
        <w:pStyle w:val="0"/>
        <w:spacing w:before="200" w:line-rule="auto"/>
        <w:ind w:firstLine="540"/>
        <w:jc w:val="both"/>
      </w:pPr>
      <w:r>
        <w:rPr>
          <w:sz w:val="20"/>
        </w:rPr>
        <w:t xml:space="preserve">Для нефтепродуктов, застывающих при низких температурах, необходимо предусматривать устройства для их подогрева в цистернах, резервуарах и трубопроводах.</w:t>
      </w:r>
    </w:p>
    <w:p>
      <w:pPr>
        <w:pStyle w:val="0"/>
        <w:spacing w:before="200" w:line-rule="auto"/>
        <w:ind w:firstLine="540"/>
        <w:jc w:val="both"/>
      </w:pPr>
      <w:r>
        <w:rPr>
          <w:sz w:val="20"/>
        </w:rPr>
        <w:t xml:space="preserve">Склады дизельного топлива и масел надлежит размещать с учетом обеспечения противопожарных расстояний в соответствии с требованиями </w:t>
      </w:r>
      <w:hyperlink w:history="0" w:anchor="P570" w:tooltip="6.1. Общие требования к объектам класса функциональной пожарной опасности Ф5">
        <w:r>
          <w:rPr>
            <w:sz w:val="20"/>
            <w:color w:val="0000ff"/>
          </w:rPr>
          <w:t xml:space="preserve">подраздела 6.1</w:t>
        </w:r>
      </w:hyperlink>
      <w:r>
        <w:rPr>
          <w:sz w:val="20"/>
        </w:rPr>
        <w:t xml:space="preserve"> и оборудовать устройствами для пожаротушения в соответствии с требованиями </w:t>
      </w:r>
      <w:hyperlink w:history="0" r:id="rId323" w:tooltip="Приказ МЧС России от 26.12.2013 N 837 (ред. от 09.03.2017) &quot;Об утверждении свода правил &quot;Склады нефти и нефтепродуктов. Требования пожарной безопасности&quot; (вместе с &quot;СП 155.13130.2014. Свод правил...&quot;) {КонсультантПлюс}">
        <w:r>
          <w:rPr>
            <w:sz w:val="20"/>
            <w:color w:val="0000ff"/>
          </w:rPr>
          <w:t xml:space="preserve">СП 155.13130</w:t>
        </w:r>
      </w:hyperlink>
      <w:r>
        <w:rPr>
          <w:sz w:val="20"/>
        </w:rPr>
        <w:t xml:space="preserve">.</w:t>
      </w:r>
    </w:p>
    <w:p>
      <w:pPr>
        <w:pStyle w:val="0"/>
        <w:jc w:val="both"/>
      </w:pPr>
      <w:r>
        <w:rPr>
          <w:sz w:val="20"/>
        </w:rPr>
        <w:t xml:space="preserve">(в ред. </w:t>
      </w:r>
      <w:hyperlink w:history="0" r:id="rId324"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6.5.83. При проектировании галерей и эстакад конвейерного транспорта необходимо выполнять следующие требования:</w:t>
      </w:r>
    </w:p>
    <w:p>
      <w:pPr>
        <w:pStyle w:val="0"/>
        <w:spacing w:before="200" w:line-rule="auto"/>
        <w:ind w:firstLine="540"/>
        <w:jc w:val="both"/>
      </w:pPr>
      <w:r>
        <w:rPr>
          <w:sz w:val="20"/>
        </w:rPr>
        <w:t xml:space="preserve">конвейеры, устанавливаемые в подземно-надземных галереях, должны оснащаться лентами, выполненными из материалов НГ и группы Г1;</w:t>
      </w:r>
    </w:p>
    <w:p>
      <w:pPr>
        <w:pStyle w:val="0"/>
        <w:spacing w:before="200" w:line-rule="auto"/>
        <w:ind w:firstLine="540"/>
        <w:jc w:val="both"/>
      </w:pPr>
      <w:r>
        <w:rPr>
          <w:sz w:val="20"/>
        </w:rPr>
        <w:t xml:space="preserve">предел огнестойкости строительных конструкций галерей, предназначенных для транспортирования негорючих грузов не нормируется;</w:t>
      </w:r>
    </w:p>
    <w:p>
      <w:pPr>
        <w:pStyle w:val="0"/>
        <w:jc w:val="both"/>
      </w:pPr>
      <w:r>
        <w:rPr>
          <w:sz w:val="20"/>
        </w:rPr>
        <w:t xml:space="preserve">(в ред. </w:t>
      </w:r>
      <w:hyperlink w:history="0" r:id="rId325"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для галерей и эстакад с несущими и ограждающими конструкциями класса К3 предусматривать противопожарные зоны: через каждые 100 м и в местах пересечений в одном или разных уровнях (расстояние по горизонтальной проекции между пожароопасными конструкциями не менее 6 м); в местах размещения галерей над зданиями (длина зоны равна ширине здания, увеличенной на 3 м с каждой его стороны);</w:t>
      </w:r>
    </w:p>
    <w:p>
      <w:pPr>
        <w:pStyle w:val="0"/>
        <w:spacing w:before="200" w:line-rule="auto"/>
        <w:ind w:firstLine="540"/>
        <w:jc w:val="both"/>
      </w:pPr>
      <w:r>
        <w:rPr>
          <w:sz w:val="20"/>
        </w:rPr>
        <w:t xml:space="preserve">для надземных наружных галерей и эстакад с несущими и ограждающими конструкциями классов К1, К2 в местах примыкания к зданиям предусматривать противопожарные зоны длиной не менее 6 м;</w:t>
      </w:r>
    </w:p>
    <w:p>
      <w:pPr>
        <w:pStyle w:val="0"/>
        <w:spacing w:before="200" w:line-rule="auto"/>
        <w:ind w:firstLine="540"/>
        <w:jc w:val="both"/>
      </w:pPr>
      <w:r>
        <w:rPr>
          <w:sz w:val="20"/>
        </w:rPr>
        <w:t xml:space="preserve">в местах примыкания галерей к перегрузочным узлам, совмещаемым с противопожарными зонами, предусматривать противопожарные перегородки с противопожарными дверями;</w:t>
      </w:r>
    </w:p>
    <w:p>
      <w:pPr>
        <w:pStyle w:val="0"/>
        <w:spacing w:before="200" w:line-rule="auto"/>
        <w:ind w:firstLine="540"/>
        <w:jc w:val="both"/>
      </w:pPr>
      <w:r>
        <w:rPr>
          <w:sz w:val="20"/>
        </w:rPr>
        <w:t xml:space="preserve">в местах примыкания галерей к зданиям категорий А, Б и В следует предусматривать противопожарные стены 2-го типа или противопожарные перегородки 1-го типа с противопожарными дверями 2-го типа или водяными завесами;</w:t>
      </w:r>
    </w:p>
    <w:p>
      <w:pPr>
        <w:pStyle w:val="0"/>
        <w:jc w:val="both"/>
      </w:pPr>
      <w:r>
        <w:rPr>
          <w:sz w:val="20"/>
        </w:rPr>
        <w:t xml:space="preserve">(в ред. </w:t>
      </w:r>
      <w:hyperlink w:history="0" r:id="rId326"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из каждой противопожарной зоны галереи и эстакады (кроме противопожарных зон, примыкающих к зданию) должен предусматриваться выход на лестницу, выполняемую из материалов НГ;</w:t>
      </w:r>
    </w:p>
    <w:p>
      <w:pPr>
        <w:pStyle w:val="0"/>
        <w:spacing w:before="200" w:line-rule="auto"/>
        <w:ind w:firstLine="540"/>
        <w:jc w:val="both"/>
      </w:pPr>
      <w:r>
        <w:rPr>
          <w:sz w:val="20"/>
        </w:rPr>
        <w:t xml:space="preserve">в местах пересечения галерей и эстакад с железнодорожными путями при тепловозной тяге и расположении низа галерей и эстакад на высоте до 12 м над головкой рельса надлежит предусматривать защиту от возгорания участков галерей и эстакад в каждую сторону от оси дороги на 3 м;</w:t>
      </w:r>
    </w:p>
    <w:p>
      <w:pPr>
        <w:pStyle w:val="0"/>
        <w:spacing w:before="200" w:line-rule="auto"/>
        <w:ind w:firstLine="540"/>
        <w:jc w:val="both"/>
      </w:pPr>
      <w:r>
        <w:rPr>
          <w:sz w:val="20"/>
        </w:rPr>
        <w:t xml:space="preserve">в местах пересечения галерей и эстакад с железнодорожными путями, предназначенными для перевозки расплавленного металла и шлака, галереи и эстакады должны быть защищены экранами с пределом огнестойкости не менее EI 45, выходящими в каждую сторону от пути на 3 м.</w:t>
      </w:r>
    </w:p>
    <w:p>
      <w:pPr>
        <w:pStyle w:val="0"/>
        <w:ind w:firstLine="540"/>
        <w:jc w:val="both"/>
      </w:pPr>
      <w:r>
        <w:rPr>
          <w:sz w:val="20"/>
        </w:rPr>
      </w:r>
    </w:p>
    <w:p>
      <w:pPr>
        <w:pStyle w:val="2"/>
        <w:outlineLvl w:val="2"/>
        <w:ind w:firstLine="540"/>
        <w:jc w:val="both"/>
      </w:pPr>
      <w:r>
        <w:rPr>
          <w:sz w:val="20"/>
        </w:rPr>
        <w:t xml:space="preserve">6.6. Требования к нефтепродуктопроводам, прокладываемым на территории городов и других населенных пунктов</w:t>
      </w:r>
    </w:p>
    <w:p>
      <w:pPr>
        <w:pStyle w:val="0"/>
        <w:ind w:firstLine="540"/>
        <w:jc w:val="both"/>
      </w:pPr>
      <w:r>
        <w:rPr>
          <w:sz w:val="20"/>
        </w:rPr>
      </w:r>
    </w:p>
    <w:p>
      <w:pPr>
        <w:pStyle w:val="0"/>
        <w:ind w:firstLine="540"/>
        <w:jc w:val="both"/>
      </w:pPr>
      <w:r>
        <w:rPr>
          <w:sz w:val="20"/>
        </w:rPr>
        <w:t xml:space="preserve">6.6.1. Настоящий подраздел распространяется на проектирование новых, реконструкцию и техническое перевооружение действующих нефтепродуктопроводов диаметром до 200 мм включительно с рабочим давлением не более 2,5 МПа, прокладываемых на территории городов и других населенных пунктов и предназначаемых для транспортирования нефтепродуктов (бензина, дизельного топлива, керосина, печного топлива, топлива для реактивных двигателей, мазута) от предприятий поставщика (предприятия, организации, поставляющие (транспортирующие) нефтепродукты) до предприятий потребителя (предприятия, организации, потребляющие или распределяющие нефтепродукты), расположенных в этих городах или населенных пунктах.</w:t>
      </w:r>
    </w:p>
    <w:p>
      <w:pPr>
        <w:pStyle w:val="0"/>
        <w:spacing w:before="200" w:line-rule="auto"/>
        <w:ind w:firstLine="540"/>
        <w:jc w:val="both"/>
      </w:pPr>
      <w:r>
        <w:rPr>
          <w:sz w:val="20"/>
        </w:rPr>
        <w:t xml:space="preserve">Требования раздела также распространяются на реконструируемые и технически перевооружаемые существующие нефтепродуктопроводы диаметром до 500 мм включительно и давлением 2,5 МПа, расположенные за пределами селитебной территории городов и других населенных пунктов.</w:t>
      </w:r>
    </w:p>
    <w:p>
      <w:pPr>
        <w:pStyle w:val="0"/>
        <w:spacing w:before="200" w:line-rule="auto"/>
        <w:ind w:firstLine="540"/>
        <w:jc w:val="both"/>
      </w:pPr>
      <w:r>
        <w:rPr>
          <w:sz w:val="20"/>
        </w:rPr>
        <w:t xml:space="preserve">Требования подраздела не распространяются на проектирование нефтепродуктопроводов:</w:t>
      </w:r>
    </w:p>
    <w:p>
      <w:pPr>
        <w:pStyle w:val="0"/>
        <w:spacing w:before="200" w:line-rule="auto"/>
        <w:ind w:firstLine="540"/>
        <w:jc w:val="both"/>
      </w:pPr>
      <w:r>
        <w:rPr>
          <w:sz w:val="20"/>
        </w:rPr>
        <w:t xml:space="preserve">- для транспортирования нефтепродуктов, имеющих при температуре 20 °C давление насыщенных паров выше 93,1 кПа (700 мм рт. ст.);</w:t>
      </w:r>
    </w:p>
    <w:p>
      <w:pPr>
        <w:pStyle w:val="0"/>
        <w:spacing w:before="200" w:line-rule="auto"/>
        <w:ind w:firstLine="540"/>
        <w:jc w:val="both"/>
      </w:pPr>
      <w:r>
        <w:rPr>
          <w:sz w:val="20"/>
        </w:rPr>
        <w:t xml:space="preserve">- прокладываемых в районах с сейсмичностью выше 8 баллов, вечномерзлых грунтах и горных выработках.</w:t>
      </w:r>
    </w:p>
    <w:p>
      <w:pPr>
        <w:pStyle w:val="0"/>
        <w:spacing w:before="200" w:line-rule="auto"/>
        <w:ind w:firstLine="540"/>
        <w:jc w:val="both"/>
      </w:pPr>
      <w:r>
        <w:rPr>
          <w:sz w:val="20"/>
        </w:rPr>
        <w:t xml:space="preserve">Границами нефтепродуктопроводов, на которые распространяются требования настоящего подраздела норм, надлежит считать:</w:t>
      </w:r>
    </w:p>
    <w:p>
      <w:pPr>
        <w:pStyle w:val="0"/>
        <w:spacing w:before="200" w:line-rule="auto"/>
        <w:ind w:firstLine="540"/>
        <w:jc w:val="both"/>
      </w:pPr>
      <w:r>
        <w:rPr>
          <w:sz w:val="20"/>
        </w:rPr>
        <w:t xml:space="preserve">- запорно-регулирующую арматуру, устанавливаемую на трубопроводе от границы перспективной застройки городов или других населенных пунктов на расстоянии не менее 200 м;</w:t>
      </w:r>
    </w:p>
    <w:p>
      <w:pPr>
        <w:pStyle w:val="0"/>
        <w:spacing w:before="200" w:line-rule="auto"/>
        <w:ind w:firstLine="540"/>
        <w:jc w:val="both"/>
      </w:pPr>
      <w:r>
        <w:rPr>
          <w:sz w:val="20"/>
        </w:rPr>
        <w:t xml:space="preserve">- входную (выходную) или запорно-регулирующую арматуру, устанавливаемую в пределах существующей территории или охранной зоны предприятия поставщика или потребителя нефтепродуктов.</w:t>
      </w:r>
    </w:p>
    <w:p>
      <w:pPr>
        <w:pStyle w:val="0"/>
        <w:spacing w:before="200" w:line-rule="auto"/>
        <w:ind w:firstLine="540"/>
        <w:jc w:val="both"/>
      </w:pPr>
      <w:r>
        <w:rPr>
          <w:sz w:val="20"/>
        </w:rPr>
        <w:t xml:space="preserve">В состав нефтепродуктопроводов входят:</w:t>
      </w:r>
    </w:p>
    <w:p>
      <w:pPr>
        <w:pStyle w:val="0"/>
        <w:spacing w:before="200" w:line-rule="auto"/>
        <w:ind w:firstLine="540"/>
        <w:jc w:val="both"/>
      </w:pPr>
      <w:r>
        <w:rPr>
          <w:sz w:val="20"/>
        </w:rPr>
        <w:t xml:space="preserve">- собственно трубопровод с запорной, запорно-регулирующей и предохранительной арматурой и линейными сооружениями;</w:t>
      </w:r>
    </w:p>
    <w:p>
      <w:pPr>
        <w:pStyle w:val="0"/>
        <w:spacing w:before="200" w:line-rule="auto"/>
        <w:ind w:firstLine="540"/>
        <w:jc w:val="both"/>
      </w:pPr>
      <w:r>
        <w:rPr>
          <w:sz w:val="20"/>
        </w:rPr>
        <w:t xml:space="preserve">- установки электрохимической защиты трубопроводов от коррозии;</w:t>
      </w:r>
    </w:p>
    <w:p>
      <w:pPr>
        <w:pStyle w:val="0"/>
        <w:spacing w:before="200" w:line-rule="auto"/>
        <w:ind w:firstLine="540"/>
        <w:jc w:val="both"/>
      </w:pPr>
      <w:r>
        <w:rPr>
          <w:sz w:val="20"/>
        </w:rPr>
        <w:t xml:space="preserve">- кабельные линии технологической связи;</w:t>
      </w:r>
    </w:p>
    <w:p>
      <w:pPr>
        <w:pStyle w:val="0"/>
        <w:spacing w:before="200" w:line-rule="auto"/>
        <w:ind w:firstLine="540"/>
        <w:jc w:val="both"/>
      </w:pPr>
      <w:r>
        <w:rPr>
          <w:sz w:val="20"/>
        </w:rPr>
        <w:t xml:space="preserve">- устройства электроснабжения и дистанционного управления запорно-регулирующей арматурой и установками электрохимической защиты трубопроводов от коррозии;</w:t>
      </w:r>
    </w:p>
    <w:p>
      <w:pPr>
        <w:pStyle w:val="0"/>
        <w:spacing w:before="200" w:line-rule="auto"/>
        <w:ind w:firstLine="540"/>
        <w:jc w:val="both"/>
      </w:pPr>
      <w:r>
        <w:rPr>
          <w:sz w:val="20"/>
        </w:rPr>
        <w:t xml:space="preserve">- узлы оперативного учета количества транспортируемых нефтепродуктов с дистанционной передачей показаний;</w:t>
      </w:r>
    </w:p>
    <w:p>
      <w:pPr>
        <w:pStyle w:val="0"/>
        <w:spacing w:before="200" w:line-rule="auto"/>
        <w:ind w:firstLine="540"/>
        <w:jc w:val="both"/>
      </w:pPr>
      <w:r>
        <w:rPr>
          <w:sz w:val="20"/>
        </w:rPr>
        <w:t xml:space="preserve">- противоэрозийные и защитные сооружения трубопроводов;</w:t>
      </w:r>
    </w:p>
    <w:p>
      <w:pPr>
        <w:pStyle w:val="0"/>
        <w:spacing w:before="200" w:line-rule="auto"/>
        <w:ind w:firstLine="540"/>
        <w:jc w:val="both"/>
      </w:pPr>
      <w:r>
        <w:rPr>
          <w:sz w:val="20"/>
        </w:rPr>
        <w:t xml:space="preserve">- указательные и предупредительные знаки.</w:t>
      </w:r>
    </w:p>
    <w:p>
      <w:pPr>
        <w:pStyle w:val="0"/>
        <w:spacing w:before="200" w:line-rule="auto"/>
        <w:ind w:firstLine="540"/>
        <w:jc w:val="both"/>
      </w:pPr>
      <w:r>
        <w:rPr>
          <w:sz w:val="20"/>
        </w:rPr>
        <w:t xml:space="preserve">6.6.2. Конструктивные решения, обеспечивающие надежность и безаварийность трубопровода, должны исключать необходимость строительства вдоль трубопровода защитных сооружений по сбору разлившегося нефтепродукта (амбаров, сборников, канав и т.п.).</w:t>
      </w:r>
    </w:p>
    <w:p>
      <w:pPr>
        <w:pStyle w:val="0"/>
        <w:spacing w:before="200" w:line-rule="auto"/>
        <w:ind w:firstLine="540"/>
        <w:jc w:val="both"/>
      </w:pPr>
      <w:r>
        <w:rPr>
          <w:sz w:val="20"/>
        </w:rPr>
        <w:t xml:space="preserve">6.6.3. Транзитная прокладка нефтепродуктопроводов через территории городов и других населенных пунктов не допускается.</w:t>
      </w:r>
    </w:p>
    <w:p>
      <w:pPr>
        <w:pStyle w:val="0"/>
        <w:spacing w:before="200" w:line-rule="auto"/>
        <w:ind w:firstLine="540"/>
        <w:jc w:val="both"/>
      </w:pPr>
      <w:r>
        <w:rPr>
          <w:sz w:val="20"/>
        </w:rPr>
        <w:t xml:space="preserve">Трассы трубопроводов прокладываются вне зоны селитебной территории городов и других населенных пунктов, преимущественно в пределах промышленных, коммунально-складских и санитарно-защитных зон предприятий и по другим территориям, свободным от жилой застройки.</w:t>
      </w:r>
    </w:p>
    <w:p>
      <w:pPr>
        <w:pStyle w:val="0"/>
        <w:spacing w:before="200" w:line-rule="auto"/>
        <w:ind w:firstLine="540"/>
        <w:jc w:val="both"/>
      </w:pPr>
      <w:r>
        <w:rPr>
          <w:sz w:val="20"/>
        </w:rPr>
        <w:t xml:space="preserve">В зоне селитебной территории поселения допускается прокладка трубопроводов при условии, что рабочее давление не должно превышать 1,2 МПа, а участок трубопровода следует укладывать в защитном кожухе.</w:t>
      </w:r>
    </w:p>
    <w:p>
      <w:pPr>
        <w:pStyle w:val="0"/>
        <w:spacing w:before="200" w:line-rule="auto"/>
        <w:ind w:firstLine="540"/>
        <w:jc w:val="both"/>
      </w:pPr>
      <w:r>
        <w:rPr>
          <w:sz w:val="20"/>
        </w:rPr>
        <w:t xml:space="preserve">Примечание. Защитный кожух - наружная стальная труба на участках прокладки трубопровода по типу "труба в трубе" и соответствующая по прочности и герметичности требованиям, предъявляемым к рабочему трубопроводу.</w:t>
      </w:r>
    </w:p>
    <w:p>
      <w:pPr>
        <w:pStyle w:val="0"/>
        <w:ind w:firstLine="540"/>
        <w:jc w:val="both"/>
      </w:pPr>
      <w:r>
        <w:rPr>
          <w:sz w:val="20"/>
        </w:rPr>
      </w:r>
    </w:p>
    <w:p>
      <w:pPr>
        <w:pStyle w:val="0"/>
        <w:ind w:firstLine="540"/>
        <w:jc w:val="both"/>
      </w:pPr>
      <w:r>
        <w:rPr>
          <w:sz w:val="20"/>
        </w:rPr>
        <w:t xml:space="preserve">6.6.4. Трубопроводы с условным диаметром свыше 200 мм и до 500 мм включительно допускается прокладывать только в промышленных, коммунально-складских и санитарно-защитных зонах территорий городов и других населенных пунктов, а там, где зоны не выделены, - вне жилой застройки.</w:t>
      </w:r>
    </w:p>
    <w:p>
      <w:pPr>
        <w:pStyle w:val="0"/>
        <w:spacing w:before="200" w:line-rule="auto"/>
        <w:ind w:firstLine="540"/>
        <w:jc w:val="both"/>
      </w:pPr>
      <w:r>
        <w:rPr>
          <w:sz w:val="20"/>
        </w:rPr>
        <w:t xml:space="preserve">6.6.5. Прокладку трубопроводов следует предусматривать подземной с минимальным числом пересечений инженерными коммуникациями и дорогами. Не допускается прокладка трубопроводов на опорах, эстакадах, а также в каналах и тоннелях (за исключением прокладки в специально предназначенном для нефтепродуктпровода микротоннеле).</w:t>
      </w:r>
    </w:p>
    <w:p>
      <w:pPr>
        <w:pStyle w:val="0"/>
        <w:jc w:val="both"/>
      </w:pPr>
      <w:r>
        <w:rPr>
          <w:sz w:val="20"/>
        </w:rPr>
        <w:t xml:space="preserve">(п. 6.6.5 в ред. </w:t>
      </w:r>
      <w:hyperlink w:history="0" r:id="rId327"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6.6.6. Расстояния от трубопроводов до зданий, сооружений и инженерных сетей принимаются в зависимости от условий прохождения трассы (плотности застройки, значимости зданий и сооружений, рельефа местности, сохранности трубопровода и пр.) и необходимости обеспечения пожарной безопасности, но не менее значений, указанных в </w:t>
      </w:r>
      <w:hyperlink w:history="0" w:anchor="P1848" w:tooltip="Таблица 28">
        <w:r>
          <w:rPr>
            <w:sz w:val="20"/>
            <w:color w:val="0000ff"/>
          </w:rPr>
          <w:t xml:space="preserve">таблице 28</w:t>
        </w:r>
      </w:hyperlink>
      <w:r>
        <w:rPr>
          <w:sz w:val="20"/>
        </w:rPr>
        <w:t xml:space="preserve">.</w:t>
      </w:r>
    </w:p>
    <w:p>
      <w:pPr>
        <w:pStyle w:val="0"/>
        <w:ind w:firstLine="540"/>
        <w:jc w:val="both"/>
      </w:pPr>
      <w:r>
        <w:rPr>
          <w:sz w:val="20"/>
        </w:rPr>
      </w:r>
    </w:p>
    <w:bookmarkStart w:id="1848" w:name="P1848"/>
    <w:bookmarkEnd w:id="1848"/>
    <w:p>
      <w:pPr>
        <w:pStyle w:val="0"/>
        <w:outlineLvl w:val="3"/>
        <w:jc w:val="both"/>
      </w:pPr>
      <w:r>
        <w:rPr>
          <w:sz w:val="20"/>
        </w:rPr>
        <w:t xml:space="preserve">Таблица 28</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240"/>
        <w:gridCol w:w="2970"/>
      </w:tblGrid>
      <w:tr>
        <w:tc>
          <w:tcPr>
            <w:tcW w:w="9240" w:type="dxa"/>
          </w:tcPr>
          <w:p>
            <w:pPr>
              <w:pStyle w:val="0"/>
              <w:jc w:val="center"/>
            </w:pPr>
            <w:r>
              <w:rPr>
                <w:sz w:val="20"/>
              </w:rPr>
              <w:t xml:space="preserve">Здания и сооружения</w:t>
            </w:r>
          </w:p>
        </w:tc>
        <w:tc>
          <w:tcPr>
            <w:tcW w:w="2970" w:type="dxa"/>
          </w:tcPr>
          <w:p>
            <w:pPr>
              <w:pStyle w:val="0"/>
              <w:jc w:val="center"/>
            </w:pPr>
            <w:r>
              <w:rPr>
                <w:sz w:val="20"/>
              </w:rPr>
              <w:t xml:space="preserve">Минимальные расстояния по горизонтали в свету, м</w:t>
            </w:r>
          </w:p>
        </w:tc>
      </w:tr>
      <w:tr>
        <w:tc>
          <w:tcPr>
            <w:tcW w:w="9240" w:type="dxa"/>
          </w:tcPr>
          <w:bookmarkStart w:id="1852" w:name="P1852"/>
          <w:bookmarkEnd w:id="1852"/>
          <w:p>
            <w:pPr>
              <w:pStyle w:val="0"/>
            </w:pPr>
            <w:r>
              <w:rPr>
                <w:sz w:val="20"/>
              </w:rPr>
              <w:t xml:space="preserve">1. Общественные здания и сооружения; жилые здания в три этажа и более</w:t>
            </w:r>
          </w:p>
        </w:tc>
        <w:tc>
          <w:tcPr>
            <w:tcW w:w="2970" w:type="dxa"/>
          </w:tcPr>
          <w:p>
            <w:pPr>
              <w:pStyle w:val="0"/>
              <w:jc w:val="center"/>
            </w:pPr>
            <w:r>
              <w:rPr>
                <w:sz w:val="20"/>
              </w:rPr>
              <w:t xml:space="preserve">50</w:t>
            </w:r>
          </w:p>
        </w:tc>
      </w:tr>
      <w:tr>
        <w:tc>
          <w:tcPr>
            <w:tcW w:w="9240" w:type="dxa"/>
          </w:tcPr>
          <w:bookmarkStart w:id="1854" w:name="P1854"/>
          <w:bookmarkEnd w:id="1854"/>
          <w:p>
            <w:pPr>
              <w:pStyle w:val="0"/>
              <w:jc w:val="both"/>
            </w:pPr>
            <w:r>
              <w:rPr>
                <w:sz w:val="20"/>
              </w:rPr>
              <w:t xml:space="preserve">2. Жилые здания в один и два этажа, автозаправочные станции; электроподстанции; кладбища; мачты (башни) и сооружения многоканальной радиорелейной связи; телевизионные башни; теплицы; склады различного назначения</w:t>
            </w:r>
          </w:p>
        </w:tc>
        <w:tc>
          <w:tcPr>
            <w:tcW w:w="2970" w:type="dxa"/>
          </w:tcPr>
          <w:p>
            <w:pPr>
              <w:pStyle w:val="0"/>
              <w:jc w:val="center"/>
            </w:pPr>
            <w:r>
              <w:rPr>
                <w:sz w:val="20"/>
              </w:rPr>
              <w:t xml:space="preserve">20</w:t>
            </w:r>
          </w:p>
        </w:tc>
      </w:tr>
      <w:tr>
        <w:tc>
          <w:tcPr>
            <w:tcW w:w="9240" w:type="dxa"/>
          </w:tcPr>
          <w:bookmarkStart w:id="1856" w:name="P1856"/>
          <w:bookmarkEnd w:id="1856"/>
          <w:p>
            <w:pPr>
              <w:pStyle w:val="0"/>
              <w:jc w:val="both"/>
            </w:pPr>
            <w:r>
              <w:rPr>
                <w:sz w:val="20"/>
              </w:rPr>
              <w:t xml:space="preserve">3. Территории промышленных и сельскохозяйственных (фермы, тока, загоны для скота, силосные ямы) предприятий; дачи; садовые домики; индивидуальные гаражи при числе боксов свыше 20; путепроводы железных и автомобильных дорог; канализационные сооружения</w:t>
            </w:r>
          </w:p>
        </w:tc>
        <w:tc>
          <w:tcPr>
            <w:tcW w:w="2970" w:type="dxa"/>
          </w:tcPr>
          <w:p>
            <w:pPr>
              <w:pStyle w:val="0"/>
              <w:jc w:val="center"/>
            </w:pPr>
            <w:r>
              <w:rPr>
                <w:sz w:val="20"/>
              </w:rPr>
              <w:t xml:space="preserve">15</w:t>
            </w:r>
          </w:p>
        </w:tc>
      </w:tr>
      <w:tr>
        <w:tc>
          <w:tcPr>
            <w:tcW w:w="9240" w:type="dxa"/>
          </w:tcPr>
          <w:p>
            <w:pPr>
              <w:pStyle w:val="0"/>
              <w:jc w:val="both"/>
            </w:pPr>
            <w:r>
              <w:rPr>
                <w:sz w:val="20"/>
              </w:rPr>
              <w:t xml:space="preserve">4. Железные дороги общей сети и автодороги I, II, III категорий, параллельно которым прокладывается трубопровод; индивидуальные гаражи при числе боксов менее 20</w:t>
            </w:r>
          </w:p>
        </w:tc>
        <w:tc>
          <w:tcPr>
            <w:tcW w:w="2970" w:type="dxa"/>
          </w:tcPr>
          <w:p>
            <w:pPr>
              <w:pStyle w:val="0"/>
              <w:jc w:val="center"/>
            </w:pPr>
            <w:r>
              <w:rPr>
                <w:sz w:val="20"/>
              </w:rPr>
              <w:t xml:space="preserve">10</w:t>
            </w:r>
          </w:p>
        </w:tc>
      </w:tr>
      <w:tr>
        <w:tc>
          <w:tcPr>
            <w:tcW w:w="9240" w:type="dxa"/>
          </w:tcPr>
          <w:p>
            <w:pPr>
              <w:pStyle w:val="0"/>
              <w:jc w:val="both"/>
            </w:pPr>
            <w:r>
              <w:rPr>
                <w:sz w:val="20"/>
              </w:rPr>
              <w:t xml:space="preserve">5. Железные дороги промышленных предприятий и автомобильные дороги IV и V категорий, параллельно которым прокладывается трубопровод; отдельно стоящие нежилые и подсобные здания и сооружения</w:t>
            </w:r>
          </w:p>
        </w:tc>
        <w:tc>
          <w:tcPr>
            <w:tcW w:w="2970" w:type="dxa"/>
          </w:tcPr>
          <w:p>
            <w:pPr>
              <w:pStyle w:val="0"/>
              <w:jc w:val="center"/>
            </w:pPr>
            <w:r>
              <w:rPr>
                <w:sz w:val="20"/>
              </w:rPr>
              <w:t xml:space="preserve">5</w:t>
            </w:r>
          </w:p>
        </w:tc>
      </w:tr>
      <w:tr>
        <w:tc>
          <w:tcPr>
            <w:tcW w:w="9240" w:type="dxa"/>
          </w:tcPr>
          <w:p>
            <w:pPr>
              <w:pStyle w:val="0"/>
              <w:jc w:val="both"/>
            </w:pPr>
            <w:r>
              <w:rPr>
                <w:sz w:val="20"/>
              </w:rPr>
              <w:t xml:space="preserve">6. Мосты железных и автомобильных дорог с пролетом свыше 20 м (при прокладке трубопроводов ниже мостов по течению)</w:t>
            </w:r>
          </w:p>
        </w:tc>
        <w:tc>
          <w:tcPr>
            <w:tcW w:w="2970" w:type="dxa"/>
          </w:tcPr>
          <w:p>
            <w:pPr>
              <w:pStyle w:val="0"/>
              <w:jc w:val="center"/>
            </w:pPr>
            <w:r>
              <w:rPr>
                <w:sz w:val="20"/>
              </w:rPr>
              <w:t xml:space="preserve">75</w:t>
            </w:r>
          </w:p>
        </w:tc>
      </w:tr>
      <w:tr>
        <w:tc>
          <w:tcPr>
            <w:tcW w:w="9240" w:type="dxa"/>
          </w:tcPr>
          <w:p>
            <w:pPr>
              <w:pStyle w:val="0"/>
              <w:jc w:val="both"/>
            </w:pPr>
            <w:r>
              <w:rPr>
                <w:sz w:val="20"/>
              </w:rPr>
              <w:t xml:space="preserve">7. Водопроводные насосные станции; устья артезианских скважин; очистные сооружения водопроводных сетей</w:t>
            </w:r>
          </w:p>
        </w:tc>
        <w:tc>
          <w:tcPr>
            <w:tcW w:w="2970" w:type="dxa"/>
          </w:tcPr>
          <w:p>
            <w:pPr>
              <w:pStyle w:val="0"/>
              <w:jc w:val="center"/>
            </w:pPr>
            <w:r>
              <w:rPr>
                <w:sz w:val="20"/>
              </w:rPr>
              <w:t xml:space="preserve">30</w:t>
            </w:r>
          </w:p>
        </w:tc>
      </w:tr>
      <w:tr>
        <w:tblPrEx>
          <w:tblBorders>
            <w:insideH w:val="nil"/>
          </w:tblBorders>
        </w:tblPrEx>
        <w:tc>
          <w:tcPr>
            <w:tcW w:w="9240" w:type="dxa"/>
            <w:tcBorders>
              <w:bottom w:val="nil"/>
            </w:tcBorders>
          </w:tcPr>
          <w:p>
            <w:pPr>
              <w:pStyle w:val="0"/>
              <w:jc w:val="both"/>
            </w:pPr>
            <w:r>
              <w:rPr>
                <w:sz w:val="20"/>
              </w:rPr>
              <w:t xml:space="preserve">8. Инженерные сети (существующие), параллельно которым прокладывается трубопровод:</w:t>
            </w:r>
          </w:p>
        </w:tc>
        <w:tc>
          <w:tcPr>
            <w:tcW w:w="2970" w:type="dxa"/>
            <w:tcBorders>
              <w:bottom w:val="nil"/>
            </w:tcBorders>
          </w:tcPr>
          <w:p>
            <w:pPr>
              <w:pStyle w:val="0"/>
              <w:jc w:val="both"/>
            </w:pPr>
            <w:r>
              <w:rPr>
                <w:sz w:val="20"/>
              </w:rPr>
            </w:r>
          </w:p>
        </w:tc>
      </w:tr>
      <w:tr>
        <w:tblPrEx>
          <w:tblBorders>
            <w:insideH w:val="nil"/>
          </w:tblBorders>
        </w:tblPrEx>
        <w:tc>
          <w:tcPr>
            <w:tcW w:w="9240" w:type="dxa"/>
            <w:tcBorders>
              <w:top w:val="nil"/>
              <w:bottom w:val="nil"/>
            </w:tcBorders>
          </w:tcPr>
          <w:p>
            <w:pPr>
              <w:pStyle w:val="0"/>
            </w:pPr>
            <w:r>
              <w:rPr>
                <w:sz w:val="20"/>
              </w:rPr>
              <w:t xml:space="preserve">водопровод, канализация, теплопроводы, кабели связи</w:t>
            </w:r>
          </w:p>
        </w:tc>
        <w:tc>
          <w:tcPr>
            <w:tcW w:w="2970" w:type="dxa"/>
            <w:tcBorders>
              <w:top w:val="nil"/>
              <w:bottom w:val="nil"/>
            </w:tcBorders>
          </w:tcPr>
          <w:p>
            <w:pPr>
              <w:pStyle w:val="0"/>
              <w:jc w:val="center"/>
            </w:pPr>
            <w:r>
              <w:rPr>
                <w:sz w:val="20"/>
              </w:rPr>
              <w:t xml:space="preserve">5</w:t>
            </w:r>
          </w:p>
        </w:tc>
      </w:tr>
      <w:tr>
        <w:tblPrEx>
          <w:tblBorders>
            <w:insideH w:val="nil"/>
          </w:tblBorders>
        </w:tblPrEx>
        <w:tc>
          <w:tcPr>
            <w:tcW w:w="9240" w:type="dxa"/>
            <w:tcBorders>
              <w:top w:val="nil"/>
            </w:tcBorders>
          </w:tcPr>
          <w:p>
            <w:pPr>
              <w:pStyle w:val="0"/>
            </w:pPr>
            <w:r>
              <w:rPr>
                <w:sz w:val="20"/>
              </w:rPr>
              <w:t xml:space="preserve">газопроводы, нефтепроводы, нефтепродуктопроводы</w:t>
            </w:r>
          </w:p>
        </w:tc>
        <w:tc>
          <w:tcPr>
            <w:tcW w:w="2970" w:type="dxa"/>
            <w:tcBorders>
              <w:top w:val="nil"/>
            </w:tcBorders>
          </w:tcPr>
          <w:p>
            <w:pPr>
              <w:pStyle w:val="0"/>
              <w:jc w:val="center"/>
            </w:pPr>
            <w:r>
              <w:rPr>
                <w:sz w:val="20"/>
              </w:rPr>
              <w:t xml:space="preserve">2,5</w:t>
            </w:r>
          </w:p>
        </w:tc>
      </w:tr>
    </w:tbl>
    <w:p>
      <w:pPr>
        <w:sectPr>
          <w:headerReference w:type="default" r:id="rId212"/>
          <w:headerReference w:type="first" r:id="rId212"/>
          <w:footerReference w:type="default" r:id="rId213"/>
          <w:footerReference w:type="first" r:id="rId213"/>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6.6.7. Расстояния, указанные в </w:t>
      </w:r>
      <w:hyperlink w:history="0" w:anchor="P1848" w:tooltip="Таблица 28">
        <w:r>
          <w:rPr>
            <w:sz w:val="20"/>
            <w:color w:val="0000ff"/>
          </w:rPr>
          <w:t xml:space="preserve">таблице 28</w:t>
        </w:r>
      </w:hyperlink>
      <w:r>
        <w:rPr>
          <w:sz w:val="20"/>
        </w:rPr>
        <w:t xml:space="preserve">, принимаются: для жилых и общественных зданий и сооружений, дач, садовых домиков, индивидуальных гаражей, отдельных промышленных предприятий, сооружений водопровода и канализации, артезианских скважин - от границ, отведенных им территорий с учетом их развития; для железных и автомобильных дорог всех категорий - от подошвы насыпи земляного полотна или бортового камня: для всех мостов - от подошвы конусов.</w:t>
      </w:r>
    </w:p>
    <w:p>
      <w:pPr>
        <w:pStyle w:val="0"/>
        <w:spacing w:before="200" w:line-rule="auto"/>
        <w:ind w:firstLine="540"/>
        <w:jc w:val="both"/>
      </w:pPr>
      <w:r>
        <w:rPr>
          <w:sz w:val="20"/>
        </w:rPr>
        <w:t xml:space="preserve">6.6.8. При соответствующем обосновании допускается сокращать приведенные в </w:t>
      </w:r>
      <w:hyperlink w:history="0" w:anchor="P1854" w:tooltip="2. Жилые здания в один и два этажа, автозаправочные станции; электроподстанции; кладбища; мачты (башни) и сооружения многоканальной радиорелейной связи; телевизионные башни; теплицы; склады различного назначения">
        <w:r>
          <w:rPr>
            <w:sz w:val="20"/>
            <w:color w:val="0000ff"/>
          </w:rPr>
          <w:t xml:space="preserve">поз. 2</w:t>
        </w:r>
      </w:hyperlink>
      <w:r>
        <w:rPr>
          <w:sz w:val="20"/>
        </w:rPr>
        <w:t xml:space="preserve"> и </w:t>
      </w:r>
      <w:hyperlink w:history="0" w:anchor="P1856" w:tooltip="3. Территории промышленных и сельскохозяйственных (фермы, тока, загоны для скота, силосные ямы) предприятий; дачи; садовые домики; индивидуальные гаражи при числе боксов свыше 20; путепроводы железных и автомобильных дорог; канализационные сооружения">
        <w:r>
          <w:rPr>
            <w:sz w:val="20"/>
            <w:color w:val="0000ff"/>
          </w:rPr>
          <w:t xml:space="preserve">3</w:t>
        </w:r>
      </w:hyperlink>
      <w:r>
        <w:rPr>
          <w:sz w:val="20"/>
        </w:rPr>
        <w:t xml:space="preserve"> (кроме жилых зданий) таблицы 28 расстояния от трубопровода не более чем на 30%, при условии, что трубопровод с условным диаметром свыше 200 мм и до 500 мм включительно прокладывается в защитном кожухе, концы которого выводятся на 20 м за пределы проекции защищаемой застройки на трубопровод, а трубопровод с условным диаметром 200 мм и менее - при условии выполнения требований нормативных документов в области стандартизации, предъявляемых к конструкции нефтепродуктопроводов с условным диаметром свыше 200 мм и до 500 мм включительно.</w:t>
      </w:r>
    </w:p>
    <w:p>
      <w:pPr>
        <w:pStyle w:val="0"/>
        <w:spacing w:before="200" w:line-rule="auto"/>
        <w:ind w:firstLine="540"/>
        <w:jc w:val="both"/>
      </w:pPr>
      <w:r>
        <w:rPr>
          <w:sz w:val="20"/>
        </w:rPr>
        <w:t xml:space="preserve">6.6.9. Допускается прокладка трубопроводов с условным диаметром 200 мм и менее на расстоянии не менее 30 м от общественных и жилых зданий, приведенных в </w:t>
      </w:r>
      <w:hyperlink w:history="0" w:anchor="P1852" w:tooltip="1. Общественные здания и сооружения; жилые здания в три этажа и более">
        <w:r>
          <w:rPr>
            <w:sz w:val="20"/>
            <w:color w:val="0000ff"/>
          </w:rPr>
          <w:t xml:space="preserve">поз. 1</w:t>
        </w:r>
      </w:hyperlink>
      <w:r>
        <w:rPr>
          <w:sz w:val="20"/>
        </w:rPr>
        <w:t xml:space="preserve"> таблицы 28, при условии укладки их в местах приближения (от 50 до 30 м) в защитном кожухе.</w:t>
      </w:r>
    </w:p>
    <w:p>
      <w:pPr>
        <w:pStyle w:val="0"/>
        <w:spacing w:before="200" w:line-rule="auto"/>
        <w:ind w:firstLine="540"/>
        <w:jc w:val="both"/>
      </w:pPr>
      <w:r>
        <w:rPr>
          <w:sz w:val="20"/>
        </w:rPr>
        <w:t xml:space="preserve">6.6.10. Степень огнестойкости зданий и сооружений, входящих в состав нефтепродуктопроводов следует принимать по </w:t>
      </w:r>
      <w:hyperlink w:history="0" r:id="rId328" w:tooltip="&quot;СП 2.13130.2009. Свод правил. Системы противопожарной защиты. Обеспечение огнестойкости объектов защиты&quot; (утв. Приказом МЧС РФ от 25.03.2009 N 172) ------------ Утратил силу или отменен {КонсультантПлюс}">
        <w:r>
          <w:rPr>
            <w:sz w:val="20"/>
            <w:color w:val="0000ff"/>
          </w:rPr>
          <w:t xml:space="preserve">СП 2.13130</w:t>
        </w:r>
      </w:hyperlink>
      <w:r>
        <w:rPr>
          <w:sz w:val="20"/>
        </w:rPr>
        <w:t xml:space="preserve">.</w:t>
      </w:r>
    </w:p>
    <w:p>
      <w:pPr>
        <w:pStyle w:val="0"/>
        <w:jc w:val="both"/>
      </w:pPr>
      <w:r>
        <w:rPr>
          <w:sz w:val="20"/>
        </w:rPr>
        <w:t xml:space="preserve">(п. 6.6.10 в ред. </w:t>
      </w:r>
      <w:hyperlink w:history="0" r:id="rId329"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ind w:firstLine="540"/>
        <w:jc w:val="both"/>
      </w:pPr>
      <w:r>
        <w:rPr>
          <w:sz w:val="20"/>
        </w:rPr>
      </w:r>
    </w:p>
    <w:p>
      <w:pPr>
        <w:pStyle w:val="2"/>
        <w:outlineLvl w:val="2"/>
        <w:ind w:firstLine="540"/>
        <w:jc w:val="both"/>
      </w:pPr>
      <w:r>
        <w:rPr>
          <w:sz w:val="20"/>
        </w:rPr>
        <w:t xml:space="preserve">6.7. Требования к газораспределительным системам</w:t>
      </w:r>
    </w:p>
    <w:p>
      <w:pPr>
        <w:pStyle w:val="0"/>
        <w:ind w:firstLine="540"/>
        <w:jc w:val="both"/>
      </w:pPr>
      <w:r>
        <w:rPr>
          <w:sz w:val="20"/>
        </w:rPr>
      </w:r>
    </w:p>
    <w:p>
      <w:pPr>
        <w:pStyle w:val="0"/>
        <w:ind w:firstLine="540"/>
        <w:jc w:val="both"/>
      </w:pPr>
      <w:r>
        <w:rPr>
          <w:sz w:val="20"/>
        </w:rPr>
        <w:t xml:space="preserve">6.7.1. Настоящий подраздел свода правил устанавливает нормы и правила проектирования, строительства, реконструкции, капитального ремонта, расширения и технического перевооружения сетей газораспределения, газопотребления и объектов сжиженных углеводородных газов (СУГ), предназначенных для обеспечения природным и сжиженными углеводородными газами потребителей, использующих газ в качестве топлива.</w:t>
      </w:r>
    </w:p>
    <w:p>
      <w:pPr>
        <w:pStyle w:val="0"/>
        <w:jc w:val="both"/>
      </w:pPr>
      <w:r>
        <w:rPr>
          <w:sz w:val="20"/>
        </w:rPr>
        <w:t xml:space="preserve">(п. 6.7.1 в ред. </w:t>
      </w:r>
      <w:hyperlink w:history="0" r:id="rId330"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6.7.2. Надземные газопроводы в зависимости от давления прокладываются на опорах из материалов НГ или по конструкциям зданий и сооружений в соответствии с </w:t>
      </w:r>
      <w:hyperlink w:history="0" w:anchor="P1885" w:tooltip="Таблица 29">
        <w:r>
          <w:rPr>
            <w:sz w:val="20"/>
            <w:color w:val="0000ff"/>
          </w:rPr>
          <w:t xml:space="preserve">таблицей 29</w:t>
        </w:r>
      </w:hyperlink>
      <w:r>
        <w:rPr>
          <w:sz w:val="20"/>
        </w:rPr>
        <w:t xml:space="preserve">.</w:t>
      </w:r>
    </w:p>
    <w:p>
      <w:pPr>
        <w:pStyle w:val="0"/>
        <w:ind w:firstLine="540"/>
        <w:jc w:val="both"/>
      </w:pPr>
      <w:r>
        <w:rPr>
          <w:sz w:val="20"/>
        </w:rPr>
      </w:r>
    </w:p>
    <w:bookmarkStart w:id="1885" w:name="P1885"/>
    <w:bookmarkEnd w:id="1885"/>
    <w:p>
      <w:pPr>
        <w:pStyle w:val="0"/>
        <w:outlineLvl w:val="3"/>
        <w:jc w:val="both"/>
      </w:pPr>
      <w:r>
        <w:rPr>
          <w:sz w:val="20"/>
        </w:rPr>
        <w:t xml:space="preserve">Таблица 29</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8250"/>
        <w:gridCol w:w="3960"/>
      </w:tblGrid>
      <w:tr>
        <w:tblPrEx>
          <w:tblBorders>
            <w:insideH w:val="single" w:sz="4"/>
          </w:tblBorders>
        </w:tblPrEx>
        <w:tc>
          <w:tcPr>
            <w:tcW w:w="8250" w:type="dxa"/>
            <w:tcBorders>
              <w:top w:val="single" w:sz="4"/>
              <w:bottom w:val="single" w:sz="4"/>
            </w:tcBorders>
          </w:tcPr>
          <w:p>
            <w:pPr>
              <w:pStyle w:val="0"/>
              <w:jc w:val="center"/>
            </w:pPr>
            <w:r>
              <w:rPr>
                <w:sz w:val="20"/>
              </w:rPr>
              <w:t xml:space="preserve">Размещение надземных газопроводов</w:t>
            </w:r>
          </w:p>
        </w:tc>
        <w:tc>
          <w:tcPr>
            <w:tcW w:w="3960" w:type="dxa"/>
            <w:tcBorders>
              <w:top w:val="single" w:sz="4"/>
              <w:bottom w:val="single" w:sz="4"/>
            </w:tcBorders>
          </w:tcPr>
          <w:p>
            <w:pPr>
              <w:pStyle w:val="0"/>
              <w:jc w:val="center"/>
            </w:pPr>
            <w:r>
              <w:rPr>
                <w:sz w:val="20"/>
              </w:rPr>
              <w:t xml:space="preserve">Давление газа в газопроводе, МПа,</w:t>
            </w:r>
          </w:p>
          <w:p>
            <w:pPr>
              <w:pStyle w:val="0"/>
              <w:jc w:val="center"/>
            </w:pPr>
            <w:r>
              <w:rPr>
                <w:sz w:val="20"/>
              </w:rPr>
              <w:t xml:space="preserve">не более</w:t>
            </w:r>
          </w:p>
        </w:tc>
      </w:tr>
      <w:tr>
        <w:tblPrEx>
          <w:tblBorders>
            <w:insideH w:val="single" w:sz="4"/>
          </w:tblBorders>
        </w:tblPrEx>
        <w:tc>
          <w:tcPr>
            <w:tcW w:w="8250" w:type="dxa"/>
            <w:tcBorders>
              <w:top w:val="single" w:sz="4"/>
              <w:bottom w:val="single" w:sz="4"/>
            </w:tcBorders>
          </w:tcPr>
          <w:p>
            <w:pPr>
              <w:pStyle w:val="0"/>
            </w:pPr>
            <w:r>
              <w:rPr>
                <w:sz w:val="20"/>
              </w:rPr>
              <w:t xml:space="preserve">1. На отдельно стоящих опорах, колоннах, эстакадах и этажерках</w:t>
            </w:r>
          </w:p>
        </w:tc>
        <w:tc>
          <w:tcPr>
            <w:tcW w:w="3960" w:type="dxa"/>
            <w:tcBorders>
              <w:top w:val="single" w:sz="4"/>
              <w:bottom w:val="single" w:sz="4"/>
            </w:tcBorders>
          </w:tcPr>
          <w:p>
            <w:pPr>
              <w:pStyle w:val="0"/>
              <w:jc w:val="center"/>
            </w:pPr>
            <w:r>
              <w:rPr>
                <w:sz w:val="20"/>
              </w:rPr>
              <w:t xml:space="preserve">1,2 (для природного газа);</w:t>
            </w:r>
          </w:p>
          <w:p>
            <w:pPr>
              <w:pStyle w:val="0"/>
              <w:jc w:val="center"/>
            </w:pPr>
            <w:r>
              <w:rPr>
                <w:sz w:val="20"/>
              </w:rPr>
              <w:t xml:space="preserve">1,6 (для СУГ)</w:t>
            </w:r>
          </w:p>
        </w:tc>
      </w:tr>
      <w:tr>
        <w:tc>
          <w:tcPr>
            <w:tcW w:w="8250" w:type="dxa"/>
            <w:tcBorders>
              <w:top w:val="single" w:sz="4"/>
              <w:bottom w:val="nil"/>
            </w:tcBorders>
          </w:tcPr>
          <w:p>
            <w:pPr>
              <w:pStyle w:val="0"/>
            </w:pPr>
            <w:r>
              <w:rPr>
                <w:sz w:val="20"/>
              </w:rPr>
              <w:t xml:space="preserve">2. Котельные, производственные здания с помещениями категорий В1 - В4, Г и Д и здания ГНС (ГНП), административно-бытовые здания производственных объектов, а также встроенные, пристроенные и крышные котельные к ним:</w:t>
            </w:r>
          </w:p>
        </w:tc>
        <w:tc>
          <w:tcPr>
            <w:tcW w:w="3960" w:type="dxa"/>
            <w:tcBorders>
              <w:top w:val="single" w:sz="4"/>
              <w:bottom w:val="nil"/>
            </w:tcBorders>
          </w:tcPr>
          <w:p>
            <w:pPr>
              <w:pStyle w:val="0"/>
              <w:jc w:val="center"/>
            </w:pPr>
            <w:r>
              <w:rPr>
                <w:sz w:val="20"/>
              </w:rPr>
            </w:r>
          </w:p>
        </w:tc>
      </w:tr>
      <w:tr>
        <w:tc>
          <w:tcPr>
            <w:tcW w:w="8250" w:type="dxa"/>
            <w:tcBorders>
              <w:top w:val="nil"/>
              <w:bottom w:val="nil"/>
            </w:tcBorders>
          </w:tcPr>
          <w:p>
            <w:pPr>
              <w:pStyle w:val="0"/>
            </w:pPr>
            <w:r>
              <w:rPr>
                <w:sz w:val="20"/>
              </w:rPr>
              <w:t xml:space="preserve">а) по стенам и кровлям зданий I и II степеней огнестойкости класса пожарной опасности С0</w:t>
            </w:r>
          </w:p>
        </w:tc>
        <w:tc>
          <w:tcPr>
            <w:tcW w:w="3960" w:type="dxa"/>
            <w:vAlign w:val="bottom"/>
            <w:tcBorders>
              <w:top w:val="nil"/>
              <w:bottom w:val="nil"/>
            </w:tcBorders>
          </w:tcPr>
          <w:p>
            <w:pPr>
              <w:pStyle w:val="0"/>
              <w:jc w:val="center"/>
            </w:pPr>
            <w:r>
              <w:rPr>
                <w:sz w:val="20"/>
              </w:rPr>
              <w:t xml:space="preserve">1,2 </w:t>
            </w:r>
            <w:hyperlink w:history="0" w:anchor="P1910" w:tooltip="&lt;*&gt; Давление газа в газопроводе, прокладываемом по конструкциям зданий, не должно превышать величин, указанных в таблице для соответствующих потребителей.">
              <w:r>
                <w:rPr>
                  <w:sz w:val="20"/>
                  <w:color w:val="0000ff"/>
                </w:rPr>
                <w:t xml:space="preserve">&lt;*&gt;</w:t>
              </w:r>
            </w:hyperlink>
          </w:p>
        </w:tc>
      </w:tr>
      <w:tr>
        <w:tc>
          <w:tcPr>
            <w:tcW w:w="8250" w:type="dxa"/>
            <w:tcBorders>
              <w:top w:val="nil"/>
              <w:bottom w:val="nil"/>
            </w:tcBorders>
          </w:tcPr>
          <w:p>
            <w:pPr>
              <w:pStyle w:val="0"/>
            </w:pPr>
            <w:r>
              <w:rPr>
                <w:sz w:val="20"/>
              </w:rPr>
              <w:t xml:space="preserve">II степени огнестойкости класса С1 и III степени огнестойкости класса С0</w:t>
            </w:r>
          </w:p>
        </w:tc>
        <w:tc>
          <w:tcPr>
            <w:tcW w:w="3960" w:type="dxa"/>
            <w:tcBorders>
              <w:top w:val="nil"/>
              <w:bottom w:val="nil"/>
            </w:tcBorders>
          </w:tcPr>
          <w:p>
            <w:pPr>
              <w:pStyle w:val="0"/>
              <w:jc w:val="center"/>
            </w:pPr>
            <w:r>
              <w:rPr>
                <w:sz w:val="20"/>
              </w:rPr>
              <w:t xml:space="preserve">0,6 </w:t>
            </w:r>
            <w:hyperlink w:history="0" w:anchor="P1910" w:tooltip="&lt;*&gt; Давление газа в газопроводе, прокладываемом по конструкциям зданий, не должно превышать величин, указанных в таблице для соответствующих потребителей.">
              <w:r>
                <w:rPr>
                  <w:sz w:val="20"/>
                  <w:color w:val="0000ff"/>
                </w:rPr>
                <w:t xml:space="preserve">&lt;*&gt;</w:t>
              </w:r>
            </w:hyperlink>
          </w:p>
        </w:tc>
      </w:tr>
      <w:tr>
        <w:tc>
          <w:tcPr>
            <w:tcW w:w="8250" w:type="dxa"/>
            <w:tcBorders>
              <w:top w:val="nil"/>
              <w:bottom w:val="nil"/>
            </w:tcBorders>
          </w:tcPr>
          <w:p>
            <w:pPr>
              <w:pStyle w:val="0"/>
            </w:pPr>
            <w:r>
              <w:rPr>
                <w:sz w:val="20"/>
              </w:rPr>
              <w:t xml:space="preserve">б) по стенам зданий III степени огнестойкости класса С1, IV степени огнестойкости класса С0</w:t>
            </w:r>
          </w:p>
        </w:tc>
        <w:tc>
          <w:tcPr>
            <w:tcW w:w="3960" w:type="dxa"/>
            <w:vAlign w:val="bottom"/>
            <w:tcBorders>
              <w:top w:val="nil"/>
              <w:bottom w:val="nil"/>
            </w:tcBorders>
          </w:tcPr>
          <w:p>
            <w:pPr>
              <w:pStyle w:val="0"/>
              <w:jc w:val="center"/>
            </w:pPr>
            <w:r>
              <w:rPr>
                <w:sz w:val="20"/>
              </w:rPr>
              <w:t xml:space="preserve">0,3 </w:t>
            </w:r>
            <w:hyperlink w:history="0" w:anchor="P1910" w:tooltip="&lt;*&gt; Давление газа в газопроводе, прокладываемом по конструкциям зданий, не должно превышать величин, указанных в таблице для соответствующих потребителей.">
              <w:r>
                <w:rPr>
                  <w:sz w:val="20"/>
                  <w:color w:val="0000ff"/>
                </w:rPr>
                <w:t xml:space="preserve">&lt;*&gt;</w:t>
              </w:r>
            </w:hyperlink>
          </w:p>
        </w:tc>
      </w:tr>
      <w:tr>
        <w:tc>
          <w:tcPr>
            <w:tcW w:w="8250" w:type="dxa"/>
            <w:tcBorders>
              <w:top w:val="nil"/>
              <w:bottom w:val="single" w:sz="4"/>
            </w:tcBorders>
          </w:tcPr>
          <w:p>
            <w:pPr>
              <w:pStyle w:val="0"/>
            </w:pPr>
            <w:r>
              <w:rPr>
                <w:sz w:val="20"/>
              </w:rPr>
              <w:t xml:space="preserve">IV степени огнестойкости классов С1 и С2</w:t>
            </w:r>
          </w:p>
        </w:tc>
        <w:tc>
          <w:tcPr>
            <w:tcW w:w="3960" w:type="dxa"/>
            <w:tcBorders>
              <w:top w:val="nil"/>
              <w:bottom w:val="single" w:sz="4"/>
            </w:tcBorders>
          </w:tcPr>
          <w:p>
            <w:pPr>
              <w:pStyle w:val="0"/>
              <w:jc w:val="center"/>
            </w:pPr>
            <w:r>
              <w:rPr>
                <w:sz w:val="20"/>
              </w:rPr>
              <w:t xml:space="preserve">0,005</w:t>
            </w:r>
          </w:p>
        </w:tc>
      </w:tr>
      <w:tr>
        <w:tc>
          <w:tcPr>
            <w:tcW w:w="8250" w:type="dxa"/>
            <w:tcBorders>
              <w:top w:val="single" w:sz="4"/>
              <w:bottom w:val="nil"/>
            </w:tcBorders>
          </w:tcPr>
          <w:p>
            <w:pPr>
              <w:pStyle w:val="0"/>
            </w:pPr>
            <w:r>
              <w:rPr>
                <w:sz w:val="20"/>
              </w:rPr>
              <w:t xml:space="preserve">3. Жилые, административные, общественные и бытовые здания, а также встроенные, пристроенные и крышные котельные к ним:</w:t>
            </w:r>
          </w:p>
        </w:tc>
        <w:tc>
          <w:tcPr>
            <w:tcW w:w="3960" w:type="dxa"/>
            <w:tcBorders>
              <w:top w:val="single" w:sz="4"/>
              <w:bottom w:val="nil"/>
            </w:tcBorders>
          </w:tcPr>
          <w:p>
            <w:pPr>
              <w:pStyle w:val="0"/>
              <w:jc w:val="center"/>
            </w:pPr>
            <w:r>
              <w:rPr>
                <w:sz w:val="20"/>
              </w:rPr>
            </w:r>
          </w:p>
        </w:tc>
      </w:tr>
      <w:tr>
        <w:tc>
          <w:tcPr>
            <w:tcW w:w="8250" w:type="dxa"/>
            <w:tcBorders>
              <w:top w:val="nil"/>
              <w:bottom w:val="nil"/>
            </w:tcBorders>
          </w:tcPr>
          <w:p>
            <w:pPr>
              <w:pStyle w:val="0"/>
            </w:pPr>
            <w:r>
              <w:rPr>
                <w:sz w:val="20"/>
              </w:rPr>
              <w:t xml:space="preserve">по стенам зданий всех степеней огнестойкости в случаях размещения шкафов</w:t>
            </w:r>
          </w:p>
        </w:tc>
        <w:tc>
          <w:tcPr>
            <w:tcW w:w="3960" w:type="dxa"/>
            <w:tcBorders>
              <w:top w:val="nil"/>
              <w:bottom w:val="nil"/>
            </w:tcBorders>
          </w:tcPr>
          <w:p>
            <w:pPr>
              <w:pStyle w:val="0"/>
              <w:jc w:val="center"/>
            </w:pPr>
            <w:r>
              <w:rPr>
                <w:sz w:val="20"/>
              </w:rPr>
              <w:t xml:space="preserve">0,005</w:t>
            </w:r>
          </w:p>
        </w:tc>
      </w:tr>
      <w:tr>
        <w:tc>
          <w:tcPr>
            <w:tcW w:w="8250" w:type="dxa"/>
            <w:tcBorders>
              <w:top w:val="nil"/>
              <w:bottom w:val="single" w:sz="4"/>
            </w:tcBorders>
          </w:tcPr>
          <w:p>
            <w:pPr>
              <w:pStyle w:val="0"/>
            </w:pPr>
            <w:r>
              <w:rPr>
                <w:sz w:val="20"/>
              </w:rPr>
              <w:t xml:space="preserve">газораспределительных пунктов (ШРП) на наружных стенах зданий (только до ШРП)</w:t>
            </w:r>
          </w:p>
        </w:tc>
        <w:tc>
          <w:tcPr>
            <w:tcW w:w="3960" w:type="dxa"/>
            <w:vAlign w:val="center"/>
            <w:tcBorders>
              <w:top w:val="nil"/>
              <w:bottom w:val="single" w:sz="4"/>
            </w:tcBorders>
          </w:tcPr>
          <w:p>
            <w:pPr>
              <w:pStyle w:val="0"/>
              <w:jc w:val="center"/>
            </w:pPr>
            <w:r>
              <w:rPr>
                <w:sz w:val="20"/>
              </w:rPr>
              <w:t xml:space="preserve">0,3</w:t>
            </w:r>
          </w:p>
        </w:tc>
      </w:tr>
      <w:tr>
        <w:tblPrEx>
          <w:tblBorders>
            <w:insideH w:val="single" w:sz="4"/>
          </w:tblBorders>
        </w:tblPrEx>
        <w:tc>
          <w:tcPr>
            <w:gridSpan w:val="2"/>
            <w:tcW w:w="12210" w:type="dxa"/>
            <w:tcBorders>
              <w:top w:val="single" w:sz="4"/>
              <w:bottom w:val="single" w:sz="4"/>
            </w:tcBorders>
          </w:tcPr>
          <w:p>
            <w:pPr>
              <w:pStyle w:val="0"/>
            </w:pPr>
            <w:r>
              <w:rPr>
                <w:sz w:val="20"/>
              </w:rPr>
              <w:t xml:space="preserve">---------------------------------</w:t>
            </w:r>
          </w:p>
          <w:bookmarkStart w:id="1910" w:name="P1910"/>
          <w:bookmarkEnd w:id="1910"/>
          <w:p>
            <w:pPr>
              <w:pStyle w:val="0"/>
            </w:pPr>
            <w:r>
              <w:rPr>
                <w:sz w:val="20"/>
              </w:rPr>
              <w:t xml:space="preserve">&lt;*&gt; Давление газа в газопроводе, прокладываемом по конструкциям зданий, не должно превышать величин, указанных в таблице для соответствующих потребителей.</w:t>
            </w:r>
          </w:p>
        </w:tc>
      </w:tr>
    </w:tbl>
    <w:p>
      <w:pPr>
        <w:sectPr>
          <w:headerReference w:type="default" r:id="rId212"/>
          <w:headerReference w:type="first" r:id="rId212"/>
          <w:footerReference w:type="default" r:id="rId213"/>
          <w:footerReference w:type="first" r:id="rId213"/>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6.7.3. Транзитная прокладка газопроводов всех давлений по стенам и над кровлями общественных зданий, в том числе зданий административного назначения не допускается.</w:t>
      </w:r>
    </w:p>
    <w:p>
      <w:pPr>
        <w:pStyle w:val="0"/>
        <w:spacing w:before="200" w:line-rule="auto"/>
        <w:ind w:firstLine="540"/>
        <w:jc w:val="both"/>
      </w:pPr>
      <w:r>
        <w:rPr>
          <w:sz w:val="20"/>
        </w:rPr>
        <w:t xml:space="preserve">Запрещается прокладка газопроводов всех давлений по стенам, над и под помещениями категорий А и Б по взрывопожарной опасности, за исключением зданий газорегуляторных пунктов (ГРП), газонаполнительной станции (ГНС (ГНП).</w:t>
      </w:r>
    </w:p>
    <w:p>
      <w:pPr>
        <w:pStyle w:val="0"/>
        <w:spacing w:before="200" w:line-rule="auto"/>
        <w:ind w:firstLine="540"/>
        <w:jc w:val="both"/>
      </w:pPr>
      <w:r>
        <w:rPr>
          <w:sz w:val="20"/>
        </w:rPr>
        <w:t xml:space="preserve">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конструктивной пожарной опасности С0 и на расстоянии до кровли не менее 0,2 м.</w:t>
      </w:r>
    </w:p>
    <w:p>
      <w:pPr>
        <w:pStyle w:val="0"/>
        <w:jc w:val="both"/>
      </w:pPr>
      <w:r>
        <w:rPr>
          <w:sz w:val="20"/>
        </w:rPr>
        <w:t xml:space="preserve">(п. 6.7.3 в ред. </w:t>
      </w:r>
      <w:hyperlink w:history="0" r:id="rId331"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6.7.4. Газопроводы высокого давления прокладываются по глухим стенам и участкам стен или не менее чем на 0,5 м над оконными и дверными проемами верхних этажей производственных зданий и сблокированных с ними административных и бытовых зданий. Расстояние от газопровода до кровли здания должно быть не менее 0,2 м.</w:t>
      </w:r>
    </w:p>
    <w:p>
      <w:pPr>
        <w:pStyle w:val="0"/>
        <w:spacing w:before="200" w:line-rule="auto"/>
        <w:ind w:firstLine="540"/>
        <w:jc w:val="both"/>
      </w:pPr>
      <w:r>
        <w:rPr>
          <w:sz w:val="20"/>
        </w:rPr>
        <w:t xml:space="preserve">Газопроводы низкого и среднего давления могут прокладываться также вдоль переплетов или импостов не открывающихся окон и пересекать оконные проемы производственных зданий и котельных, заполненные стеклоблоками.</w:t>
      </w:r>
    </w:p>
    <w:p>
      <w:pPr>
        <w:pStyle w:val="0"/>
        <w:spacing w:before="200" w:line-rule="auto"/>
        <w:ind w:firstLine="540"/>
        <w:jc w:val="both"/>
      </w:pPr>
      <w:r>
        <w:rPr>
          <w:sz w:val="20"/>
        </w:rPr>
        <w:t xml:space="preserve">6.7.5. ГРП размещаются:</w:t>
      </w:r>
    </w:p>
    <w:p>
      <w:pPr>
        <w:pStyle w:val="0"/>
        <w:spacing w:before="200" w:line-rule="auto"/>
        <w:ind w:firstLine="540"/>
        <w:jc w:val="both"/>
      </w:pPr>
      <w:r>
        <w:rPr>
          <w:sz w:val="20"/>
        </w:rPr>
        <w:t xml:space="preserve">- отдельно стоящими;</w:t>
      </w:r>
    </w:p>
    <w:p>
      <w:pPr>
        <w:pStyle w:val="0"/>
        <w:spacing w:before="200" w:line-rule="auto"/>
        <w:ind w:firstLine="540"/>
        <w:jc w:val="both"/>
      </w:pPr>
      <w:r>
        <w:rPr>
          <w:sz w:val="20"/>
        </w:rPr>
        <w:t xml:space="preserve">- пристроенными к газифицируемым производственным зданиям, котельным и общественным зданиям с помещениями производственного характера;</w:t>
      </w:r>
    </w:p>
    <w:p>
      <w:pPr>
        <w:pStyle w:val="0"/>
        <w:spacing w:before="200" w:line-rule="auto"/>
        <w:ind w:firstLine="540"/>
        <w:jc w:val="both"/>
      </w:pPr>
      <w:r>
        <w:rPr>
          <w:sz w:val="20"/>
        </w:rPr>
        <w:t xml:space="preserve">- встроенными в одноэтажные газифицируемые производственные здания и котельные (кроме помещений, расположенных в подвальных и цокольных этажах);</w:t>
      </w:r>
    </w:p>
    <w:p>
      <w:pPr>
        <w:pStyle w:val="0"/>
        <w:spacing w:before="200" w:line-rule="auto"/>
        <w:ind w:firstLine="540"/>
        <w:jc w:val="both"/>
      </w:pPr>
      <w:r>
        <w:rPr>
          <w:sz w:val="20"/>
        </w:rPr>
        <w:t xml:space="preserve">- на покрытиях газифицируемых производственных зданий I и II степеней огнестойкости класса С0 с негорючим теплоизоляционным материалом;</w:t>
      </w:r>
    </w:p>
    <w:p>
      <w:pPr>
        <w:pStyle w:val="0"/>
        <w:jc w:val="both"/>
      </w:pPr>
      <w:r>
        <w:rPr>
          <w:sz w:val="20"/>
        </w:rPr>
        <w:t xml:space="preserve">(в ред. </w:t>
      </w:r>
      <w:hyperlink w:history="0" r:id="rId332"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 вне зданий на открытых огражденных площадках под навесом на территории промышленных предприятий.</w:t>
      </w:r>
    </w:p>
    <w:p>
      <w:pPr>
        <w:pStyle w:val="0"/>
        <w:spacing w:before="200" w:line-rule="auto"/>
        <w:ind w:firstLine="540"/>
        <w:jc w:val="both"/>
      </w:pPr>
      <w:r>
        <w:rPr>
          <w:sz w:val="20"/>
        </w:rPr>
        <w:t xml:space="preserve">Блочные газорегуляторные пункты (ГРПБ) размещаются отдельно стоящими.</w:t>
      </w:r>
    </w:p>
    <w:p>
      <w:pPr>
        <w:pStyle w:val="0"/>
        <w:spacing w:before="200" w:line-rule="auto"/>
        <w:ind w:firstLine="540"/>
        <w:jc w:val="both"/>
      </w:pPr>
      <w:r>
        <w:rPr>
          <w:sz w:val="20"/>
        </w:rPr>
        <w:t xml:space="preserve">6.7.6. Отдельно стоящие газорегуляторные пункты в поселениях должны располагаться на расстояниях от зданий и сооружений не менее указанных в </w:t>
      </w:r>
      <w:hyperlink w:history="0" w:anchor="P1928" w:tooltip="Таблица 30">
        <w:r>
          <w:rPr>
            <w:sz w:val="20"/>
            <w:color w:val="0000ff"/>
          </w:rPr>
          <w:t xml:space="preserve">таблице 30</w:t>
        </w:r>
      </w:hyperlink>
      <w:r>
        <w:rPr>
          <w:sz w:val="20"/>
        </w:rPr>
        <w:t xml:space="preserve">, а на территории промышленных предприятий и других предприятий производственного назначения - согласно требованиям </w:t>
      </w:r>
      <w:hyperlink w:history="0" w:anchor="P570" w:tooltip="6.1. Общие требования к объектам класса функциональной пожарной опасности Ф5">
        <w:r>
          <w:rPr>
            <w:sz w:val="20"/>
            <w:color w:val="0000ff"/>
          </w:rPr>
          <w:t xml:space="preserve">подраздела 6.1</w:t>
        </w:r>
      </w:hyperlink>
      <w:r>
        <w:rPr>
          <w:sz w:val="20"/>
        </w:rPr>
        <w:t xml:space="preserve">.</w:t>
      </w:r>
    </w:p>
    <w:p>
      <w:pPr>
        <w:pStyle w:val="0"/>
        <w:ind w:firstLine="540"/>
        <w:jc w:val="both"/>
      </w:pPr>
      <w:r>
        <w:rPr>
          <w:sz w:val="20"/>
        </w:rPr>
      </w:r>
    </w:p>
    <w:bookmarkStart w:id="1928" w:name="P1928"/>
    <w:bookmarkEnd w:id="1928"/>
    <w:p>
      <w:pPr>
        <w:pStyle w:val="0"/>
        <w:outlineLvl w:val="3"/>
        <w:jc w:val="both"/>
      </w:pPr>
      <w:r>
        <w:rPr>
          <w:sz w:val="20"/>
        </w:rPr>
        <w:t xml:space="preserve">Таблица 30</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70"/>
        <w:gridCol w:w="1980"/>
        <w:gridCol w:w="2145"/>
        <w:gridCol w:w="2475"/>
        <w:gridCol w:w="2640"/>
      </w:tblGrid>
      <w:tr>
        <w:tc>
          <w:tcPr>
            <w:tcW w:w="2970" w:type="dxa"/>
            <w:vMerge w:val="restart"/>
          </w:tcPr>
          <w:p>
            <w:pPr>
              <w:pStyle w:val="0"/>
              <w:jc w:val="center"/>
            </w:pPr>
            <w:r>
              <w:rPr>
                <w:sz w:val="20"/>
              </w:rPr>
              <w:t xml:space="preserve">Давление газа на вводе в ГРП, ГРПБ, ШРП, МПа</w:t>
            </w:r>
          </w:p>
        </w:tc>
        <w:tc>
          <w:tcPr>
            <w:gridSpan w:val="4"/>
            <w:tcW w:w="9240" w:type="dxa"/>
          </w:tcPr>
          <w:p>
            <w:pPr>
              <w:pStyle w:val="0"/>
              <w:jc w:val="center"/>
            </w:pPr>
            <w:r>
              <w:rPr>
                <w:sz w:val="20"/>
              </w:rPr>
              <w:t xml:space="preserve">Расстояния в свету от отдельно стоящих ГРП, ГРПБ и отдельно стоящих ШРП по горизонтали, м, до</w:t>
            </w:r>
          </w:p>
        </w:tc>
      </w:tr>
      <w:tr>
        <w:tc>
          <w:tcPr>
            <w:vMerge w:val="continue"/>
          </w:tcPr>
          <w:p/>
        </w:tc>
        <w:tc>
          <w:tcPr>
            <w:tcW w:w="1980" w:type="dxa"/>
          </w:tcPr>
          <w:p>
            <w:pPr>
              <w:pStyle w:val="0"/>
              <w:jc w:val="center"/>
            </w:pPr>
            <w:r>
              <w:rPr>
                <w:sz w:val="20"/>
              </w:rPr>
              <w:t xml:space="preserve">зданий и сооружений</w:t>
            </w:r>
          </w:p>
        </w:tc>
        <w:tc>
          <w:tcPr>
            <w:tcW w:w="2145" w:type="dxa"/>
          </w:tcPr>
          <w:p>
            <w:pPr>
              <w:pStyle w:val="0"/>
              <w:jc w:val="center"/>
            </w:pPr>
            <w:r>
              <w:rPr>
                <w:sz w:val="20"/>
              </w:rPr>
              <w:t xml:space="preserve">железнодорожных и трамвайных путей (до ближайшего рельса)</w:t>
            </w:r>
          </w:p>
        </w:tc>
        <w:tc>
          <w:tcPr>
            <w:tcW w:w="2475" w:type="dxa"/>
          </w:tcPr>
          <w:p>
            <w:pPr>
              <w:pStyle w:val="0"/>
              <w:jc w:val="center"/>
            </w:pPr>
            <w:r>
              <w:rPr>
                <w:sz w:val="20"/>
              </w:rPr>
              <w:t xml:space="preserve">автомобильных дорог (до обочины)</w:t>
            </w:r>
          </w:p>
        </w:tc>
        <w:tc>
          <w:tcPr>
            <w:tcW w:w="2640" w:type="dxa"/>
          </w:tcPr>
          <w:p>
            <w:pPr>
              <w:pStyle w:val="0"/>
              <w:jc w:val="center"/>
            </w:pPr>
            <w:r>
              <w:rPr>
                <w:sz w:val="20"/>
              </w:rPr>
              <w:t xml:space="preserve">воздушных линий электропередачи</w:t>
            </w:r>
          </w:p>
        </w:tc>
      </w:tr>
      <w:tr>
        <w:tc>
          <w:tcPr>
            <w:tcW w:w="2970" w:type="dxa"/>
          </w:tcPr>
          <w:p>
            <w:pPr>
              <w:pStyle w:val="0"/>
              <w:jc w:val="center"/>
            </w:pPr>
            <w:r>
              <w:rPr>
                <w:sz w:val="20"/>
              </w:rPr>
              <w:t xml:space="preserve">До 0,6</w:t>
            </w:r>
          </w:p>
        </w:tc>
        <w:tc>
          <w:tcPr>
            <w:tcW w:w="1980" w:type="dxa"/>
          </w:tcPr>
          <w:p>
            <w:pPr>
              <w:pStyle w:val="0"/>
              <w:jc w:val="center"/>
            </w:pPr>
            <w:r>
              <w:rPr>
                <w:sz w:val="20"/>
              </w:rPr>
              <w:t xml:space="preserve">10</w:t>
            </w:r>
          </w:p>
        </w:tc>
        <w:tc>
          <w:tcPr>
            <w:tcW w:w="2145" w:type="dxa"/>
          </w:tcPr>
          <w:p>
            <w:pPr>
              <w:pStyle w:val="0"/>
              <w:jc w:val="center"/>
            </w:pPr>
            <w:r>
              <w:rPr>
                <w:sz w:val="20"/>
              </w:rPr>
              <w:t xml:space="preserve">10</w:t>
            </w:r>
          </w:p>
        </w:tc>
        <w:tc>
          <w:tcPr>
            <w:tcW w:w="2475" w:type="dxa"/>
          </w:tcPr>
          <w:p>
            <w:pPr>
              <w:pStyle w:val="0"/>
              <w:jc w:val="center"/>
            </w:pPr>
            <w:r>
              <w:rPr>
                <w:sz w:val="20"/>
              </w:rPr>
              <w:t xml:space="preserve">5</w:t>
            </w:r>
          </w:p>
        </w:tc>
        <w:tc>
          <w:tcPr>
            <w:tcW w:w="2640" w:type="dxa"/>
            <w:vMerge w:val="restart"/>
          </w:tcPr>
          <w:p>
            <w:pPr>
              <w:pStyle w:val="0"/>
              <w:jc w:val="center"/>
            </w:pPr>
            <w:r>
              <w:rPr>
                <w:sz w:val="20"/>
              </w:rPr>
              <w:t xml:space="preserve">Не менее 1,5 высоты опоры</w:t>
            </w:r>
          </w:p>
        </w:tc>
      </w:tr>
      <w:tr>
        <w:tc>
          <w:tcPr>
            <w:tcW w:w="2970" w:type="dxa"/>
          </w:tcPr>
          <w:p>
            <w:pPr>
              <w:pStyle w:val="0"/>
              <w:jc w:val="center"/>
            </w:pPr>
            <w:r>
              <w:rPr>
                <w:sz w:val="20"/>
              </w:rPr>
              <w:t xml:space="preserve">Св. 0,6 до 1,2</w:t>
            </w:r>
          </w:p>
        </w:tc>
        <w:tc>
          <w:tcPr>
            <w:tcW w:w="1980" w:type="dxa"/>
          </w:tcPr>
          <w:p>
            <w:pPr>
              <w:pStyle w:val="0"/>
              <w:jc w:val="center"/>
            </w:pPr>
            <w:r>
              <w:rPr>
                <w:sz w:val="20"/>
              </w:rPr>
              <w:t xml:space="preserve">15</w:t>
            </w:r>
          </w:p>
        </w:tc>
        <w:tc>
          <w:tcPr>
            <w:tcW w:w="2145" w:type="dxa"/>
          </w:tcPr>
          <w:p>
            <w:pPr>
              <w:pStyle w:val="0"/>
              <w:jc w:val="center"/>
            </w:pPr>
            <w:r>
              <w:rPr>
                <w:sz w:val="20"/>
              </w:rPr>
              <w:t xml:space="preserve">15</w:t>
            </w:r>
          </w:p>
        </w:tc>
        <w:tc>
          <w:tcPr>
            <w:tcW w:w="2475" w:type="dxa"/>
          </w:tcPr>
          <w:p>
            <w:pPr>
              <w:pStyle w:val="0"/>
              <w:jc w:val="center"/>
            </w:pPr>
            <w:r>
              <w:rPr>
                <w:sz w:val="20"/>
              </w:rPr>
              <w:t xml:space="preserve">8</w:t>
            </w:r>
          </w:p>
        </w:tc>
        <w:tc>
          <w:tcPr>
            <w:vMerge w:val="continue"/>
          </w:tcPr>
          <w:p/>
        </w:tc>
      </w:tr>
    </w:tbl>
    <w:p>
      <w:pPr>
        <w:sectPr>
          <w:headerReference w:type="default" r:id="rId212"/>
          <w:headerReference w:type="first" r:id="rId212"/>
          <w:footerReference w:type="default" r:id="rId213"/>
          <w:footerReference w:type="first" r:id="rId213"/>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Расстояние следует принимать от наружных стен зданий ГРП, ГРПБ или ШРП, а при расположении оборудования на открытой площадке - от ограждения.</w:t>
      </w:r>
    </w:p>
    <w:p>
      <w:pPr>
        <w:pStyle w:val="0"/>
        <w:spacing w:before="200" w:line-rule="auto"/>
        <w:ind w:firstLine="540"/>
        <w:jc w:val="both"/>
      </w:pPr>
      <w:r>
        <w:rPr>
          <w:sz w:val="20"/>
        </w:rPr>
        <w:t xml:space="preserve">Требования </w:t>
      </w:r>
      <w:hyperlink w:history="0" w:anchor="P1928" w:tooltip="Таблица 30">
        <w:r>
          <w:rPr>
            <w:sz w:val="20"/>
            <w:color w:val="0000ff"/>
          </w:rPr>
          <w:t xml:space="preserve">таблицы</w:t>
        </w:r>
      </w:hyperlink>
      <w:r>
        <w:rPr>
          <w:sz w:val="20"/>
        </w:rPr>
        <w:t xml:space="preserve"> распространяются также на узлы учета расхода газа, располагаемые в отдельно стоящих зданиях или в шкафах на отдельно стоящих опорах.</w:t>
      </w:r>
    </w:p>
    <w:p>
      <w:pPr>
        <w:pStyle w:val="0"/>
        <w:spacing w:before="200" w:line-rule="auto"/>
        <w:ind w:firstLine="540"/>
        <w:jc w:val="both"/>
      </w:pPr>
      <w:r>
        <w:rPr>
          <w:sz w:val="20"/>
        </w:rPr>
        <w:t xml:space="preserve">Расстояние от отдельно стоящего ШРП при давлении газа на вводе до 0,3 МПа до зданий и сооружений не нормируется.</w:t>
      </w:r>
    </w:p>
    <w:p>
      <w:pPr>
        <w:pStyle w:val="0"/>
        <w:spacing w:before="200" w:line-rule="auto"/>
        <w:ind w:firstLine="540"/>
        <w:jc w:val="both"/>
      </w:pPr>
      <w:r>
        <w:rPr>
          <w:sz w:val="20"/>
        </w:rPr>
        <w:t xml:space="preserve">В стесненных условиях разрешается уменьшение на 30% расстояний от зданий и сооружений до газорегуляторных пунктов пропускной способностью до 10000 м</w:t>
      </w:r>
      <w:r>
        <w:rPr>
          <w:sz w:val="20"/>
          <w:vertAlign w:val="superscript"/>
        </w:rPr>
        <w:t xml:space="preserve">3</w:t>
      </w:r>
      <w:r>
        <w:rPr>
          <w:sz w:val="20"/>
        </w:rPr>
        <w:t xml:space="preserve">/ч.</w:t>
      </w:r>
    </w:p>
    <w:p>
      <w:pPr>
        <w:pStyle w:val="0"/>
        <w:spacing w:before="200" w:line-rule="auto"/>
        <w:ind w:firstLine="540"/>
        <w:jc w:val="both"/>
      </w:pPr>
      <w:r>
        <w:rPr>
          <w:sz w:val="20"/>
        </w:rPr>
        <w:t xml:space="preserve">6.7.7. Отдельно стоящие здания ГРП и ГРПБ должны быть одноэтажными, без подвалов, с совмещенной кровлей и быть не ниже II степени огнестойкости и класса С0. Разрешается размещение ГРПБ в зданиях контейнерного типа (металлический каркас с несгораемым теплоизоляционным материалом).</w:t>
      </w:r>
    </w:p>
    <w:p>
      <w:pPr>
        <w:pStyle w:val="0"/>
        <w:jc w:val="both"/>
      </w:pPr>
      <w:r>
        <w:rPr>
          <w:sz w:val="20"/>
        </w:rPr>
        <w:t xml:space="preserve">(в ред. </w:t>
      </w:r>
      <w:hyperlink w:history="0" r:id="rId333"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6.7.8. ГРП могут пристраиваться к зданиям не ниже II степени огнестойкости класса С0 с помещениями категорий Г и Д.</w:t>
      </w:r>
    </w:p>
    <w:p>
      <w:pPr>
        <w:pStyle w:val="0"/>
        <w:spacing w:before="200" w:line-rule="auto"/>
        <w:ind w:firstLine="540"/>
        <w:jc w:val="both"/>
      </w:pPr>
      <w:r>
        <w:rPr>
          <w:sz w:val="20"/>
        </w:rPr>
        <w:t xml:space="preserve">Пристройки должны примыкать к зданиям со стороны противопожарной стены I типа в пределах примыкания ГРП.</w:t>
      </w:r>
    </w:p>
    <w:p>
      <w:pPr>
        <w:pStyle w:val="0"/>
        <w:spacing w:before="200" w:line-rule="auto"/>
        <w:ind w:firstLine="540"/>
        <w:jc w:val="both"/>
      </w:pPr>
      <w:r>
        <w:rPr>
          <w:sz w:val="20"/>
        </w:rPr>
        <w:t xml:space="preserve">Расстояние от стен и покрытия пристроенных ГРП до ближайшего проема в стене должно быть не менее 3 м.</w:t>
      </w:r>
    </w:p>
    <w:p>
      <w:pPr>
        <w:pStyle w:val="0"/>
        <w:spacing w:before="200" w:line-rule="auto"/>
        <w:ind w:firstLine="540"/>
        <w:jc w:val="both"/>
      </w:pPr>
      <w:r>
        <w:rPr>
          <w:sz w:val="20"/>
        </w:rPr>
        <w:t xml:space="preserve">6.7.9. Встроенные ГРП разрешается устраивать при входном давлении газа не более 0,6 МПа в зданиях не ниже II степени огнестойкости класса С0 с помещениями категорий Г и Д. Помещение встроенного ГРП должно иметь противопожарные перегородки I типа.</w:t>
      </w:r>
    </w:p>
    <w:p>
      <w:pPr>
        <w:pStyle w:val="0"/>
        <w:spacing w:before="200" w:line-rule="auto"/>
        <w:ind w:firstLine="540"/>
        <w:jc w:val="both"/>
      </w:pPr>
      <w:r>
        <w:rPr>
          <w:sz w:val="20"/>
        </w:rPr>
        <w:t xml:space="preserve">6.7.10. Стены, разделяющие помещения ГРП и ГРПБ, должны быть противопожарными I типа. Устройство дымовых и вентиляционных каналов в разделяющих стенах, а также в стенах зданий, к которым пристраиваются ГРП (в пределах примыкания ГРП), не допускается.</w:t>
      </w:r>
    </w:p>
    <w:p>
      <w:pPr>
        <w:pStyle w:val="0"/>
        <w:spacing w:before="200" w:line-rule="auto"/>
        <w:ind w:firstLine="540"/>
        <w:jc w:val="both"/>
      </w:pPr>
      <w:r>
        <w:rPr>
          <w:sz w:val="20"/>
        </w:rPr>
        <w:t xml:space="preserve">Двери ГРП и ГРПБ предусматриваются противопожарными и открываемыми наружу.</w:t>
      </w:r>
    </w:p>
    <w:p>
      <w:pPr>
        <w:pStyle w:val="0"/>
        <w:spacing w:before="200" w:line-rule="auto"/>
        <w:ind w:firstLine="540"/>
        <w:jc w:val="both"/>
      </w:pPr>
      <w:r>
        <w:rPr>
          <w:sz w:val="20"/>
        </w:rPr>
        <w:t xml:space="preserve">6.7.11. Помещения, в которых расположены узлы редуцирования с регуляторами давления ГРП и ГРПБ, должны отвечать требованиям </w:t>
      </w:r>
      <w:hyperlink w:history="0" w:anchor="P1409" w:tooltip="6.2. Требования к производственным зданиям и помещениям">
        <w:r>
          <w:rPr>
            <w:sz w:val="20"/>
            <w:color w:val="0000ff"/>
          </w:rPr>
          <w:t xml:space="preserve">подраздела 6.2</w:t>
        </w:r>
      </w:hyperlink>
      <w:r>
        <w:rPr>
          <w:sz w:val="20"/>
        </w:rPr>
        <w:t xml:space="preserve"> настоящего свода правил.</w:t>
      </w:r>
    </w:p>
    <w:p>
      <w:pPr>
        <w:pStyle w:val="0"/>
        <w:jc w:val="both"/>
      </w:pPr>
      <w:r>
        <w:rPr>
          <w:sz w:val="20"/>
        </w:rPr>
        <w:t xml:space="preserve">(в ред. </w:t>
      </w:r>
      <w:hyperlink w:history="0" r:id="rId334"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6.7.12. ШРП с входным давлением газа до 0,3 МПа устанавливают:</w:t>
      </w:r>
    </w:p>
    <w:p>
      <w:pPr>
        <w:pStyle w:val="0"/>
        <w:spacing w:before="200" w:line-rule="auto"/>
        <w:ind w:firstLine="540"/>
        <w:jc w:val="both"/>
      </w:pPr>
      <w:r>
        <w:rPr>
          <w:sz w:val="20"/>
        </w:rPr>
        <w:t xml:space="preserve">- на наружных стенах жилых, общественных, административных и бытовых зданий независимо от степени огнестойкости и класса пожарной опасности при расходе газа до 50 м</w:t>
      </w:r>
      <w:r>
        <w:rPr>
          <w:sz w:val="20"/>
          <w:vertAlign w:val="superscript"/>
        </w:rPr>
        <w:t xml:space="preserve">3</w:t>
      </w:r>
      <w:r>
        <w:rPr>
          <w:sz w:val="20"/>
        </w:rPr>
        <w:t xml:space="preserve">/ч;</w:t>
      </w:r>
    </w:p>
    <w:p>
      <w:pPr>
        <w:pStyle w:val="0"/>
        <w:spacing w:before="200" w:line-rule="auto"/>
        <w:ind w:firstLine="540"/>
        <w:jc w:val="both"/>
      </w:pPr>
      <w:r>
        <w:rPr>
          <w:sz w:val="20"/>
        </w:rPr>
        <w:t xml:space="preserve">- на наружных стенах жилых, общественных, административных и бытовых зданий не ниже III степени огнестойкости и не ниже класса С1 при расходе газа до 400 м</w:t>
      </w:r>
      <w:r>
        <w:rPr>
          <w:sz w:val="20"/>
          <w:vertAlign w:val="superscript"/>
        </w:rPr>
        <w:t xml:space="preserve">3</w:t>
      </w:r>
      <w:r>
        <w:rPr>
          <w:sz w:val="20"/>
        </w:rPr>
        <w:t xml:space="preserve">/ч.</w:t>
      </w:r>
    </w:p>
    <w:p>
      <w:pPr>
        <w:pStyle w:val="0"/>
        <w:spacing w:before="200" w:line-rule="auto"/>
        <w:ind w:firstLine="540"/>
        <w:jc w:val="both"/>
      </w:pPr>
      <w:r>
        <w:rPr>
          <w:sz w:val="20"/>
        </w:rPr>
        <w:t xml:space="preserve">6.7.13. ШРП с входным давлением газа до 0,6 МПа устанавливают на наружных стенах производственных зданий, котельных, общественных и бытовых зданий производственного назначения, а также на наружных стенах действующих ГРП не ниже III степени огнестойкости класса С0.</w:t>
      </w:r>
    </w:p>
    <w:p>
      <w:pPr>
        <w:pStyle w:val="0"/>
        <w:spacing w:before="200" w:line-rule="auto"/>
        <w:ind w:firstLine="540"/>
        <w:jc w:val="both"/>
      </w:pPr>
      <w:r>
        <w:rPr>
          <w:sz w:val="20"/>
        </w:rPr>
        <w:t xml:space="preserve">6.7.14. ШРП с входным давлением газа свыше 0,6 до 1,2 МПа на наружных стенах зданий устанавливать не разрешается.</w:t>
      </w:r>
    </w:p>
    <w:p>
      <w:pPr>
        <w:pStyle w:val="0"/>
        <w:spacing w:before="200" w:line-rule="auto"/>
        <w:ind w:firstLine="540"/>
        <w:jc w:val="both"/>
      </w:pPr>
      <w:r>
        <w:rPr>
          <w:sz w:val="20"/>
        </w:rPr>
        <w:t xml:space="preserve">6.7.15. При установке ШРП с давлением газа на вводе до 0,3 МПа на наружных стенах зданий расстояние от стенки ШРП до окон, дверей и других проемов должно быть не менее 1 м, а при давлении газа на вводе свыше 0,3 до 0,6 МПа - не менее 3 м.</w:t>
      </w:r>
    </w:p>
    <w:p>
      <w:pPr>
        <w:pStyle w:val="0"/>
        <w:spacing w:before="200" w:line-rule="auto"/>
        <w:ind w:firstLine="540"/>
        <w:jc w:val="both"/>
      </w:pPr>
      <w:r>
        <w:rPr>
          <w:sz w:val="20"/>
        </w:rPr>
        <w:t xml:space="preserve">6.7.16. Разрешается размещение ШРП на покрытиях с негорючим теплоизоляционным материалом газифицируемых производственных зданий I, II степеней огнестойкости класса С0 со стороны выхода на кровлю на расстоянии не менее 5 м от выхода.</w:t>
      </w:r>
    </w:p>
    <w:p>
      <w:pPr>
        <w:pStyle w:val="0"/>
        <w:jc w:val="both"/>
      </w:pPr>
      <w:r>
        <w:rPr>
          <w:sz w:val="20"/>
        </w:rPr>
        <w:t xml:space="preserve">(в ред. </w:t>
      </w:r>
      <w:hyperlink w:history="0" r:id="rId335"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6.7.17. Газорегуляторные установки (ГРУ) могут устанавливаться при входном давлении газа не более 0,6 МПа.</w:t>
      </w:r>
    </w:p>
    <w:p>
      <w:pPr>
        <w:pStyle w:val="0"/>
        <w:jc w:val="both"/>
      </w:pPr>
      <w:r>
        <w:rPr>
          <w:sz w:val="20"/>
        </w:rPr>
        <w:t xml:space="preserve">(в ред. </w:t>
      </w:r>
      <w:hyperlink w:history="0" r:id="rId336"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При этом ГРУ размещаются:</w:t>
      </w:r>
    </w:p>
    <w:p>
      <w:pPr>
        <w:pStyle w:val="0"/>
        <w:spacing w:before="200" w:line-rule="auto"/>
        <w:ind w:firstLine="540"/>
        <w:jc w:val="both"/>
      </w:pPr>
      <w:r>
        <w:rPr>
          <w:sz w:val="20"/>
        </w:rPr>
        <w:t xml:space="preserve">- в помещениях категорий Г и Д, в которых расположены газоиспользующие установки, или в соединенных с ними открытыми проемами смежных помещениях тех же категорий, имеющих вентиляцию по размещенному в них производству;</w:t>
      </w:r>
    </w:p>
    <w:p>
      <w:pPr>
        <w:pStyle w:val="0"/>
        <w:spacing w:before="200" w:line-rule="auto"/>
        <w:ind w:firstLine="540"/>
        <w:jc w:val="both"/>
      </w:pPr>
      <w:r>
        <w:rPr>
          <w:sz w:val="20"/>
        </w:rPr>
        <w:t xml:space="preserve">- в помещениях категорий В1 - В4, если расположенные в них газоиспользующие установки вмонтированы в технологические агрегаты производства.</w:t>
      </w:r>
    </w:p>
    <w:p>
      <w:pPr>
        <w:pStyle w:val="0"/>
        <w:spacing w:before="200" w:line-rule="auto"/>
        <w:ind w:firstLine="540"/>
        <w:jc w:val="both"/>
      </w:pPr>
      <w:r>
        <w:rPr>
          <w:sz w:val="20"/>
        </w:rPr>
        <w:t xml:space="preserve">6.7.18. Не допускается размещать ГРУ в помещениях категорий А и Б по взрывопожарной опасности, а также в складских помещениях категорий В1 - В3 по пожарной опасности.</w:t>
      </w:r>
    </w:p>
    <w:p>
      <w:pPr>
        <w:pStyle w:val="0"/>
        <w:jc w:val="both"/>
      </w:pPr>
      <w:r>
        <w:rPr>
          <w:sz w:val="20"/>
        </w:rPr>
        <w:t xml:space="preserve">(п. 6.7.18 в ред. </w:t>
      </w:r>
      <w:hyperlink w:history="0" r:id="rId337"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6.7.19. Не допускается предусматривать прокладку внутренних газопроводов:</w:t>
      </w:r>
    </w:p>
    <w:p>
      <w:pPr>
        <w:pStyle w:val="0"/>
        <w:spacing w:before="200" w:line-rule="auto"/>
        <w:ind w:firstLine="540"/>
        <w:jc w:val="both"/>
      </w:pPr>
      <w:r>
        <w:rPr>
          <w:sz w:val="20"/>
        </w:rPr>
        <w:t xml:space="preserve">- в помещениях категорий А и Б по взрывопожарной опасности;</w:t>
      </w:r>
    </w:p>
    <w:p>
      <w:pPr>
        <w:pStyle w:val="0"/>
        <w:spacing w:before="200" w:line-rule="auto"/>
        <w:ind w:firstLine="540"/>
        <w:jc w:val="both"/>
      </w:pPr>
      <w:r>
        <w:rPr>
          <w:sz w:val="20"/>
        </w:rPr>
        <w:t xml:space="preserve">- во взрывоопасных зонах помещений;</w:t>
      </w:r>
    </w:p>
    <w:p>
      <w:pPr>
        <w:pStyle w:val="0"/>
        <w:spacing w:before="200" w:line-rule="auto"/>
        <w:ind w:firstLine="540"/>
        <w:jc w:val="both"/>
      </w:pPr>
      <w:r>
        <w:rPr>
          <w:sz w:val="20"/>
        </w:rPr>
        <w:t xml:space="preserve">- в подвальных, цокольных этажах и технических этажах, расположенных ниже 1-го этажа здания и предназначенных для размещения инженерного оборудования и прокладки систем инженерно-технического обеспечения (за исключением случаев, когда прокладка обусловлена технологией производства);</w:t>
      </w:r>
    </w:p>
    <w:p>
      <w:pPr>
        <w:pStyle w:val="0"/>
        <w:spacing w:before="200" w:line-rule="auto"/>
        <w:ind w:firstLine="540"/>
        <w:jc w:val="both"/>
      </w:pPr>
      <w:r>
        <w:rPr>
          <w:sz w:val="20"/>
        </w:rPr>
        <w:t xml:space="preserve">- в складских помещениях категорий А, Б и В1 - В3;</w:t>
      </w:r>
    </w:p>
    <w:p>
      <w:pPr>
        <w:pStyle w:val="0"/>
        <w:spacing w:before="200" w:line-rule="auto"/>
        <w:ind w:firstLine="540"/>
        <w:jc w:val="both"/>
      </w:pPr>
      <w:r>
        <w:rPr>
          <w:sz w:val="20"/>
        </w:rPr>
        <w:t xml:space="preserve">- в помещениях подстанций и распределительных устройств;</w:t>
      </w:r>
    </w:p>
    <w:p>
      <w:pPr>
        <w:pStyle w:val="0"/>
        <w:spacing w:before="200" w:line-rule="auto"/>
        <w:ind w:firstLine="540"/>
        <w:jc w:val="both"/>
      </w:pPr>
      <w:r>
        <w:rPr>
          <w:sz w:val="20"/>
        </w:rPr>
        <w:t xml:space="preserve">- через вентиляционные камеры, шахты и каналы;</w:t>
      </w:r>
    </w:p>
    <w:p>
      <w:pPr>
        <w:pStyle w:val="0"/>
        <w:spacing w:before="200" w:line-rule="auto"/>
        <w:ind w:firstLine="540"/>
        <w:jc w:val="both"/>
      </w:pPr>
      <w:r>
        <w:rPr>
          <w:sz w:val="20"/>
        </w:rPr>
        <w:t xml:space="preserve">- через шахты лифтов и лестничные клетки, помещения мусоросборников и дымоходы;</w:t>
      </w:r>
    </w:p>
    <w:p>
      <w:pPr>
        <w:pStyle w:val="0"/>
        <w:spacing w:before="200" w:line-rule="auto"/>
        <w:ind w:firstLine="540"/>
        <w:jc w:val="both"/>
      </w:pPr>
      <w:r>
        <w:rPr>
          <w:sz w:val="20"/>
        </w:rPr>
        <w:t xml:space="preserve">- через помещения, в которых возможно воздействие на газопровод веществ, вызывающих коррозию материала труб газопровода;</w:t>
      </w:r>
    </w:p>
    <w:p>
      <w:pPr>
        <w:pStyle w:val="0"/>
        <w:spacing w:before="200" w:line-rule="auto"/>
        <w:ind w:firstLine="540"/>
        <w:jc w:val="both"/>
      </w:pPr>
      <w:r>
        <w:rPr>
          <w:sz w:val="20"/>
        </w:rPr>
        <w:t xml:space="preserve">- в местах, где газопроводы могут омываться горячими продуктами сгорания или соприкасаться с нагретым или расплавленным металлом.</w:t>
      </w:r>
    </w:p>
    <w:p>
      <w:pPr>
        <w:pStyle w:val="0"/>
        <w:spacing w:before="200" w:line-rule="auto"/>
        <w:ind w:firstLine="540"/>
        <w:jc w:val="both"/>
      </w:pPr>
      <w:r>
        <w:rPr>
          <w:sz w:val="20"/>
        </w:rPr>
        <w:t xml:space="preserve">6.7.20. Расстояние в свету между подземными резервуарами резервуарной установки, служащей в качестве источника газоснабжения жилых, административных, общественных, производственных и бытовых зданий, должно быть не менее 1 м, а между надземными резервуарами - равно диаметру большего смежного резервуара, но не менее 1 м.</w:t>
      </w:r>
    </w:p>
    <w:p>
      <w:pPr>
        <w:pStyle w:val="0"/>
        <w:spacing w:before="200" w:line-rule="auto"/>
        <w:ind w:firstLine="540"/>
        <w:jc w:val="both"/>
      </w:pPr>
      <w:r>
        <w:rPr>
          <w:sz w:val="20"/>
        </w:rPr>
        <w:t xml:space="preserve">Расстояния от резервуарных установок общей вместимостью до 50 м</w:t>
      </w:r>
      <w:r>
        <w:rPr>
          <w:sz w:val="20"/>
          <w:vertAlign w:val="superscript"/>
        </w:rPr>
        <w:t xml:space="preserve">3</w:t>
      </w:r>
      <w:r>
        <w:rPr>
          <w:sz w:val="20"/>
        </w:rPr>
        <w:t xml:space="preserve">, считая от крайнего резервуара, до зданий, сооружений различного назначения и коммуникаций принимаются не менее указанных в </w:t>
      </w:r>
      <w:hyperlink w:history="0" w:anchor="P1988" w:tooltip="Таблица 31">
        <w:r>
          <w:rPr>
            <w:sz w:val="20"/>
            <w:color w:val="0000ff"/>
          </w:rPr>
          <w:t xml:space="preserve">таблице 31</w:t>
        </w:r>
      </w:hyperlink>
      <w:r>
        <w:rPr>
          <w:sz w:val="20"/>
        </w:rPr>
        <w:t xml:space="preserve">.</w:t>
      </w:r>
    </w:p>
    <w:p>
      <w:pPr>
        <w:pStyle w:val="0"/>
        <w:ind w:firstLine="540"/>
        <w:jc w:val="both"/>
      </w:pPr>
      <w:r>
        <w:rPr>
          <w:sz w:val="20"/>
        </w:rPr>
      </w:r>
    </w:p>
    <w:bookmarkStart w:id="1988" w:name="P1988"/>
    <w:bookmarkEnd w:id="1988"/>
    <w:p>
      <w:pPr>
        <w:pStyle w:val="0"/>
        <w:outlineLvl w:val="3"/>
        <w:jc w:val="both"/>
      </w:pPr>
      <w:r>
        <w:rPr>
          <w:sz w:val="20"/>
        </w:rPr>
        <w:t xml:space="preserve">Таблица 31</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60"/>
        <w:gridCol w:w="1320"/>
        <w:gridCol w:w="1155"/>
        <w:gridCol w:w="1320"/>
        <w:gridCol w:w="1155"/>
        <w:gridCol w:w="1320"/>
        <w:gridCol w:w="1155"/>
        <w:gridCol w:w="2970"/>
      </w:tblGrid>
      <w:tr>
        <w:tc>
          <w:tcPr>
            <w:tcW w:w="3960" w:type="dxa"/>
            <w:vMerge w:val="restart"/>
          </w:tcPr>
          <w:p>
            <w:pPr>
              <w:pStyle w:val="0"/>
              <w:jc w:val="center"/>
            </w:pPr>
            <w:r>
              <w:rPr>
                <w:sz w:val="20"/>
              </w:rPr>
              <w:t xml:space="preserve">Здания, сооружения и коммуникации</w:t>
            </w:r>
          </w:p>
        </w:tc>
        <w:tc>
          <w:tcPr>
            <w:gridSpan w:val="6"/>
            <w:tcW w:w="7425" w:type="dxa"/>
          </w:tcPr>
          <w:p>
            <w:pPr>
              <w:pStyle w:val="0"/>
              <w:jc w:val="center"/>
            </w:pPr>
            <w:r>
              <w:rPr>
                <w:sz w:val="20"/>
              </w:rPr>
              <w:t xml:space="preserve">Противопожарные расстояния от резервуаров, м</w:t>
            </w:r>
          </w:p>
        </w:tc>
        <w:tc>
          <w:tcPr>
            <w:tcW w:w="2970" w:type="dxa"/>
            <w:vMerge w:val="restart"/>
          </w:tcPr>
          <w:p>
            <w:pPr>
              <w:pStyle w:val="0"/>
              <w:jc w:val="center"/>
            </w:pPr>
            <w:r>
              <w:rPr>
                <w:sz w:val="20"/>
              </w:rPr>
              <w:t xml:space="preserve">Противопожарные расстояния от испарительной или групповой баллонной установки, м</w:t>
            </w:r>
          </w:p>
        </w:tc>
      </w:tr>
      <w:tr>
        <w:tc>
          <w:tcPr>
            <w:vMerge w:val="continue"/>
          </w:tcPr>
          <w:p/>
        </w:tc>
        <w:tc>
          <w:tcPr>
            <w:gridSpan w:val="3"/>
            <w:tcW w:w="3795" w:type="dxa"/>
          </w:tcPr>
          <w:p>
            <w:pPr>
              <w:pStyle w:val="0"/>
              <w:jc w:val="center"/>
            </w:pPr>
            <w:r>
              <w:rPr>
                <w:sz w:val="20"/>
              </w:rPr>
              <w:t xml:space="preserve">надземных</w:t>
            </w:r>
          </w:p>
        </w:tc>
        <w:tc>
          <w:tcPr>
            <w:gridSpan w:val="3"/>
            <w:tcW w:w="3630" w:type="dxa"/>
          </w:tcPr>
          <w:p>
            <w:pPr>
              <w:pStyle w:val="0"/>
              <w:jc w:val="center"/>
            </w:pPr>
            <w:r>
              <w:rPr>
                <w:sz w:val="20"/>
              </w:rPr>
              <w:t xml:space="preserve">подземных</w:t>
            </w:r>
          </w:p>
        </w:tc>
        <w:tc>
          <w:tcPr>
            <w:vMerge w:val="continue"/>
          </w:tcPr>
          <w:p/>
        </w:tc>
      </w:tr>
      <w:tr>
        <w:tc>
          <w:tcPr>
            <w:vMerge w:val="continue"/>
          </w:tcPr>
          <w:p/>
        </w:tc>
        <w:tc>
          <w:tcPr>
            <w:gridSpan w:val="6"/>
            <w:tcW w:w="7425" w:type="dxa"/>
          </w:tcPr>
          <w:p>
            <w:pPr>
              <w:pStyle w:val="0"/>
              <w:jc w:val="center"/>
            </w:pPr>
            <w:r>
              <w:rPr>
                <w:sz w:val="20"/>
              </w:rPr>
              <w:t xml:space="preserve">при общей вместимости резервуаров в установке, м</w:t>
            </w:r>
            <w:r>
              <w:rPr>
                <w:sz w:val="20"/>
                <w:vertAlign w:val="superscript"/>
              </w:rPr>
              <w:t xml:space="preserve">3</w:t>
            </w:r>
          </w:p>
        </w:tc>
        <w:tc>
          <w:tcPr>
            <w:vMerge w:val="continue"/>
          </w:tcPr>
          <w:p/>
        </w:tc>
      </w:tr>
      <w:tr>
        <w:tc>
          <w:tcPr>
            <w:vMerge w:val="continue"/>
          </w:tcPr>
          <w:p/>
        </w:tc>
        <w:tc>
          <w:tcPr>
            <w:tcW w:w="1320" w:type="dxa"/>
          </w:tcPr>
          <w:p>
            <w:pPr>
              <w:pStyle w:val="0"/>
              <w:jc w:val="center"/>
            </w:pPr>
            <w:r>
              <w:rPr>
                <w:sz w:val="20"/>
              </w:rPr>
              <w:t xml:space="preserve">не более 5</w:t>
            </w:r>
          </w:p>
        </w:tc>
        <w:tc>
          <w:tcPr>
            <w:tcW w:w="1155" w:type="dxa"/>
          </w:tcPr>
          <w:p>
            <w:pPr>
              <w:pStyle w:val="0"/>
              <w:jc w:val="center"/>
            </w:pPr>
            <w:r>
              <w:rPr>
                <w:sz w:val="20"/>
              </w:rPr>
              <w:t xml:space="preserve">более 5, но не более 10</w:t>
            </w:r>
          </w:p>
        </w:tc>
        <w:tc>
          <w:tcPr>
            <w:tcW w:w="1320" w:type="dxa"/>
          </w:tcPr>
          <w:p>
            <w:pPr>
              <w:pStyle w:val="0"/>
              <w:jc w:val="center"/>
            </w:pPr>
            <w:r>
              <w:rPr>
                <w:sz w:val="20"/>
              </w:rPr>
              <w:t xml:space="preserve">более 10, но не более 20</w:t>
            </w:r>
          </w:p>
        </w:tc>
        <w:tc>
          <w:tcPr>
            <w:tcW w:w="1155" w:type="dxa"/>
          </w:tcPr>
          <w:p>
            <w:pPr>
              <w:pStyle w:val="0"/>
              <w:jc w:val="center"/>
            </w:pPr>
            <w:r>
              <w:rPr>
                <w:sz w:val="20"/>
              </w:rPr>
              <w:t xml:space="preserve">не более 10</w:t>
            </w:r>
          </w:p>
        </w:tc>
        <w:tc>
          <w:tcPr>
            <w:tcW w:w="1320" w:type="dxa"/>
          </w:tcPr>
          <w:p>
            <w:pPr>
              <w:pStyle w:val="0"/>
              <w:jc w:val="center"/>
            </w:pPr>
            <w:r>
              <w:rPr>
                <w:sz w:val="20"/>
              </w:rPr>
              <w:t xml:space="preserve">более 10, но не более 20</w:t>
            </w:r>
          </w:p>
        </w:tc>
        <w:tc>
          <w:tcPr>
            <w:tcW w:w="1155" w:type="dxa"/>
          </w:tcPr>
          <w:p>
            <w:pPr>
              <w:pStyle w:val="0"/>
              <w:jc w:val="center"/>
            </w:pPr>
            <w:r>
              <w:rPr>
                <w:sz w:val="20"/>
              </w:rPr>
              <w:t xml:space="preserve">более 20, но не более 50</w:t>
            </w:r>
          </w:p>
        </w:tc>
        <w:tc>
          <w:tcPr>
            <w:vMerge w:val="continue"/>
          </w:tcPr>
          <w:p/>
        </w:tc>
      </w:tr>
      <w:tr>
        <w:tblPrEx>
          <w:tblBorders>
            <w:insideH w:val="nil"/>
          </w:tblBorders>
        </w:tblPrEx>
        <w:tc>
          <w:tcPr>
            <w:tcW w:w="3960" w:type="dxa"/>
            <w:tcBorders>
              <w:bottom w:val="nil"/>
            </w:tcBorders>
          </w:tcPr>
          <w:p>
            <w:pPr>
              <w:pStyle w:val="0"/>
            </w:pPr>
            <w:r>
              <w:rPr>
                <w:sz w:val="20"/>
              </w:rPr>
              <w:t xml:space="preserve">Общественные здания и сооружения</w:t>
            </w:r>
          </w:p>
        </w:tc>
        <w:tc>
          <w:tcPr>
            <w:tcW w:w="1320" w:type="dxa"/>
            <w:tcBorders>
              <w:bottom w:val="nil"/>
            </w:tcBorders>
          </w:tcPr>
          <w:p>
            <w:pPr>
              <w:pStyle w:val="0"/>
              <w:jc w:val="center"/>
            </w:pPr>
            <w:r>
              <w:rPr>
                <w:sz w:val="20"/>
              </w:rPr>
              <w:t xml:space="preserve">40</w:t>
            </w:r>
          </w:p>
        </w:tc>
        <w:tc>
          <w:tcPr>
            <w:tcW w:w="1155" w:type="dxa"/>
            <w:tcBorders>
              <w:bottom w:val="nil"/>
            </w:tcBorders>
          </w:tcPr>
          <w:p>
            <w:pPr>
              <w:pStyle w:val="0"/>
              <w:jc w:val="center"/>
            </w:pPr>
            <w:r>
              <w:rPr>
                <w:sz w:val="20"/>
              </w:rPr>
              <w:t xml:space="preserve">50</w:t>
            </w:r>
          </w:p>
        </w:tc>
        <w:tc>
          <w:tcPr>
            <w:tcW w:w="1320" w:type="dxa"/>
            <w:tcBorders>
              <w:bottom w:val="nil"/>
            </w:tcBorders>
          </w:tcPr>
          <w:p>
            <w:pPr>
              <w:pStyle w:val="0"/>
              <w:jc w:val="center"/>
            </w:pPr>
            <w:r>
              <w:rPr>
                <w:sz w:val="20"/>
              </w:rPr>
              <w:t xml:space="preserve">60</w:t>
            </w:r>
          </w:p>
        </w:tc>
        <w:tc>
          <w:tcPr>
            <w:tcW w:w="1155" w:type="dxa"/>
            <w:tcBorders>
              <w:bottom w:val="nil"/>
            </w:tcBorders>
          </w:tcPr>
          <w:p>
            <w:pPr>
              <w:pStyle w:val="0"/>
              <w:jc w:val="center"/>
            </w:pPr>
            <w:r>
              <w:rPr>
                <w:sz w:val="20"/>
              </w:rPr>
              <w:t xml:space="preserve">15</w:t>
            </w:r>
          </w:p>
        </w:tc>
        <w:tc>
          <w:tcPr>
            <w:tcW w:w="1320" w:type="dxa"/>
            <w:tcBorders>
              <w:bottom w:val="nil"/>
            </w:tcBorders>
          </w:tcPr>
          <w:p>
            <w:pPr>
              <w:pStyle w:val="0"/>
              <w:jc w:val="center"/>
            </w:pPr>
            <w:r>
              <w:rPr>
                <w:sz w:val="20"/>
              </w:rPr>
              <w:t xml:space="preserve">20</w:t>
            </w:r>
          </w:p>
        </w:tc>
        <w:tc>
          <w:tcPr>
            <w:tcW w:w="1155" w:type="dxa"/>
            <w:tcBorders>
              <w:bottom w:val="nil"/>
            </w:tcBorders>
          </w:tcPr>
          <w:p>
            <w:pPr>
              <w:pStyle w:val="0"/>
              <w:jc w:val="center"/>
            </w:pPr>
            <w:r>
              <w:rPr>
                <w:sz w:val="20"/>
              </w:rPr>
              <w:t xml:space="preserve">30</w:t>
            </w:r>
          </w:p>
        </w:tc>
        <w:tc>
          <w:tcPr>
            <w:tcW w:w="2970" w:type="dxa"/>
            <w:tcBorders>
              <w:bottom w:val="nil"/>
            </w:tcBorders>
          </w:tcPr>
          <w:p>
            <w:pPr>
              <w:pStyle w:val="0"/>
              <w:jc w:val="center"/>
            </w:pPr>
            <w:r>
              <w:rPr>
                <w:sz w:val="20"/>
              </w:rPr>
              <w:t xml:space="preserve">25</w:t>
            </w:r>
          </w:p>
        </w:tc>
      </w:tr>
      <w:tr>
        <w:tblPrEx>
          <w:tblBorders>
            <w:insideH w:val="nil"/>
          </w:tblBorders>
        </w:tblPrEx>
        <w:tc>
          <w:tcPr>
            <w:gridSpan w:val="8"/>
            <w:tcW w:w="14355" w:type="dxa"/>
            <w:tcBorders>
              <w:top w:val="nil"/>
            </w:tcBorders>
          </w:tcPr>
          <w:p>
            <w:pPr>
              <w:pStyle w:val="0"/>
              <w:jc w:val="both"/>
            </w:pPr>
            <w:r>
              <w:rPr>
                <w:sz w:val="20"/>
              </w:rPr>
              <w:t xml:space="preserve">(в ред. </w:t>
            </w:r>
            <w:hyperlink w:history="0" r:id="rId338"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tc>
      </w:tr>
      <w:tr>
        <w:tblPrEx>
          <w:tblBorders>
            <w:insideH w:val="nil"/>
          </w:tblBorders>
        </w:tblPrEx>
        <w:tc>
          <w:tcPr>
            <w:tcW w:w="3960" w:type="dxa"/>
            <w:tcBorders>
              <w:bottom w:val="nil"/>
            </w:tcBorders>
          </w:tcPr>
          <w:p>
            <w:pPr>
              <w:pStyle w:val="0"/>
            </w:pPr>
            <w:r>
              <w:rPr>
                <w:sz w:val="20"/>
              </w:rPr>
              <w:t xml:space="preserve">Жилые здания</w:t>
            </w:r>
          </w:p>
        </w:tc>
        <w:tc>
          <w:tcPr>
            <w:tcW w:w="1320" w:type="dxa"/>
            <w:tcBorders>
              <w:bottom w:val="nil"/>
            </w:tcBorders>
          </w:tcPr>
          <w:p>
            <w:pPr>
              <w:pStyle w:val="0"/>
              <w:jc w:val="center"/>
            </w:pPr>
            <w:r>
              <w:rPr>
                <w:sz w:val="20"/>
              </w:rPr>
              <w:t xml:space="preserve">20</w:t>
            </w:r>
          </w:p>
        </w:tc>
        <w:tc>
          <w:tcPr>
            <w:tcW w:w="1155" w:type="dxa"/>
            <w:tcBorders>
              <w:bottom w:val="nil"/>
            </w:tcBorders>
          </w:tcPr>
          <w:p>
            <w:pPr>
              <w:pStyle w:val="0"/>
              <w:jc w:val="center"/>
            </w:pPr>
            <w:r>
              <w:rPr>
                <w:sz w:val="20"/>
              </w:rPr>
              <w:t xml:space="preserve">30</w:t>
            </w:r>
          </w:p>
        </w:tc>
        <w:tc>
          <w:tcPr>
            <w:tcW w:w="1320" w:type="dxa"/>
            <w:tcBorders>
              <w:bottom w:val="nil"/>
            </w:tcBorders>
          </w:tcPr>
          <w:p>
            <w:pPr>
              <w:pStyle w:val="0"/>
              <w:jc w:val="center"/>
            </w:pPr>
            <w:r>
              <w:rPr>
                <w:sz w:val="20"/>
              </w:rPr>
              <w:t xml:space="preserve">40</w:t>
            </w:r>
          </w:p>
        </w:tc>
        <w:tc>
          <w:tcPr>
            <w:tcW w:w="1155" w:type="dxa"/>
            <w:tcBorders>
              <w:bottom w:val="nil"/>
            </w:tcBorders>
          </w:tcPr>
          <w:p>
            <w:pPr>
              <w:pStyle w:val="0"/>
              <w:jc w:val="center"/>
            </w:pPr>
            <w:r>
              <w:rPr>
                <w:sz w:val="20"/>
              </w:rPr>
              <w:t xml:space="preserve">10</w:t>
            </w:r>
          </w:p>
        </w:tc>
        <w:tc>
          <w:tcPr>
            <w:tcW w:w="1320" w:type="dxa"/>
            <w:tcBorders>
              <w:bottom w:val="nil"/>
            </w:tcBorders>
          </w:tcPr>
          <w:p>
            <w:pPr>
              <w:pStyle w:val="0"/>
              <w:jc w:val="center"/>
            </w:pPr>
            <w:r>
              <w:rPr>
                <w:sz w:val="20"/>
              </w:rPr>
              <w:t xml:space="preserve">15</w:t>
            </w:r>
          </w:p>
        </w:tc>
        <w:tc>
          <w:tcPr>
            <w:tcW w:w="1155" w:type="dxa"/>
            <w:tcBorders>
              <w:bottom w:val="nil"/>
            </w:tcBorders>
          </w:tcPr>
          <w:p>
            <w:pPr>
              <w:pStyle w:val="0"/>
              <w:jc w:val="center"/>
            </w:pPr>
            <w:r>
              <w:rPr>
                <w:sz w:val="20"/>
              </w:rPr>
              <w:t xml:space="preserve">20</w:t>
            </w:r>
          </w:p>
        </w:tc>
        <w:tc>
          <w:tcPr>
            <w:tcW w:w="2970" w:type="dxa"/>
            <w:tcBorders>
              <w:bottom w:val="nil"/>
            </w:tcBorders>
          </w:tcPr>
          <w:p>
            <w:pPr>
              <w:pStyle w:val="0"/>
              <w:jc w:val="center"/>
            </w:pPr>
            <w:r>
              <w:rPr>
                <w:sz w:val="20"/>
              </w:rPr>
              <w:t xml:space="preserve">12</w:t>
            </w:r>
          </w:p>
        </w:tc>
      </w:tr>
      <w:tr>
        <w:tblPrEx>
          <w:tblBorders>
            <w:insideH w:val="nil"/>
          </w:tblBorders>
        </w:tblPrEx>
        <w:tc>
          <w:tcPr>
            <w:gridSpan w:val="8"/>
            <w:tcW w:w="14355" w:type="dxa"/>
            <w:tcBorders>
              <w:top w:val="nil"/>
            </w:tcBorders>
          </w:tcPr>
          <w:p>
            <w:pPr>
              <w:pStyle w:val="0"/>
              <w:jc w:val="both"/>
            </w:pPr>
            <w:r>
              <w:rPr>
                <w:sz w:val="20"/>
              </w:rPr>
              <w:t xml:space="preserve">(в ред. </w:t>
            </w:r>
            <w:hyperlink w:history="0" r:id="rId339"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tc>
      </w:tr>
      <w:tr>
        <w:tc>
          <w:tcPr>
            <w:tcW w:w="3960" w:type="dxa"/>
          </w:tcPr>
          <w:p>
            <w:pPr>
              <w:pStyle w:val="0"/>
            </w:pPr>
            <w:r>
              <w:rPr>
                <w:sz w:val="20"/>
              </w:rPr>
              <w:t xml:space="preserve">Детские и спортивные площадки, гаражи (от ограды резервуарной установки)</w:t>
            </w:r>
          </w:p>
        </w:tc>
        <w:tc>
          <w:tcPr>
            <w:tcW w:w="1320" w:type="dxa"/>
          </w:tcPr>
          <w:p>
            <w:pPr>
              <w:pStyle w:val="0"/>
              <w:jc w:val="center"/>
            </w:pPr>
            <w:r>
              <w:rPr>
                <w:sz w:val="20"/>
              </w:rPr>
              <w:t xml:space="preserve">20</w:t>
            </w:r>
          </w:p>
        </w:tc>
        <w:tc>
          <w:tcPr>
            <w:tcW w:w="1155" w:type="dxa"/>
          </w:tcPr>
          <w:p>
            <w:pPr>
              <w:pStyle w:val="0"/>
              <w:jc w:val="center"/>
            </w:pPr>
            <w:r>
              <w:rPr>
                <w:sz w:val="20"/>
              </w:rPr>
              <w:t xml:space="preserve">25</w:t>
            </w:r>
          </w:p>
        </w:tc>
        <w:tc>
          <w:tcPr>
            <w:tcW w:w="1320" w:type="dxa"/>
          </w:tcPr>
          <w:p>
            <w:pPr>
              <w:pStyle w:val="0"/>
              <w:jc w:val="center"/>
            </w:pPr>
            <w:r>
              <w:rPr>
                <w:sz w:val="20"/>
              </w:rPr>
              <w:t xml:space="preserve">30</w:t>
            </w:r>
          </w:p>
        </w:tc>
        <w:tc>
          <w:tcPr>
            <w:tcW w:w="1155" w:type="dxa"/>
          </w:tcPr>
          <w:p>
            <w:pPr>
              <w:pStyle w:val="0"/>
              <w:jc w:val="center"/>
            </w:pPr>
            <w:r>
              <w:rPr>
                <w:sz w:val="20"/>
              </w:rPr>
              <w:t xml:space="preserve">10</w:t>
            </w:r>
          </w:p>
        </w:tc>
        <w:tc>
          <w:tcPr>
            <w:tcW w:w="1320" w:type="dxa"/>
          </w:tcPr>
          <w:p>
            <w:pPr>
              <w:pStyle w:val="0"/>
              <w:jc w:val="center"/>
            </w:pPr>
            <w:r>
              <w:rPr>
                <w:sz w:val="20"/>
              </w:rPr>
              <w:t xml:space="preserve">10</w:t>
            </w:r>
          </w:p>
        </w:tc>
        <w:tc>
          <w:tcPr>
            <w:tcW w:w="1155" w:type="dxa"/>
          </w:tcPr>
          <w:p>
            <w:pPr>
              <w:pStyle w:val="0"/>
              <w:jc w:val="center"/>
            </w:pPr>
            <w:r>
              <w:rPr>
                <w:sz w:val="20"/>
              </w:rPr>
              <w:t xml:space="preserve">10</w:t>
            </w:r>
          </w:p>
        </w:tc>
        <w:tc>
          <w:tcPr>
            <w:tcW w:w="2970" w:type="dxa"/>
          </w:tcPr>
          <w:p>
            <w:pPr>
              <w:pStyle w:val="0"/>
              <w:jc w:val="center"/>
            </w:pPr>
            <w:r>
              <w:rPr>
                <w:sz w:val="20"/>
              </w:rPr>
              <w:t xml:space="preserve">10</w:t>
            </w:r>
          </w:p>
        </w:tc>
      </w:tr>
      <w:tr>
        <w:tc>
          <w:tcPr>
            <w:tcW w:w="3960" w:type="dxa"/>
          </w:tcPr>
          <w:p>
            <w:pPr>
              <w:pStyle w:val="0"/>
            </w:pPr>
            <w:r>
              <w:rPr>
                <w:sz w:val="20"/>
              </w:rPr>
              <w:t xml:space="preserve">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1320" w:type="dxa"/>
          </w:tcPr>
          <w:p>
            <w:pPr>
              <w:pStyle w:val="0"/>
              <w:jc w:val="center"/>
            </w:pPr>
            <w:r>
              <w:rPr>
                <w:sz w:val="20"/>
              </w:rPr>
              <w:t xml:space="preserve">15</w:t>
            </w:r>
          </w:p>
        </w:tc>
        <w:tc>
          <w:tcPr>
            <w:tcW w:w="1155" w:type="dxa"/>
          </w:tcPr>
          <w:p>
            <w:pPr>
              <w:pStyle w:val="0"/>
              <w:jc w:val="center"/>
            </w:pPr>
            <w:r>
              <w:rPr>
                <w:sz w:val="20"/>
              </w:rPr>
              <w:t xml:space="preserve">20</w:t>
            </w:r>
          </w:p>
        </w:tc>
        <w:tc>
          <w:tcPr>
            <w:tcW w:w="1320" w:type="dxa"/>
          </w:tcPr>
          <w:p>
            <w:pPr>
              <w:pStyle w:val="0"/>
              <w:jc w:val="center"/>
            </w:pPr>
            <w:r>
              <w:rPr>
                <w:sz w:val="20"/>
              </w:rPr>
              <w:t xml:space="preserve">25</w:t>
            </w:r>
          </w:p>
        </w:tc>
        <w:tc>
          <w:tcPr>
            <w:tcW w:w="1155" w:type="dxa"/>
          </w:tcPr>
          <w:p>
            <w:pPr>
              <w:pStyle w:val="0"/>
              <w:jc w:val="center"/>
            </w:pPr>
            <w:r>
              <w:rPr>
                <w:sz w:val="20"/>
              </w:rPr>
              <w:t xml:space="preserve">8</w:t>
            </w:r>
          </w:p>
        </w:tc>
        <w:tc>
          <w:tcPr>
            <w:tcW w:w="1320" w:type="dxa"/>
          </w:tcPr>
          <w:p>
            <w:pPr>
              <w:pStyle w:val="0"/>
              <w:jc w:val="center"/>
            </w:pPr>
            <w:r>
              <w:rPr>
                <w:sz w:val="20"/>
              </w:rPr>
              <w:t xml:space="preserve">10</w:t>
            </w:r>
          </w:p>
        </w:tc>
        <w:tc>
          <w:tcPr>
            <w:tcW w:w="1155" w:type="dxa"/>
          </w:tcPr>
          <w:p>
            <w:pPr>
              <w:pStyle w:val="0"/>
              <w:jc w:val="center"/>
            </w:pPr>
            <w:r>
              <w:rPr>
                <w:sz w:val="20"/>
              </w:rPr>
              <w:t xml:space="preserve">15</w:t>
            </w:r>
          </w:p>
        </w:tc>
        <w:tc>
          <w:tcPr>
            <w:tcW w:w="2970" w:type="dxa"/>
          </w:tcPr>
          <w:p>
            <w:pPr>
              <w:pStyle w:val="0"/>
              <w:jc w:val="center"/>
            </w:pPr>
            <w:r>
              <w:rPr>
                <w:sz w:val="20"/>
              </w:rPr>
              <w:t xml:space="preserve">12</w:t>
            </w:r>
          </w:p>
        </w:tc>
      </w:tr>
      <w:tr>
        <w:tc>
          <w:tcPr>
            <w:tcW w:w="3960" w:type="dxa"/>
          </w:tcPr>
          <w:p>
            <w:pPr>
              <w:pStyle w:val="0"/>
            </w:pPr>
            <w:r>
              <w:rPr>
                <w:sz w:val="20"/>
              </w:rPr>
              <w:t xml:space="preserve">Канализация, теплотрасса (подземные)</w:t>
            </w:r>
          </w:p>
        </w:tc>
        <w:tc>
          <w:tcPr>
            <w:tcW w:w="1320" w:type="dxa"/>
          </w:tcPr>
          <w:p>
            <w:pPr>
              <w:pStyle w:val="0"/>
              <w:jc w:val="center"/>
            </w:pPr>
            <w:r>
              <w:rPr>
                <w:sz w:val="20"/>
              </w:rPr>
              <w:t xml:space="preserve">3,5</w:t>
            </w:r>
          </w:p>
        </w:tc>
        <w:tc>
          <w:tcPr>
            <w:tcW w:w="1155" w:type="dxa"/>
          </w:tcPr>
          <w:p>
            <w:pPr>
              <w:pStyle w:val="0"/>
              <w:jc w:val="center"/>
            </w:pPr>
            <w:r>
              <w:rPr>
                <w:sz w:val="20"/>
              </w:rPr>
              <w:t xml:space="preserve">3,5</w:t>
            </w:r>
          </w:p>
        </w:tc>
        <w:tc>
          <w:tcPr>
            <w:tcW w:w="1320" w:type="dxa"/>
          </w:tcPr>
          <w:p>
            <w:pPr>
              <w:pStyle w:val="0"/>
              <w:jc w:val="center"/>
            </w:pPr>
            <w:r>
              <w:rPr>
                <w:sz w:val="20"/>
              </w:rPr>
              <w:t xml:space="preserve">3,5</w:t>
            </w:r>
          </w:p>
        </w:tc>
        <w:tc>
          <w:tcPr>
            <w:tcW w:w="1155" w:type="dxa"/>
          </w:tcPr>
          <w:p>
            <w:pPr>
              <w:pStyle w:val="0"/>
              <w:jc w:val="center"/>
            </w:pPr>
            <w:r>
              <w:rPr>
                <w:sz w:val="20"/>
              </w:rPr>
              <w:t xml:space="preserve">3,5</w:t>
            </w:r>
          </w:p>
        </w:tc>
        <w:tc>
          <w:tcPr>
            <w:tcW w:w="1320" w:type="dxa"/>
          </w:tcPr>
          <w:p>
            <w:pPr>
              <w:pStyle w:val="0"/>
              <w:jc w:val="center"/>
            </w:pPr>
            <w:r>
              <w:rPr>
                <w:sz w:val="20"/>
              </w:rPr>
              <w:t xml:space="preserve">3,5</w:t>
            </w:r>
          </w:p>
        </w:tc>
        <w:tc>
          <w:tcPr>
            <w:tcW w:w="1155" w:type="dxa"/>
          </w:tcPr>
          <w:p>
            <w:pPr>
              <w:pStyle w:val="0"/>
              <w:jc w:val="center"/>
            </w:pPr>
            <w:r>
              <w:rPr>
                <w:sz w:val="20"/>
              </w:rPr>
              <w:t xml:space="preserve">3,5</w:t>
            </w:r>
          </w:p>
        </w:tc>
        <w:tc>
          <w:tcPr>
            <w:tcW w:w="2970" w:type="dxa"/>
          </w:tcPr>
          <w:p>
            <w:pPr>
              <w:pStyle w:val="0"/>
              <w:jc w:val="center"/>
            </w:pPr>
            <w:r>
              <w:rPr>
                <w:sz w:val="20"/>
              </w:rPr>
              <w:t xml:space="preserve">3,5</w:t>
            </w:r>
          </w:p>
        </w:tc>
      </w:tr>
      <w:tr>
        <w:tc>
          <w:tcPr>
            <w:tcW w:w="3960" w:type="dxa"/>
          </w:tcPr>
          <w:p>
            <w:pPr>
              <w:pStyle w:val="0"/>
            </w:pPr>
            <w:r>
              <w:rPr>
                <w:sz w:val="20"/>
              </w:rPr>
              <w:t xml:space="preserve">Надземные сооружения и коммуникации (эстакады, теплотрассы), не относящиеся к резервуарной установке</w:t>
            </w:r>
          </w:p>
        </w:tc>
        <w:tc>
          <w:tcPr>
            <w:tcW w:w="1320" w:type="dxa"/>
          </w:tcPr>
          <w:p>
            <w:pPr>
              <w:pStyle w:val="0"/>
              <w:jc w:val="center"/>
            </w:pPr>
            <w:r>
              <w:rPr>
                <w:sz w:val="20"/>
              </w:rPr>
              <w:t xml:space="preserve">5</w:t>
            </w:r>
          </w:p>
        </w:tc>
        <w:tc>
          <w:tcPr>
            <w:tcW w:w="1155" w:type="dxa"/>
          </w:tcPr>
          <w:p>
            <w:pPr>
              <w:pStyle w:val="0"/>
              <w:jc w:val="center"/>
            </w:pPr>
            <w:r>
              <w:rPr>
                <w:sz w:val="20"/>
              </w:rPr>
              <w:t xml:space="preserve">5</w:t>
            </w:r>
          </w:p>
        </w:tc>
        <w:tc>
          <w:tcPr>
            <w:tcW w:w="1320" w:type="dxa"/>
          </w:tcPr>
          <w:p>
            <w:pPr>
              <w:pStyle w:val="0"/>
              <w:jc w:val="center"/>
            </w:pPr>
            <w:r>
              <w:rPr>
                <w:sz w:val="20"/>
              </w:rPr>
              <w:t xml:space="preserve">5</w:t>
            </w:r>
          </w:p>
        </w:tc>
        <w:tc>
          <w:tcPr>
            <w:tcW w:w="1155" w:type="dxa"/>
          </w:tcPr>
          <w:p>
            <w:pPr>
              <w:pStyle w:val="0"/>
              <w:jc w:val="center"/>
            </w:pPr>
            <w:r>
              <w:rPr>
                <w:sz w:val="20"/>
              </w:rPr>
              <w:t xml:space="preserve">5</w:t>
            </w:r>
          </w:p>
        </w:tc>
        <w:tc>
          <w:tcPr>
            <w:tcW w:w="1320" w:type="dxa"/>
          </w:tcPr>
          <w:p>
            <w:pPr>
              <w:pStyle w:val="0"/>
              <w:jc w:val="center"/>
            </w:pPr>
            <w:r>
              <w:rPr>
                <w:sz w:val="20"/>
              </w:rPr>
              <w:t xml:space="preserve">5</w:t>
            </w:r>
          </w:p>
        </w:tc>
        <w:tc>
          <w:tcPr>
            <w:tcW w:w="1155" w:type="dxa"/>
          </w:tcPr>
          <w:p>
            <w:pPr>
              <w:pStyle w:val="0"/>
              <w:jc w:val="center"/>
            </w:pPr>
            <w:r>
              <w:rPr>
                <w:sz w:val="20"/>
              </w:rPr>
              <w:t xml:space="preserve">5</w:t>
            </w:r>
          </w:p>
        </w:tc>
        <w:tc>
          <w:tcPr>
            <w:tcW w:w="2970" w:type="dxa"/>
          </w:tcPr>
          <w:p>
            <w:pPr>
              <w:pStyle w:val="0"/>
              <w:jc w:val="center"/>
            </w:pPr>
            <w:r>
              <w:rPr>
                <w:sz w:val="20"/>
              </w:rPr>
              <w:t xml:space="preserve">5</w:t>
            </w:r>
          </w:p>
        </w:tc>
      </w:tr>
      <w:tr>
        <w:tc>
          <w:tcPr>
            <w:tcW w:w="3960" w:type="dxa"/>
          </w:tcPr>
          <w:p>
            <w:pPr>
              <w:pStyle w:val="0"/>
            </w:pPr>
            <w:r>
              <w:rPr>
                <w:sz w:val="20"/>
              </w:rPr>
              <w:t xml:space="preserve">Водопровод и другие бесканальные коммуникации</w:t>
            </w:r>
          </w:p>
        </w:tc>
        <w:tc>
          <w:tcPr>
            <w:tcW w:w="1320" w:type="dxa"/>
          </w:tcPr>
          <w:p>
            <w:pPr>
              <w:pStyle w:val="0"/>
              <w:jc w:val="center"/>
            </w:pPr>
            <w:r>
              <w:rPr>
                <w:sz w:val="20"/>
              </w:rPr>
              <w:t xml:space="preserve">2</w:t>
            </w:r>
          </w:p>
        </w:tc>
        <w:tc>
          <w:tcPr>
            <w:tcW w:w="1155" w:type="dxa"/>
          </w:tcPr>
          <w:p>
            <w:pPr>
              <w:pStyle w:val="0"/>
              <w:jc w:val="center"/>
            </w:pPr>
            <w:r>
              <w:rPr>
                <w:sz w:val="20"/>
              </w:rPr>
              <w:t xml:space="preserve">2</w:t>
            </w:r>
          </w:p>
        </w:tc>
        <w:tc>
          <w:tcPr>
            <w:tcW w:w="1320" w:type="dxa"/>
          </w:tcPr>
          <w:p>
            <w:pPr>
              <w:pStyle w:val="0"/>
              <w:jc w:val="center"/>
            </w:pPr>
            <w:r>
              <w:rPr>
                <w:sz w:val="20"/>
              </w:rPr>
              <w:t xml:space="preserve">2</w:t>
            </w:r>
          </w:p>
        </w:tc>
        <w:tc>
          <w:tcPr>
            <w:tcW w:w="1155" w:type="dxa"/>
          </w:tcPr>
          <w:p>
            <w:pPr>
              <w:pStyle w:val="0"/>
              <w:jc w:val="center"/>
            </w:pPr>
            <w:r>
              <w:rPr>
                <w:sz w:val="20"/>
              </w:rPr>
              <w:t xml:space="preserve">2</w:t>
            </w:r>
          </w:p>
        </w:tc>
        <w:tc>
          <w:tcPr>
            <w:tcW w:w="1320" w:type="dxa"/>
          </w:tcPr>
          <w:p>
            <w:pPr>
              <w:pStyle w:val="0"/>
              <w:jc w:val="center"/>
            </w:pPr>
            <w:r>
              <w:rPr>
                <w:sz w:val="20"/>
              </w:rPr>
              <w:t xml:space="preserve">2</w:t>
            </w:r>
          </w:p>
        </w:tc>
        <w:tc>
          <w:tcPr>
            <w:tcW w:w="1155" w:type="dxa"/>
          </w:tcPr>
          <w:p>
            <w:pPr>
              <w:pStyle w:val="0"/>
              <w:jc w:val="center"/>
            </w:pPr>
            <w:r>
              <w:rPr>
                <w:sz w:val="20"/>
              </w:rPr>
              <w:t xml:space="preserve">2</w:t>
            </w:r>
          </w:p>
        </w:tc>
        <w:tc>
          <w:tcPr>
            <w:tcW w:w="2970" w:type="dxa"/>
          </w:tcPr>
          <w:p>
            <w:pPr>
              <w:pStyle w:val="0"/>
              <w:jc w:val="center"/>
            </w:pPr>
            <w:r>
              <w:rPr>
                <w:sz w:val="20"/>
              </w:rPr>
              <w:t xml:space="preserve">2</w:t>
            </w:r>
          </w:p>
        </w:tc>
      </w:tr>
      <w:tr>
        <w:tc>
          <w:tcPr>
            <w:tcW w:w="3960" w:type="dxa"/>
          </w:tcPr>
          <w:p>
            <w:pPr>
              <w:pStyle w:val="0"/>
            </w:pPr>
            <w:r>
              <w:rPr>
                <w:sz w:val="20"/>
              </w:rPr>
              <w:t xml:space="preserve">Колодцы подземных коммуникаций</w:t>
            </w:r>
          </w:p>
        </w:tc>
        <w:tc>
          <w:tcPr>
            <w:tcW w:w="1320" w:type="dxa"/>
          </w:tcPr>
          <w:p>
            <w:pPr>
              <w:pStyle w:val="0"/>
              <w:jc w:val="center"/>
            </w:pPr>
            <w:r>
              <w:rPr>
                <w:sz w:val="20"/>
              </w:rPr>
              <w:t xml:space="preserve">5</w:t>
            </w:r>
          </w:p>
        </w:tc>
        <w:tc>
          <w:tcPr>
            <w:tcW w:w="1155" w:type="dxa"/>
          </w:tcPr>
          <w:p>
            <w:pPr>
              <w:pStyle w:val="0"/>
              <w:jc w:val="center"/>
            </w:pPr>
            <w:r>
              <w:rPr>
                <w:sz w:val="20"/>
              </w:rPr>
              <w:t xml:space="preserve">5</w:t>
            </w:r>
          </w:p>
        </w:tc>
        <w:tc>
          <w:tcPr>
            <w:tcW w:w="1320" w:type="dxa"/>
          </w:tcPr>
          <w:p>
            <w:pPr>
              <w:pStyle w:val="0"/>
              <w:jc w:val="center"/>
            </w:pPr>
            <w:r>
              <w:rPr>
                <w:sz w:val="20"/>
              </w:rPr>
              <w:t xml:space="preserve">5</w:t>
            </w:r>
          </w:p>
        </w:tc>
        <w:tc>
          <w:tcPr>
            <w:tcW w:w="1155" w:type="dxa"/>
          </w:tcPr>
          <w:p>
            <w:pPr>
              <w:pStyle w:val="0"/>
              <w:jc w:val="center"/>
            </w:pPr>
            <w:r>
              <w:rPr>
                <w:sz w:val="20"/>
              </w:rPr>
              <w:t xml:space="preserve">5</w:t>
            </w:r>
          </w:p>
        </w:tc>
        <w:tc>
          <w:tcPr>
            <w:tcW w:w="1320" w:type="dxa"/>
          </w:tcPr>
          <w:p>
            <w:pPr>
              <w:pStyle w:val="0"/>
              <w:jc w:val="center"/>
            </w:pPr>
            <w:r>
              <w:rPr>
                <w:sz w:val="20"/>
              </w:rPr>
              <w:t xml:space="preserve">5</w:t>
            </w:r>
          </w:p>
        </w:tc>
        <w:tc>
          <w:tcPr>
            <w:tcW w:w="1155" w:type="dxa"/>
          </w:tcPr>
          <w:p>
            <w:pPr>
              <w:pStyle w:val="0"/>
              <w:jc w:val="center"/>
            </w:pPr>
            <w:r>
              <w:rPr>
                <w:sz w:val="20"/>
              </w:rPr>
              <w:t xml:space="preserve">5</w:t>
            </w:r>
          </w:p>
        </w:tc>
        <w:tc>
          <w:tcPr>
            <w:tcW w:w="2970" w:type="dxa"/>
          </w:tcPr>
          <w:p>
            <w:pPr>
              <w:pStyle w:val="0"/>
              <w:jc w:val="center"/>
            </w:pPr>
            <w:r>
              <w:rPr>
                <w:sz w:val="20"/>
              </w:rPr>
              <w:t xml:space="preserve">5</w:t>
            </w:r>
          </w:p>
        </w:tc>
      </w:tr>
      <w:tr>
        <w:tc>
          <w:tcPr>
            <w:tcW w:w="3960" w:type="dxa"/>
          </w:tcPr>
          <w:p>
            <w:pPr>
              <w:pStyle w:val="0"/>
            </w:pPr>
            <w:r>
              <w:rPr>
                <w:sz w:val="20"/>
              </w:rPr>
              <w:t xml:space="preserve">Железные дороги общей сети (до подошвы насыпи или бровки выемки со стороны резервуаров)</w:t>
            </w:r>
          </w:p>
        </w:tc>
        <w:tc>
          <w:tcPr>
            <w:tcW w:w="1320" w:type="dxa"/>
          </w:tcPr>
          <w:p>
            <w:pPr>
              <w:pStyle w:val="0"/>
              <w:jc w:val="center"/>
            </w:pPr>
            <w:r>
              <w:rPr>
                <w:sz w:val="20"/>
              </w:rPr>
              <w:t xml:space="preserve">25</w:t>
            </w:r>
          </w:p>
        </w:tc>
        <w:tc>
          <w:tcPr>
            <w:tcW w:w="1155" w:type="dxa"/>
          </w:tcPr>
          <w:p>
            <w:pPr>
              <w:pStyle w:val="0"/>
              <w:jc w:val="center"/>
            </w:pPr>
            <w:r>
              <w:rPr>
                <w:sz w:val="20"/>
              </w:rPr>
              <w:t xml:space="preserve">30</w:t>
            </w:r>
          </w:p>
        </w:tc>
        <w:tc>
          <w:tcPr>
            <w:tcW w:w="1320" w:type="dxa"/>
          </w:tcPr>
          <w:p>
            <w:pPr>
              <w:pStyle w:val="0"/>
              <w:jc w:val="center"/>
            </w:pPr>
            <w:r>
              <w:rPr>
                <w:sz w:val="20"/>
              </w:rPr>
              <w:t xml:space="preserve">40</w:t>
            </w:r>
          </w:p>
        </w:tc>
        <w:tc>
          <w:tcPr>
            <w:tcW w:w="1155" w:type="dxa"/>
          </w:tcPr>
          <w:p>
            <w:pPr>
              <w:pStyle w:val="0"/>
              <w:jc w:val="center"/>
            </w:pPr>
            <w:r>
              <w:rPr>
                <w:sz w:val="20"/>
              </w:rPr>
              <w:t xml:space="preserve">20</w:t>
            </w:r>
          </w:p>
        </w:tc>
        <w:tc>
          <w:tcPr>
            <w:tcW w:w="1320" w:type="dxa"/>
          </w:tcPr>
          <w:p>
            <w:pPr>
              <w:pStyle w:val="0"/>
              <w:jc w:val="center"/>
            </w:pPr>
            <w:r>
              <w:rPr>
                <w:sz w:val="20"/>
              </w:rPr>
              <w:t xml:space="preserve">25</w:t>
            </w:r>
          </w:p>
        </w:tc>
        <w:tc>
          <w:tcPr>
            <w:tcW w:w="1155" w:type="dxa"/>
          </w:tcPr>
          <w:p>
            <w:pPr>
              <w:pStyle w:val="0"/>
              <w:jc w:val="center"/>
            </w:pPr>
            <w:r>
              <w:rPr>
                <w:sz w:val="20"/>
              </w:rPr>
              <w:t xml:space="preserve">30</w:t>
            </w:r>
          </w:p>
        </w:tc>
        <w:tc>
          <w:tcPr>
            <w:tcW w:w="2970" w:type="dxa"/>
          </w:tcPr>
          <w:p>
            <w:pPr>
              <w:pStyle w:val="0"/>
              <w:jc w:val="center"/>
            </w:pPr>
            <w:r>
              <w:rPr>
                <w:sz w:val="20"/>
              </w:rPr>
              <w:t xml:space="preserve">20</w:t>
            </w:r>
          </w:p>
        </w:tc>
      </w:tr>
      <w:tr>
        <w:tc>
          <w:tcPr>
            <w:tcW w:w="3960" w:type="dxa"/>
          </w:tcPr>
          <w:p>
            <w:pPr>
              <w:pStyle w:val="0"/>
            </w:pPr>
            <w:r>
              <w:rPr>
                <w:sz w:val="20"/>
              </w:rPr>
              <w:t xml:space="preserve">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1320" w:type="dxa"/>
          </w:tcPr>
          <w:p>
            <w:pPr>
              <w:pStyle w:val="0"/>
              <w:jc w:val="center"/>
            </w:pPr>
            <w:r>
              <w:rPr>
                <w:sz w:val="20"/>
              </w:rPr>
              <w:t xml:space="preserve">20</w:t>
            </w:r>
          </w:p>
        </w:tc>
        <w:tc>
          <w:tcPr>
            <w:tcW w:w="1155" w:type="dxa"/>
          </w:tcPr>
          <w:p>
            <w:pPr>
              <w:pStyle w:val="0"/>
              <w:jc w:val="center"/>
            </w:pPr>
            <w:r>
              <w:rPr>
                <w:sz w:val="20"/>
              </w:rPr>
              <w:t xml:space="preserve">20</w:t>
            </w:r>
          </w:p>
        </w:tc>
        <w:tc>
          <w:tcPr>
            <w:tcW w:w="1320" w:type="dxa"/>
          </w:tcPr>
          <w:p>
            <w:pPr>
              <w:pStyle w:val="0"/>
              <w:jc w:val="center"/>
            </w:pPr>
            <w:r>
              <w:rPr>
                <w:sz w:val="20"/>
              </w:rPr>
              <w:t xml:space="preserve">20</w:t>
            </w:r>
          </w:p>
        </w:tc>
        <w:tc>
          <w:tcPr>
            <w:tcW w:w="1155" w:type="dxa"/>
          </w:tcPr>
          <w:p>
            <w:pPr>
              <w:pStyle w:val="0"/>
              <w:jc w:val="center"/>
            </w:pPr>
            <w:r>
              <w:rPr>
                <w:sz w:val="20"/>
              </w:rPr>
              <w:t xml:space="preserve">10</w:t>
            </w:r>
          </w:p>
        </w:tc>
        <w:tc>
          <w:tcPr>
            <w:tcW w:w="1320" w:type="dxa"/>
          </w:tcPr>
          <w:p>
            <w:pPr>
              <w:pStyle w:val="0"/>
              <w:jc w:val="center"/>
            </w:pPr>
            <w:r>
              <w:rPr>
                <w:sz w:val="20"/>
              </w:rPr>
              <w:t xml:space="preserve">10</w:t>
            </w:r>
          </w:p>
        </w:tc>
        <w:tc>
          <w:tcPr>
            <w:tcW w:w="1155" w:type="dxa"/>
          </w:tcPr>
          <w:p>
            <w:pPr>
              <w:pStyle w:val="0"/>
              <w:jc w:val="center"/>
            </w:pPr>
            <w:r>
              <w:rPr>
                <w:sz w:val="20"/>
              </w:rPr>
              <w:t xml:space="preserve">10</w:t>
            </w:r>
          </w:p>
        </w:tc>
        <w:tc>
          <w:tcPr>
            <w:tcW w:w="2970" w:type="dxa"/>
          </w:tcPr>
          <w:p>
            <w:pPr>
              <w:pStyle w:val="0"/>
              <w:jc w:val="center"/>
            </w:pPr>
            <w:r>
              <w:rPr>
                <w:sz w:val="20"/>
              </w:rPr>
              <w:t xml:space="preserve">10</w:t>
            </w:r>
          </w:p>
        </w:tc>
      </w:tr>
      <w:tr>
        <w:tc>
          <w:tcPr>
            <w:tcW w:w="3960" w:type="dxa"/>
          </w:tcPr>
          <w:p>
            <w:pPr>
              <w:pStyle w:val="0"/>
            </w:pPr>
            <w:r>
              <w:rPr>
                <w:sz w:val="20"/>
              </w:rPr>
              <w:t xml:space="preserve">Автомобильные дороги IV и V категорий (до края проезжей части) организаций</w:t>
            </w:r>
          </w:p>
        </w:tc>
        <w:tc>
          <w:tcPr>
            <w:tcW w:w="1320" w:type="dxa"/>
          </w:tcPr>
          <w:p>
            <w:pPr>
              <w:pStyle w:val="0"/>
              <w:jc w:val="center"/>
            </w:pPr>
            <w:r>
              <w:rPr>
                <w:sz w:val="20"/>
              </w:rPr>
              <w:t xml:space="preserve">10</w:t>
            </w:r>
          </w:p>
        </w:tc>
        <w:tc>
          <w:tcPr>
            <w:tcW w:w="1155" w:type="dxa"/>
          </w:tcPr>
          <w:p>
            <w:pPr>
              <w:pStyle w:val="0"/>
              <w:jc w:val="center"/>
            </w:pPr>
            <w:r>
              <w:rPr>
                <w:sz w:val="20"/>
              </w:rPr>
              <w:t xml:space="preserve">10</w:t>
            </w:r>
          </w:p>
        </w:tc>
        <w:tc>
          <w:tcPr>
            <w:tcW w:w="1320" w:type="dxa"/>
          </w:tcPr>
          <w:p>
            <w:pPr>
              <w:pStyle w:val="0"/>
              <w:jc w:val="center"/>
            </w:pPr>
            <w:r>
              <w:rPr>
                <w:sz w:val="20"/>
              </w:rPr>
              <w:t xml:space="preserve">10</w:t>
            </w:r>
          </w:p>
        </w:tc>
        <w:tc>
          <w:tcPr>
            <w:tcW w:w="1155" w:type="dxa"/>
          </w:tcPr>
          <w:p>
            <w:pPr>
              <w:pStyle w:val="0"/>
              <w:jc w:val="center"/>
            </w:pPr>
            <w:r>
              <w:rPr>
                <w:sz w:val="20"/>
              </w:rPr>
              <w:t xml:space="preserve">5</w:t>
            </w:r>
          </w:p>
        </w:tc>
        <w:tc>
          <w:tcPr>
            <w:tcW w:w="1320" w:type="dxa"/>
          </w:tcPr>
          <w:p>
            <w:pPr>
              <w:pStyle w:val="0"/>
              <w:jc w:val="center"/>
            </w:pPr>
            <w:r>
              <w:rPr>
                <w:sz w:val="20"/>
              </w:rPr>
              <w:t xml:space="preserve">5</w:t>
            </w:r>
          </w:p>
        </w:tc>
        <w:tc>
          <w:tcPr>
            <w:tcW w:w="1155" w:type="dxa"/>
          </w:tcPr>
          <w:p>
            <w:pPr>
              <w:pStyle w:val="0"/>
              <w:jc w:val="center"/>
            </w:pPr>
            <w:r>
              <w:rPr>
                <w:sz w:val="20"/>
              </w:rPr>
              <w:t xml:space="preserve">5</w:t>
            </w:r>
          </w:p>
        </w:tc>
        <w:tc>
          <w:tcPr>
            <w:tcW w:w="2970" w:type="dxa"/>
          </w:tcPr>
          <w:p>
            <w:pPr>
              <w:pStyle w:val="0"/>
              <w:jc w:val="center"/>
            </w:pPr>
            <w:r>
              <w:rPr>
                <w:sz w:val="20"/>
              </w:rPr>
              <w:t xml:space="preserve">5</w:t>
            </w:r>
          </w:p>
        </w:tc>
      </w:tr>
    </w:tbl>
    <w:p>
      <w:pPr>
        <w:sectPr>
          <w:headerReference w:type="default" r:id="rId212"/>
          <w:headerReference w:type="first" r:id="rId212"/>
          <w:footerReference w:type="default" r:id="rId213"/>
          <w:footerReference w:type="first" r:id="rId213"/>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Примечание. Утратило силу. - </w:t>
      </w:r>
      <w:hyperlink w:history="0" r:id="rId340"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w:t>
        </w:r>
      </w:hyperlink>
      <w:r>
        <w:rPr>
          <w:sz w:val="20"/>
        </w:rPr>
        <w:t xml:space="preserve"> МЧС России от 14.02.2020 N 89.</w:t>
      </w:r>
    </w:p>
    <w:p>
      <w:pPr>
        <w:pStyle w:val="0"/>
        <w:ind w:firstLine="540"/>
        <w:jc w:val="both"/>
      </w:pPr>
      <w:r>
        <w:rPr>
          <w:sz w:val="20"/>
        </w:rPr>
      </w:r>
    </w:p>
    <w:p>
      <w:pPr>
        <w:pStyle w:val="0"/>
        <w:ind w:firstLine="540"/>
        <w:jc w:val="both"/>
      </w:pPr>
      <w:r>
        <w:rPr>
          <w:sz w:val="20"/>
        </w:rPr>
        <w:t xml:space="preserve">Расстояния от резервуарных установок общей вместимостью свыше 50 м</w:t>
      </w:r>
      <w:r>
        <w:rPr>
          <w:sz w:val="20"/>
          <w:vertAlign w:val="superscript"/>
        </w:rPr>
        <w:t xml:space="preserve">3</w:t>
      </w:r>
      <w:r>
        <w:rPr>
          <w:sz w:val="20"/>
        </w:rPr>
        <w:t xml:space="preserve"> принимаются не менее указанных в </w:t>
      </w:r>
      <w:hyperlink w:history="0" w:anchor="P2097" w:tooltip="Таблица 32">
        <w:r>
          <w:rPr>
            <w:sz w:val="20"/>
            <w:color w:val="0000ff"/>
          </w:rPr>
          <w:t xml:space="preserve">таблице 32</w:t>
        </w:r>
      </w:hyperlink>
      <w:r>
        <w:rPr>
          <w:sz w:val="20"/>
        </w:rPr>
        <w:t xml:space="preserve">.</w:t>
      </w:r>
    </w:p>
    <w:p>
      <w:pPr>
        <w:pStyle w:val="0"/>
        <w:ind w:firstLine="540"/>
        <w:jc w:val="both"/>
      </w:pPr>
      <w:r>
        <w:rPr>
          <w:sz w:val="20"/>
        </w:rPr>
      </w:r>
    </w:p>
    <w:bookmarkStart w:id="2097" w:name="P2097"/>
    <w:bookmarkEnd w:id="2097"/>
    <w:p>
      <w:pPr>
        <w:pStyle w:val="0"/>
        <w:outlineLvl w:val="3"/>
        <w:jc w:val="both"/>
      </w:pPr>
      <w:r>
        <w:rPr>
          <w:sz w:val="20"/>
        </w:rPr>
        <w:t xml:space="preserve">Таблица 32</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39"/>
        <w:gridCol w:w="694"/>
        <w:gridCol w:w="694"/>
        <w:gridCol w:w="769"/>
        <w:gridCol w:w="565"/>
        <w:gridCol w:w="340"/>
        <w:gridCol w:w="462"/>
        <w:gridCol w:w="694"/>
        <w:gridCol w:w="649"/>
        <w:gridCol w:w="514"/>
        <w:gridCol w:w="694"/>
        <w:gridCol w:w="2074"/>
        <w:gridCol w:w="1109"/>
        <w:gridCol w:w="965"/>
      </w:tblGrid>
      <w:tr>
        <w:tc>
          <w:tcPr>
            <w:tcW w:w="2239" w:type="dxa"/>
            <w:vMerge w:val="restart"/>
          </w:tcPr>
          <w:p>
            <w:pPr>
              <w:pStyle w:val="0"/>
              <w:jc w:val="center"/>
            </w:pPr>
            <w:r>
              <w:rPr>
                <w:sz w:val="20"/>
              </w:rPr>
              <w:t xml:space="preserve">Здания, сооружения и коммуникации</w:t>
            </w:r>
          </w:p>
        </w:tc>
        <w:tc>
          <w:tcPr>
            <w:gridSpan w:val="10"/>
            <w:tcW w:w="6075" w:type="dxa"/>
          </w:tcPr>
          <w:p>
            <w:pPr>
              <w:pStyle w:val="0"/>
              <w:jc w:val="center"/>
            </w:pPr>
            <w:r>
              <w:rPr>
                <w:sz w:val="20"/>
              </w:rPr>
              <w:t xml:space="preserve">Противопожарные расстояния от резервуаров сжиженных углеводородных газов, м</w:t>
            </w:r>
          </w:p>
        </w:tc>
        <w:tc>
          <w:tcPr>
            <w:tcW w:w="2074" w:type="dxa"/>
            <w:vMerge w:val="restart"/>
          </w:tcPr>
          <w:p>
            <w:pPr>
              <w:pStyle w:val="0"/>
              <w:jc w:val="center"/>
            </w:pPr>
            <w:r>
              <w:rPr>
                <w:sz w:val="20"/>
              </w:rPr>
              <w:t xml:space="preserve">Противопожарные расстояния от помещений, установок, где используется сжиженный углеводородный газ, м</w:t>
            </w:r>
          </w:p>
        </w:tc>
        <w:tc>
          <w:tcPr>
            <w:gridSpan w:val="2"/>
            <w:tcW w:w="2074" w:type="dxa"/>
            <w:vMerge w:val="restart"/>
          </w:tcPr>
          <w:p>
            <w:pPr>
              <w:pStyle w:val="0"/>
              <w:jc w:val="center"/>
            </w:pPr>
            <w:r>
              <w:rPr>
                <w:sz w:val="20"/>
              </w:rPr>
              <w:t xml:space="preserve">Противопожарные расстояния от склада наполненных баллонов общей вместимостью, м</w:t>
            </w:r>
          </w:p>
        </w:tc>
      </w:tr>
      <w:tr>
        <w:tc>
          <w:tcPr>
            <w:vMerge w:val="continue"/>
          </w:tcPr>
          <w:p/>
        </w:tc>
        <w:tc>
          <w:tcPr>
            <w:gridSpan w:val="5"/>
            <w:tcW w:w="3062" w:type="dxa"/>
          </w:tcPr>
          <w:p>
            <w:pPr>
              <w:pStyle w:val="0"/>
              <w:jc w:val="center"/>
            </w:pPr>
            <w:r>
              <w:rPr>
                <w:sz w:val="20"/>
              </w:rPr>
              <w:t xml:space="preserve">надземных</w:t>
            </w:r>
          </w:p>
        </w:tc>
        <w:tc>
          <w:tcPr>
            <w:gridSpan w:val="5"/>
            <w:tcW w:w="3013" w:type="dxa"/>
          </w:tcPr>
          <w:p>
            <w:pPr>
              <w:pStyle w:val="0"/>
              <w:jc w:val="center"/>
            </w:pPr>
            <w:r>
              <w:rPr>
                <w:sz w:val="20"/>
              </w:rPr>
              <w:t xml:space="preserve">подземных</w:t>
            </w:r>
          </w:p>
        </w:tc>
        <w:tc>
          <w:tcPr>
            <w:vMerge w:val="continue"/>
          </w:tcPr>
          <w:p/>
        </w:tc>
        <w:tc>
          <w:tcPr>
            <w:gridSpan w:val="2"/>
            <w:vMerge w:val="continue"/>
          </w:tcPr>
          <w:p/>
        </w:tc>
      </w:tr>
      <w:tr>
        <w:tc>
          <w:tcPr>
            <w:vMerge w:val="continue"/>
          </w:tcPr>
          <w:p/>
        </w:tc>
        <w:tc>
          <w:tcPr>
            <w:gridSpan w:val="10"/>
            <w:tcW w:w="6075" w:type="dxa"/>
          </w:tcPr>
          <w:p>
            <w:pPr>
              <w:pStyle w:val="0"/>
              <w:jc w:val="center"/>
            </w:pPr>
            <w:r>
              <w:rPr>
                <w:sz w:val="20"/>
              </w:rPr>
              <w:t xml:space="preserve">при общей вместимости, м</w:t>
            </w:r>
            <w:r>
              <w:rPr>
                <w:sz w:val="20"/>
                <w:vertAlign w:val="superscript"/>
              </w:rPr>
              <w:t xml:space="preserve">3</w:t>
            </w:r>
          </w:p>
        </w:tc>
        <w:tc>
          <w:tcPr>
            <w:vMerge w:val="continue"/>
          </w:tcPr>
          <w:p/>
        </w:tc>
        <w:tc>
          <w:tcPr>
            <w:gridSpan w:val="2"/>
            <w:vMerge w:val="continue"/>
          </w:tcPr>
          <w:p/>
        </w:tc>
      </w:tr>
      <w:tr>
        <w:tc>
          <w:tcPr>
            <w:vMerge w:val="continue"/>
          </w:tcPr>
          <w:p/>
        </w:tc>
        <w:tc>
          <w:tcPr>
            <w:tcW w:w="694" w:type="dxa"/>
          </w:tcPr>
          <w:p>
            <w:pPr>
              <w:pStyle w:val="0"/>
              <w:jc w:val="center"/>
            </w:pPr>
            <w:r>
              <w:rPr>
                <w:sz w:val="20"/>
              </w:rPr>
              <w:t xml:space="preserve">более 20, но не более 50</w:t>
            </w:r>
          </w:p>
        </w:tc>
        <w:tc>
          <w:tcPr>
            <w:tcW w:w="694" w:type="dxa"/>
          </w:tcPr>
          <w:p>
            <w:pPr>
              <w:pStyle w:val="0"/>
              <w:jc w:val="center"/>
            </w:pPr>
            <w:r>
              <w:rPr>
                <w:sz w:val="20"/>
              </w:rPr>
              <w:t xml:space="preserve">более 50, но не более 200</w:t>
            </w:r>
          </w:p>
        </w:tc>
        <w:tc>
          <w:tcPr>
            <w:tcW w:w="769" w:type="dxa"/>
          </w:tcPr>
          <w:p>
            <w:pPr>
              <w:pStyle w:val="0"/>
              <w:jc w:val="center"/>
            </w:pPr>
            <w:r>
              <w:rPr>
                <w:sz w:val="20"/>
              </w:rPr>
              <w:t xml:space="preserve">более 50, но не более 500</w:t>
            </w:r>
          </w:p>
        </w:tc>
        <w:tc>
          <w:tcPr>
            <w:gridSpan w:val="3"/>
            <w:tcW w:w="1367" w:type="dxa"/>
          </w:tcPr>
          <w:p>
            <w:pPr>
              <w:pStyle w:val="0"/>
              <w:jc w:val="center"/>
            </w:pPr>
            <w:r>
              <w:rPr>
                <w:sz w:val="20"/>
              </w:rPr>
              <w:t xml:space="preserve">более 200, но не более 8000</w:t>
            </w:r>
          </w:p>
        </w:tc>
        <w:tc>
          <w:tcPr>
            <w:tcW w:w="694" w:type="dxa"/>
          </w:tcPr>
          <w:p>
            <w:pPr>
              <w:pStyle w:val="0"/>
              <w:jc w:val="center"/>
            </w:pPr>
            <w:r>
              <w:rPr>
                <w:sz w:val="20"/>
              </w:rPr>
              <w:t xml:space="preserve">более 50, но не более 200</w:t>
            </w:r>
          </w:p>
        </w:tc>
        <w:tc>
          <w:tcPr>
            <w:gridSpan w:val="2"/>
            <w:tcW w:w="1163" w:type="dxa"/>
          </w:tcPr>
          <w:p>
            <w:pPr>
              <w:pStyle w:val="0"/>
              <w:jc w:val="center"/>
            </w:pPr>
            <w:r>
              <w:rPr>
                <w:sz w:val="20"/>
              </w:rPr>
              <w:t xml:space="preserve">более 50, но не более 500</w:t>
            </w:r>
          </w:p>
        </w:tc>
        <w:tc>
          <w:tcPr>
            <w:tcW w:w="694" w:type="dxa"/>
          </w:tcPr>
          <w:p>
            <w:pPr>
              <w:pStyle w:val="0"/>
              <w:jc w:val="center"/>
            </w:pPr>
            <w:r>
              <w:rPr>
                <w:sz w:val="20"/>
              </w:rPr>
              <w:t xml:space="preserve">более 200, но не более 8000</w:t>
            </w:r>
          </w:p>
        </w:tc>
        <w:tc>
          <w:tcPr>
            <w:vMerge w:val="continue"/>
          </w:tcPr>
          <w:p/>
        </w:tc>
        <w:tc>
          <w:tcPr>
            <w:gridSpan w:val="2"/>
            <w:vMerge w:val="continue"/>
          </w:tcPr>
          <w:p/>
        </w:tc>
      </w:tr>
      <w:tr>
        <w:tc>
          <w:tcPr>
            <w:vMerge w:val="continue"/>
          </w:tcPr>
          <w:p/>
        </w:tc>
        <w:tc>
          <w:tcPr>
            <w:gridSpan w:val="10"/>
            <w:tcW w:w="6075" w:type="dxa"/>
          </w:tcPr>
          <w:p>
            <w:pPr>
              <w:pStyle w:val="0"/>
              <w:jc w:val="center"/>
            </w:pPr>
            <w:r>
              <w:rPr>
                <w:sz w:val="20"/>
              </w:rPr>
              <w:t xml:space="preserve">Максимальная вместимость одного резервуара, м</w:t>
            </w:r>
            <w:r>
              <w:rPr>
                <w:sz w:val="20"/>
                <w:vertAlign w:val="superscript"/>
              </w:rPr>
              <w:t xml:space="preserve">3</w:t>
            </w:r>
          </w:p>
        </w:tc>
        <w:tc>
          <w:tcPr>
            <w:vMerge w:val="continue"/>
          </w:tcPr>
          <w:p/>
        </w:tc>
        <w:tc>
          <w:tcPr>
            <w:gridSpan w:val="2"/>
            <w:vMerge w:val="continue"/>
          </w:tcPr>
          <w:p/>
        </w:tc>
      </w:tr>
      <w:tr>
        <w:tc>
          <w:tcPr>
            <w:vMerge w:val="continue"/>
          </w:tcPr>
          <w:p/>
        </w:tc>
        <w:tc>
          <w:tcPr>
            <w:tcW w:w="694" w:type="dxa"/>
          </w:tcPr>
          <w:p>
            <w:pPr>
              <w:pStyle w:val="0"/>
              <w:jc w:val="center"/>
            </w:pPr>
            <w:r>
              <w:rPr>
                <w:sz w:val="20"/>
              </w:rPr>
              <w:t xml:space="preserve">не более 25</w:t>
            </w:r>
          </w:p>
        </w:tc>
        <w:tc>
          <w:tcPr>
            <w:tcW w:w="694" w:type="dxa"/>
          </w:tcPr>
          <w:p>
            <w:pPr>
              <w:pStyle w:val="0"/>
              <w:jc w:val="center"/>
            </w:pPr>
            <w:r>
              <w:rPr>
                <w:sz w:val="20"/>
              </w:rPr>
              <w:t xml:space="preserve">25</w:t>
            </w:r>
          </w:p>
        </w:tc>
        <w:tc>
          <w:tcPr>
            <w:tcW w:w="769" w:type="dxa"/>
          </w:tcPr>
          <w:p>
            <w:pPr>
              <w:pStyle w:val="0"/>
              <w:jc w:val="center"/>
            </w:pPr>
            <w:r>
              <w:rPr>
                <w:sz w:val="20"/>
              </w:rPr>
              <w:t xml:space="preserve">50</w:t>
            </w:r>
          </w:p>
        </w:tc>
        <w:tc>
          <w:tcPr>
            <w:tcW w:w="565" w:type="dxa"/>
          </w:tcPr>
          <w:p>
            <w:pPr>
              <w:pStyle w:val="0"/>
              <w:jc w:val="center"/>
            </w:pPr>
            <w:r>
              <w:rPr>
                <w:sz w:val="20"/>
              </w:rPr>
              <w:t xml:space="preserve">100</w:t>
            </w:r>
          </w:p>
        </w:tc>
        <w:tc>
          <w:tcPr>
            <w:gridSpan w:val="2"/>
            <w:tcW w:w="802" w:type="dxa"/>
          </w:tcPr>
          <w:p>
            <w:pPr>
              <w:pStyle w:val="0"/>
              <w:jc w:val="center"/>
            </w:pPr>
            <w:r>
              <w:rPr>
                <w:sz w:val="20"/>
              </w:rPr>
              <w:t xml:space="preserve">более 100, но не более 600</w:t>
            </w:r>
          </w:p>
        </w:tc>
        <w:tc>
          <w:tcPr>
            <w:tcW w:w="694" w:type="dxa"/>
          </w:tcPr>
          <w:p>
            <w:pPr>
              <w:pStyle w:val="0"/>
              <w:jc w:val="center"/>
            </w:pPr>
            <w:r>
              <w:rPr>
                <w:sz w:val="20"/>
              </w:rPr>
              <w:t xml:space="preserve">25</w:t>
            </w:r>
          </w:p>
        </w:tc>
        <w:tc>
          <w:tcPr>
            <w:tcW w:w="649" w:type="dxa"/>
          </w:tcPr>
          <w:p>
            <w:pPr>
              <w:pStyle w:val="0"/>
              <w:jc w:val="center"/>
            </w:pPr>
            <w:r>
              <w:rPr>
                <w:sz w:val="20"/>
              </w:rPr>
              <w:t xml:space="preserve">50</w:t>
            </w:r>
          </w:p>
        </w:tc>
        <w:tc>
          <w:tcPr>
            <w:tcW w:w="514" w:type="dxa"/>
          </w:tcPr>
          <w:p>
            <w:pPr>
              <w:pStyle w:val="0"/>
              <w:jc w:val="center"/>
            </w:pPr>
            <w:r>
              <w:rPr>
                <w:sz w:val="20"/>
              </w:rPr>
              <w:t xml:space="preserve">100</w:t>
            </w:r>
          </w:p>
        </w:tc>
        <w:tc>
          <w:tcPr>
            <w:tcW w:w="694" w:type="dxa"/>
          </w:tcPr>
          <w:p>
            <w:pPr>
              <w:pStyle w:val="0"/>
              <w:jc w:val="center"/>
            </w:pPr>
            <w:r>
              <w:rPr>
                <w:sz w:val="20"/>
              </w:rPr>
              <w:t xml:space="preserve">более 100, но не более 600</w:t>
            </w:r>
          </w:p>
        </w:tc>
        <w:tc>
          <w:tcPr>
            <w:vMerge w:val="continue"/>
          </w:tcPr>
          <w:p/>
        </w:tc>
        <w:tc>
          <w:tcPr>
            <w:tcW w:w="1109" w:type="dxa"/>
          </w:tcPr>
          <w:p>
            <w:pPr>
              <w:pStyle w:val="0"/>
              <w:jc w:val="center"/>
            </w:pPr>
            <w:r>
              <w:rPr>
                <w:sz w:val="20"/>
              </w:rPr>
              <w:t xml:space="preserve">не более 20</w:t>
            </w:r>
          </w:p>
        </w:tc>
        <w:tc>
          <w:tcPr>
            <w:tcW w:w="965" w:type="dxa"/>
          </w:tcPr>
          <w:p>
            <w:pPr>
              <w:pStyle w:val="0"/>
              <w:jc w:val="center"/>
            </w:pPr>
            <w:r>
              <w:rPr>
                <w:sz w:val="20"/>
              </w:rPr>
              <w:t xml:space="preserve">более 20</w:t>
            </w:r>
          </w:p>
        </w:tc>
      </w:tr>
      <w:tr>
        <w:tc>
          <w:tcPr>
            <w:tcW w:w="2239" w:type="dxa"/>
          </w:tcPr>
          <w:p>
            <w:pPr>
              <w:pStyle w:val="0"/>
            </w:pPr>
            <w:r>
              <w:rPr>
                <w:sz w:val="20"/>
              </w:rPr>
              <w:t xml:space="preserve">Жилые, общественные здания</w:t>
            </w:r>
          </w:p>
        </w:tc>
        <w:tc>
          <w:tcPr>
            <w:tcW w:w="694" w:type="dxa"/>
          </w:tcPr>
          <w:p>
            <w:pPr>
              <w:pStyle w:val="0"/>
              <w:jc w:val="center"/>
            </w:pPr>
            <w:r>
              <w:rPr>
                <w:sz w:val="20"/>
              </w:rPr>
              <w:t xml:space="preserve">70</w:t>
            </w:r>
          </w:p>
        </w:tc>
        <w:tc>
          <w:tcPr>
            <w:tcW w:w="694" w:type="dxa"/>
          </w:tcPr>
          <w:p>
            <w:pPr>
              <w:pStyle w:val="0"/>
              <w:jc w:val="center"/>
            </w:pPr>
            <w:r>
              <w:rPr>
                <w:sz w:val="20"/>
              </w:rPr>
              <w:t xml:space="preserve">80</w:t>
            </w:r>
          </w:p>
        </w:tc>
        <w:tc>
          <w:tcPr>
            <w:tcW w:w="769" w:type="dxa"/>
          </w:tcPr>
          <w:p>
            <w:pPr>
              <w:pStyle w:val="0"/>
              <w:jc w:val="center"/>
            </w:pPr>
            <w:r>
              <w:rPr>
                <w:sz w:val="20"/>
              </w:rPr>
              <w:t xml:space="preserve">150</w:t>
            </w:r>
          </w:p>
        </w:tc>
        <w:tc>
          <w:tcPr>
            <w:tcW w:w="565" w:type="dxa"/>
          </w:tcPr>
          <w:p>
            <w:pPr>
              <w:pStyle w:val="0"/>
              <w:jc w:val="center"/>
            </w:pPr>
            <w:r>
              <w:rPr>
                <w:sz w:val="20"/>
              </w:rPr>
              <w:t xml:space="preserve">200</w:t>
            </w:r>
          </w:p>
        </w:tc>
        <w:tc>
          <w:tcPr>
            <w:gridSpan w:val="2"/>
            <w:tcW w:w="802" w:type="dxa"/>
          </w:tcPr>
          <w:p>
            <w:pPr>
              <w:pStyle w:val="0"/>
              <w:jc w:val="center"/>
            </w:pPr>
            <w:r>
              <w:rPr>
                <w:sz w:val="20"/>
              </w:rPr>
              <w:t xml:space="preserve">300</w:t>
            </w:r>
          </w:p>
        </w:tc>
        <w:tc>
          <w:tcPr>
            <w:tcW w:w="694" w:type="dxa"/>
          </w:tcPr>
          <w:p>
            <w:pPr>
              <w:pStyle w:val="0"/>
              <w:jc w:val="center"/>
            </w:pPr>
            <w:r>
              <w:rPr>
                <w:sz w:val="20"/>
              </w:rPr>
              <w:t xml:space="preserve">40</w:t>
            </w:r>
          </w:p>
        </w:tc>
        <w:tc>
          <w:tcPr>
            <w:tcW w:w="649" w:type="dxa"/>
          </w:tcPr>
          <w:p>
            <w:pPr>
              <w:pStyle w:val="0"/>
              <w:jc w:val="center"/>
            </w:pPr>
            <w:r>
              <w:rPr>
                <w:sz w:val="20"/>
              </w:rPr>
              <w:t xml:space="preserve">75</w:t>
            </w:r>
          </w:p>
        </w:tc>
        <w:tc>
          <w:tcPr>
            <w:tcW w:w="514" w:type="dxa"/>
          </w:tcPr>
          <w:p>
            <w:pPr>
              <w:pStyle w:val="0"/>
              <w:jc w:val="center"/>
            </w:pPr>
            <w:r>
              <w:rPr>
                <w:sz w:val="20"/>
              </w:rPr>
              <w:t xml:space="preserve">100</w:t>
            </w:r>
          </w:p>
        </w:tc>
        <w:tc>
          <w:tcPr>
            <w:tcW w:w="694" w:type="dxa"/>
          </w:tcPr>
          <w:p>
            <w:pPr>
              <w:pStyle w:val="0"/>
              <w:jc w:val="center"/>
            </w:pPr>
            <w:r>
              <w:rPr>
                <w:sz w:val="20"/>
              </w:rPr>
              <w:t xml:space="preserve">150</w:t>
            </w:r>
          </w:p>
        </w:tc>
        <w:tc>
          <w:tcPr>
            <w:tcW w:w="2074" w:type="dxa"/>
          </w:tcPr>
          <w:p>
            <w:pPr>
              <w:pStyle w:val="0"/>
              <w:jc w:val="center"/>
            </w:pPr>
            <w:r>
              <w:rPr>
                <w:sz w:val="20"/>
              </w:rPr>
              <w:t xml:space="preserve">50</w:t>
            </w:r>
          </w:p>
        </w:tc>
        <w:tc>
          <w:tcPr>
            <w:tcW w:w="1109" w:type="dxa"/>
          </w:tcPr>
          <w:p>
            <w:pPr>
              <w:pStyle w:val="0"/>
              <w:jc w:val="center"/>
            </w:pPr>
            <w:r>
              <w:rPr>
                <w:sz w:val="20"/>
              </w:rPr>
              <w:t xml:space="preserve">50</w:t>
            </w:r>
          </w:p>
        </w:tc>
        <w:tc>
          <w:tcPr>
            <w:tcW w:w="965" w:type="dxa"/>
          </w:tcPr>
          <w:p>
            <w:pPr>
              <w:pStyle w:val="0"/>
              <w:jc w:val="center"/>
            </w:pPr>
            <w:r>
              <w:rPr>
                <w:sz w:val="20"/>
              </w:rPr>
              <w:t xml:space="preserve">100</w:t>
            </w:r>
          </w:p>
        </w:tc>
      </w:tr>
      <w:tr>
        <w:tc>
          <w:tcPr>
            <w:tcW w:w="2239" w:type="dxa"/>
          </w:tcPr>
          <w:p>
            <w:pPr>
              <w:pStyle w:val="0"/>
            </w:pPr>
            <w:r>
              <w:rPr>
                <w:sz w:val="20"/>
              </w:rPr>
              <w:t xml:space="preserve">Административные, бытовые, производственные здания, здания котельных, гаражей и открытых стоянок</w:t>
            </w:r>
          </w:p>
        </w:tc>
        <w:tc>
          <w:tcPr>
            <w:tcW w:w="694" w:type="dxa"/>
          </w:tcPr>
          <w:p>
            <w:pPr>
              <w:pStyle w:val="0"/>
              <w:jc w:val="center"/>
            </w:pPr>
            <w:r>
              <w:rPr>
                <w:sz w:val="20"/>
              </w:rPr>
              <w:t xml:space="preserve">70</w:t>
            </w:r>
          </w:p>
          <w:p>
            <w:pPr>
              <w:pStyle w:val="0"/>
              <w:jc w:val="center"/>
            </w:pPr>
            <w:r>
              <w:rPr>
                <w:sz w:val="20"/>
              </w:rPr>
              <w:t xml:space="preserve">(30)</w:t>
            </w:r>
          </w:p>
        </w:tc>
        <w:tc>
          <w:tcPr>
            <w:tcW w:w="694" w:type="dxa"/>
          </w:tcPr>
          <w:p>
            <w:pPr>
              <w:pStyle w:val="0"/>
              <w:jc w:val="center"/>
            </w:pPr>
            <w:r>
              <w:rPr>
                <w:sz w:val="20"/>
              </w:rPr>
              <w:t xml:space="preserve">80</w:t>
            </w:r>
          </w:p>
          <w:p>
            <w:pPr>
              <w:pStyle w:val="0"/>
              <w:jc w:val="center"/>
            </w:pPr>
            <w:r>
              <w:rPr>
                <w:sz w:val="20"/>
              </w:rPr>
              <w:t xml:space="preserve">(50)</w:t>
            </w:r>
          </w:p>
        </w:tc>
        <w:tc>
          <w:tcPr>
            <w:tcW w:w="769" w:type="dxa"/>
          </w:tcPr>
          <w:p>
            <w:pPr>
              <w:pStyle w:val="0"/>
              <w:jc w:val="center"/>
            </w:pPr>
            <w:r>
              <w:rPr>
                <w:sz w:val="20"/>
              </w:rPr>
              <w:t xml:space="preserve">150</w:t>
            </w:r>
          </w:p>
          <w:p>
            <w:pPr>
              <w:pStyle w:val="0"/>
              <w:jc w:val="center"/>
            </w:pPr>
            <w:r>
              <w:rPr>
                <w:sz w:val="20"/>
              </w:rPr>
              <w:t xml:space="preserve">(110)+</w:t>
            </w:r>
          </w:p>
        </w:tc>
        <w:tc>
          <w:tcPr>
            <w:tcW w:w="565" w:type="dxa"/>
          </w:tcPr>
          <w:p>
            <w:pPr>
              <w:pStyle w:val="0"/>
              <w:jc w:val="center"/>
            </w:pPr>
            <w:r>
              <w:rPr>
                <w:sz w:val="20"/>
              </w:rPr>
              <w:t xml:space="preserve">200</w:t>
            </w:r>
          </w:p>
        </w:tc>
        <w:tc>
          <w:tcPr>
            <w:gridSpan w:val="2"/>
            <w:tcW w:w="802" w:type="dxa"/>
          </w:tcPr>
          <w:p>
            <w:pPr>
              <w:pStyle w:val="0"/>
              <w:jc w:val="center"/>
            </w:pPr>
            <w:r>
              <w:rPr>
                <w:sz w:val="20"/>
              </w:rPr>
              <w:t xml:space="preserve">300</w:t>
            </w:r>
          </w:p>
        </w:tc>
        <w:tc>
          <w:tcPr>
            <w:tcW w:w="694" w:type="dxa"/>
          </w:tcPr>
          <w:p>
            <w:pPr>
              <w:pStyle w:val="0"/>
              <w:jc w:val="center"/>
            </w:pPr>
            <w:r>
              <w:rPr>
                <w:sz w:val="20"/>
              </w:rPr>
              <w:t xml:space="preserve">40</w:t>
            </w:r>
          </w:p>
          <w:p>
            <w:pPr>
              <w:pStyle w:val="0"/>
              <w:jc w:val="center"/>
            </w:pPr>
            <w:r>
              <w:rPr>
                <w:sz w:val="20"/>
              </w:rPr>
              <w:t xml:space="preserve">(25)</w:t>
            </w:r>
          </w:p>
        </w:tc>
        <w:tc>
          <w:tcPr>
            <w:tcW w:w="649" w:type="dxa"/>
          </w:tcPr>
          <w:p>
            <w:pPr>
              <w:pStyle w:val="0"/>
              <w:jc w:val="center"/>
            </w:pPr>
            <w:r>
              <w:rPr>
                <w:sz w:val="20"/>
              </w:rPr>
              <w:t xml:space="preserve">75</w:t>
            </w:r>
          </w:p>
          <w:p>
            <w:pPr>
              <w:pStyle w:val="0"/>
              <w:jc w:val="center"/>
            </w:pPr>
            <w:r>
              <w:rPr>
                <w:sz w:val="20"/>
              </w:rPr>
              <w:t xml:space="preserve">(55)+</w:t>
            </w:r>
          </w:p>
        </w:tc>
        <w:tc>
          <w:tcPr>
            <w:tcW w:w="514" w:type="dxa"/>
          </w:tcPr>
          <w:p>
            <w:pPr>
              <w:pStyle w:val="0"/>
              <w:jc w:val="center"/>
            </w:pPr>
            <w:r>
              <w:rPr>
                <w:sz w:val="20"/>
              </w:rPr>
              <w:t xml:space="preserve">100</w:t>
            </w:r>
          </w:p>
        </w:tc>
        <w:tc>
          <w:tcPr>
            <w:tcW w:w="694" w:type="dxa"/>
          </w:tcPr>
          <w:p>
            <w:pPr>
              <w:pStyle w:val="0"/>
              <w:jc w:val="center"/>
            </w:pPr>
            <w:r>
              <w:rPr>
                <w:sz w:val="20"/>
              </w:rPr>
              <w:t xml:space="preserve">150</w:t>
            </w:r>
          </w:p>
        </w:tc>
        <w:tc>
          <w:tcPr>
            <w:tcW w:w="2074" w:type="dxa"/>
          </w:tcPr>
          <w:p>
            <w:pPr>
              <w:pStyle w:val="0"/>
              <w:jc w:val="center"/>
            </w:pPr>
            <w:r>
              <w:rPr>
                <w:sz w:val="20"/>
              </w:rPr>
              <w:t xml:space="preserve">50</w:t>
            </w:r>
          </w:p>
        </w:tc>
        <w:tc>
          <w:tcPr>
            <w:tcW w:w="1109" w:type="dxa"/>
          </w:tcPr>
          <w:p>
            <w:pPr>
              <w:pStyle w:val="0"/>
              <w:jc w:val="center"/>
            </w:pPr>
            <w:r>
              <w:rPr>
                <w:sz w:val="20"/>
              </w:rPr>
              <w:t xml:space="preserve">50</w:t>
            </w:r>
          </w:p>
          <w:p>
            <w:pPr>
              <w:pStyle w:val="0"/>
              <w:jc w:val="center"/>
            </w:pPr>
            <w:r>
              <w:rPr>
                <w:sz w:val="20"/>
              </w:rPr>
              <w:t xml:space="preserve">(20)</w:t>
            </w:r>
          </w:p>
        </w:tc>
        <w:tc>
          <w:tcPr>
            <w:tcW w:w="965" w:type="dxa"/>
          </w:tcPr>
          <w:p>
            <w:pPr>
              <w:pStyle w:val="0"/>
              <w:jc w:val="center"/>
            </w:pPr>
            <w:r>
              <w:rPr>
                <w:sz w:val="20"/>
              </w:rPr>
              <w:t xml:space="preserve">100</w:t>
            </w:r>
          </w:p>
          <w:p>
            <w:pPr>
              <w:pStyle w:val="0"/>
              <w:jc w:val="center"/>
            </w:pPr>
            <w:r>
              <w:rPr>
                <w:sz w:val="20"/>
              </w:rPr>
              <w:t xml:space="preserve">(30)</w:t>
            </w:r>
          </w:p>
        </w:tc>
      </w:tr>
      <w:tr>
        <w:tc>
          <w:tcPr>
            <w:tcW w:w="2239" w:type="dxa"/>
          </w:tcPr>
          <w:p>
            <w:pPr>
              <w:pStyle w:val="0"/>
            </w:pPr>
            <w:r>
              <w:rPr>
                <w:sz w:val="20"/>
              </w:rPr>
              <w:t xml:space="preserve">Надземные сооружения и коммуникации (эстакады, теплотрассы), подсобные постройки жилых зданий</w:t>
            </w:r>
          </w:p>
        </w:tc>
        <w:tc>
          <w:tcPr>
            <w:tcW w:w="694" w:type="dxa"/>
          </w:tcPr>
          <w:p>
            <w:pPr>
              <w:pStyle w:val="0"/>
              <w:jc w:val="center"/>
            </w:pPr>
            <w:r>
              <w:rPr>
                <w:sz w:val="20"/>
              </w:rPr>
              <w:t xml:space="preserve">30</w:t>
            </w:r>
          </w:p>
          <w:p>
            <w:pPr>
              <w:pStyle w:val="0"/>
              <w:jc w:val="center"/>
            </w:pPr>
            <w:r>
              <w:rPr>
                <w:sz w:val="20"/>
              </w:rPr>
              <w:t xml:space="preserve">(15)</w:t>
            </w:r>
          </w:p>
        </w:tc>
        <w:tc>
          <w:tcPr>
            <w:tcW w:w="694" w:type="dxa"/>
          </w:tcPr>
          <w:p>
            <w:pPr>
              <w:pStyle w:val="0"/>
              <w:jc w:val="center"/>
            </w:pPr>
            <w:r>
              <w:rPr>
                <w:sz w:val="20"/>
              </w:rPr>
              <w:t xml:space="preserve">30</w:t>
            </w:r>
          </w:p>
          <w:p>
            <w:pPr>
              <w:pStyle w:val="0"/>
              <w:jc w:val="center"/>
            </w:pPr>
            <w:r>
              <w:rPr>
                <w:sz w:val="20"/>
              </w:rPr>
              <w:t xml:space="preserve">(20)</w:t>
            </w:r>
          </w:p>
        </w:tc>
        <w:tc>
          <w:tcPr>
            <w:tcW w:w="769" w:type="dxa"/>
          </w:tcPr>
          <w:p>
            <w:pPr>
              <w:pStyle w:val="0"/>
              <w:jc w:val="center"/>
            </w:pPr>
            <w:r>
              <w:rPr>
                <w:sz w:val="20"/>
              </w:rPr>
              <w:t xml:space="preserve">40</w:t>
            </w:r>
          </w:p>
          <w:p>
            <w:pPr>
              <w:pStyle w:val="0"/>
              <w:jc w:val="center"/>
            </w:pPr>
            <w:r>
              <w:rPr>
                <w:sz w:val="20"/>
              </w:rPr>
              <w:t xml:space="preserve">(30)</w:t>
            </w:r>
          </w:p>
        </w:tc>
        <w:tc>
          <w:tcPr>
            <w:tcW w:w="565" w:type="dxa"/>
          </w:tcPr>
          <w:p>
            <w:pPr>
              <w:pStyle w:val="0"/>
              <w:jc w:val="center"/>
            </w:pPr>
            <w:r>
              <w:rPr>
                <w:sz w:val="20"/>
              </w:rPr>
              <w:t xml:space="preserve">40</w:t>
            </w:r>
          </w:p>
          <w:p>
            <w:pPr>
              <w:pStyle w:val="0"/>
              <w:jc w:val="center"/>
            </w:pPr>
            <w:r>
              <w:rPr>
                <w:sz w:val="20"/>
              </w:rPr>
              <w:t xml:space="preserve">(30)</w:t>
            </w:r>
          </w:p>
        </w:tc>
        <w:tc>
          <w:tcPr>
            <w:gridSpan w:val="2"/>
            <w:tcW w:w="802" w:type="dxa"/>
          </w:tcPr>
          <w:p>
            <w:pPr>
              <w:pStyle w:val="0"/>
              <w:jc w:val="center"/>
            </w:pPr>
            <w:r>
              <w:rPr>
                <w:sz w:val="20"/>
              </w:rPr>
              <w:t xml:space="preserve">40</w:t>
            </w:r>
          </w:p>
          <w:p>
            <w:pPr>
              <w:pStyle w:val="0"/>
              <w:jc w:val="center"/>
            </w:pPr>
            <w:r>
              <w:rPr>
                <w:sz w:val="20"/>
              </w:rPr>
              <w:t xml:space="preserve">(30)</w:t>
            </w:r>
          </w:p>
        </w:tc>
        <w:tc>
          <w:tcPr>
            <w:tcW w:w="694" w:type="dxa"/>
          </w:tcPr>
          <w:p>
            <w:pPr>
              <w:pStyle w:val="0"/>
              <w:jc w:val="center"/>
            </w:pPr>
            <w:r>
              <w:rPr>
                <w:sz w:val="20"/>
              </w:rPr>
              <w:t xml:space="preserve">20</w:t>
            </w:r>
          </w:p>
          <w:p>
            <w:pPr>
              <w:pStyle w:val="0"/>
              <w:jc w:val="center"/>
            </w:pPr>
            <w:r>
              <w:rPr>
                <w:sz w:val="20"/>
              </w:rPr>
              <w:t xml:space="preserve">(15)</w:t>
            </w:r>
          </w:p>
        </w:tc>
        <w:tc>
          <w:tcPr>
            <w:tcW w:w="649" w:type="dxa"/>
          </w:tcPr>
          <w:p>
            <w:pPr>
              <w:pStyle w:val="0"/>
              <w:jc w:val="center"/>
            </w:pPr>
            <w:r>
              <w:rPr>
                <w:sz w:val="20"/>
              </w:rPr>
              <w:t xml:space="preserve">25</w:t>
            </w:r>
          </w:p>
          <w:p>
            <w:pPr>
              <w:pStyle w:val="0"/>
              <w:jc w:val="center"/>
            </w:pPr>
            <w:r>
              <w:rPr>
                <w:sz w:val="20"/>
              </w:rPr>
              <w:t xml:space="preserve">(15)</w:t>
            </w:r>
          </w:p>
        </w:tc>
        <w:tc>
          <w:tcPr>
            <w:tcW w:w="514" w:type="dxa"/>
          </w:tcPr>
          <w:p>
            <w:pPr>
              <w:pStyle w:val="0"/>
              <w:jc w:val="center"/>
            </w:pPr>
            <w:r>
              <w:rPr>
                <w:sz w:val="20"/>
              </w:rPr>
              <w:t xml:space="preserve">25</w:t>
            </w:r>
          </w:p>
          <w:p>
            <w:pPr>
              <w:pStyle w:val="0"/>
              <w:jc w:val="center"/>
            </w:pPr>
            <w:r>
              <w:rPr>
                <w:sz w:val="20"/>
              </w:rPr>
              <w:t xml:space="preserve">(15)</w:t>
            </w:r>
          </w:p>
        </w:tc>
        <w:tc>
          <w:tcPr>
            <w:tcW w:w="694" w:type="dxa"/>
          </w:tcPr>
          <w:p>
            <w:pPr>
              <w:pStyle w:val="0"/>
              <w:jc w:val="center"/>
            </w:pPr>
            <w:r>
              <w:rPr>
                <w:sz w:val="20"/>
              </w:rPr>
              <w:t xml:space="preserve">25</w:t>
            </w:r>
          </w:p>
          <w:p>
            <w:pPr>
              <w:pStyle w:val="0"/>
              <w:jc w:val="center"/>
            </w:pPr>
            <w:r>
              <w:rPr>
                <w:sz w:val="20"/>
              </w:rPr>
              <w:t xml:space="preserve">(15)</w:t>
            </w:r>
          </w:p>
        </w:tc>
        <w:tc>
          <w:tcPr>
            <w:tcW w:w="2074" w:type="dxa"/>
          </w:tcPr>
          <w:p>
            <w:pPr>
              <w:pStyle w:val="0"/>
              <w:jc w:val="center"/>
            </w:pPr>
            <w:r>
              <w:rPr>
                <w:sz w:val="20"/>
              </w:rPr>
              <w:t xml:space="preserve">30</w:t>
            </w:r>
          </w:p>
        </w:tc>
        <w:tc>
          <w:tcPr>
            <w:tcW w:w="1109" w:type="dxa"/>
          </w:tcPr>
          <w:p>
            <w:pPr>
              <w:pStyle w:val="0"/>
              <w:jc w:val="center"/>
            </w:pPr>
            <w:r>
              <w:rPr>
                <w:sz w:val="20"/>
              </w:rPr>
              <w:t xml:space="preserve">20</w:t>
            </w:r>
          </w:p>
          <w:p>
            <w:pPr>
              <w:pStyle w:val="0"/>
              <w:jc w:val="center"/>
            </w:pPr>
            <w:r>
              <w:rPr>
                <w:sz w:val="20"/>
              </w:rPr>
              <w:t xml:space="preserve">(15)</w:t>
            </w:r>
          </w:p>
        </w:tc>
        <w:tc>
          <w:tcPr>
            <w:tcW w:w="965" w:type="dxa"/>
          </w:tcPr>
          <w:p>
            <w:pPr>
              <w:pStyle w:val="0"/>
              <w:jc w:val="center"/>
            </w:pPr>
            <w:r>
              <w:rPr>
                <w:sz w:val="20"/>
              </w:rPr>
              <w:t xml:space="preserve">20</w:t>
            </w:r>
          </w:p>
          <w:p>
            <w:pPr>
              <w:pStyle w:val="0"/>
              <w:jc w:val="center"/>
            </w:pPr>
            <w:r>
              <w:rPr>
                <w:sz w:val="20"/>
              </w:rPr>
              <w:t xml:space="preserve">(20)</w:t>
            </w:r>
          </w:p>
        </w:tc>
      </w:tr>
      <w:tr>
        <w:tc>
          <w:tcPr>
            <w:tcW w:w="2239" w:type="dxa"/>
          </w:tcPr>
          <w:p>
            <w:pPr>
              <w:pStyle w:val="0"/>
            </w:pPr>
            <w:r>
              <w:rPr>
                <w:sz w:val="20"/>
              </w:rPr>
              <w:t xml:space="preserve">Железные дороги общей сети (от подошвы насыпи), автомобильные дороги I - III категорий</w:t>
            </w:r>
          </w:p>
        </w:tc>
        <w:tc>
          <w:tcPr>
            <w:tcW w:w="694" w:type="dxa"/>
          </w:tcPr>
          <w:p>
            <w:pPr>
              <w:pStyle w:val="0"/>
              <w:jc w:val="center"/>
            </w:pPr>
            <w:r>
              <w:rPr>
                <w:sz w:val="20"/>
              </w:rPr>
              <w:t xml:space="preserve">50</w:t>
            </w:r>
          </w:p>
        </w:tc>
        <w:tc>
          <w:tcPr>
            <w:tcW w:w="694" w:type="dxa"/>
          </w:tcPr>
          <w:p>
            <w:pPr>
              <w:pStyle w:val="0"/>
              <w:jc w:val="center"/>
            </w:pPr>
            <w:r>
              <w:rPr>
                <w:sz w:val="20"/>
              </w:rPr>
              <w:t xml:space="preserve">75</w:t>
            </w:r>
          </w:p>
        </w:tc>
        <w:tc>
          <w:tcPr>
            <w:tcW w:w="769" w:type="dxa"/>
          </w:tcPr>
          <w:p>
            <w:pPr>
              <w:pStyle w:val="0"/>
              <w:jc w:val="center"/>
            </w:pPr>
            <w:r>
              <w:rPr>
                <w:sz w:val="20"/>
              </w:rPr>
              <w:t xml:space="preserve">100-</w:t>
            </w:r>
          </w:p>
        </w:tc>
        <w:tc>
          <w:tcPr>
            <w:tcW w:w="565" w:type="dxa"/>
          </w:tcPr>
          <w:p>
            <w:pPr>
              <w:pStyle w:val="0"/>
              <w:jc w:val="center"/>
            </w:pPr>
            <w:r>
              <w:rPr>
                <w:sz w:val="20"/>
              </w:rPr>
              <w:t xml:space="preserve">100</w:t>
            </w:r>
          </w:p>
        </w:tc>
        <w:tc>
          <w:tcPr>
            <w:gridSpan w:val="2"/>
            <w:tcW w:w="802" w:type="dxa"/>
          </w:tcPr>
          <w:p>
            <w:pPr>
              <w:pStyle w:val="0"/>
              <w:jc w:val="center"/>
            </w:pPr>
            <w:r>
              <w:rPr>
                <w:sz w:val="20"/>
              </w:rPr>
              <w:t xml:space="preserve">100</w:t>
            </w:r>
          </w:p>
        </w:tc>
        <w:tc>
          <w:tcPr>
            <w:tcW w:w="694" w:type="dxa"/>
          </w:tcPr>
          <w:p>
            <w:pPr>
              <w:pStyle w:val="0"/>
              <w:jc w:val="center"/>
            </w:pPr>
            <w:r>
              <w:rPr>
                <w:sz w:val="20"/>
              </w:rPr>
              <w:t xml:space="preserve">50</w:t>
            </w:r>
          </w:p>
        </w:tc>
        <w:tc>
          <w:tcPr>
            <w:tcW w:w="649" w:type="dxa"/>
          </w:tcPr>
          <w:p>
            <w:pPr>
              <w:pStyle w:val="0"/>
              <w:jc w:val="center"/>
            </w:pPr>
            <w:r>
              <w:rPr>
                <w:sz w:val="20"/>
              </w:rPr>
              <w:t xml:space="preserve">75-</w:t>
            </w:r>
          </w:p>
        </w:tc>
        <w:tc>
          <w:tcPr>
            <w:tcW w:w="514" w:type="dxa"/>
          </w:tcPr>
          <w:p>
            <w:pPr>
              <w:pStyle w:val="0"/>
              <w:jc w:val="center"/>
            </w:pPr>
            <w:r>
              <w:rPr>
                <w:sz w:val="20"/>
              </w:rPr>
              <w:t xml:space="preserve">75</w:t>
            </w:r>
          </w:p>
        </w:tc>
        <w:tc>
          <w:tcPr>
            <w:tcW w:w="694" w:type="dxa"/>
          </w:tcPr>
          <w:p>
            <w:pPr>
              <w:pStyle w:val="0"/>
              <w:jc w:val="center"/>
            </w:pPr>
            <w:r>
              <w:rPr>
                <w:sz w:val="20"/>
              </w:rPr>
              <w:t xml:space="preserve">75</w:t>
            </w:r>
          </w:p>
        </w:tc>
        <w:tc>
          <w:tcPr>
            <w:tcW w:w="2074" w:type="dxa"/>
          </w:tcPr>
          <w:p>
            <w:pPr>
              <w:pStyle w:val="0"/>
              <w:jc w:val="center"/>
            </w:pPr>
            <w:r>
              <w:rPr>
                <w:sz w:val="20"/>
              </w:rPr>
              <w:t xml:space="preserve">50</w:t>
            </w:r>
          </w:p>
        </w:tc>
        <w:tc>
          <w:tcPr>
            <w:tcW w:w="1109" w:type="dxa"/>
          </w:tcPr>
          <w:p>
            <w:pPr>
              <w:pStyle w:val="0"/>
              <w:jc w:val="center"/>
            </w:pPr>
            <w:r>
              <w:rPr>
                <w:sz w:val="20"/>
              </w:rPr>
              <w:t xml:space="preserve">50</w:t>
            </w:r>
          </w:p>
        </w:tc>
        <w:tc>
          <w:tcPr>
            <w:tcW w:w="965" w:type="dxa"/>
          </w:tcPr>
          <w:p>
            <w:pPr>
              <w:pStyle w:val="0"/>
              <w:jc w:val="center"/>
            </w:pPr>
            <w:r>
              <w:rPr>
                <w:sz w:val="20"/>
              </w:rPr>
              <w:t xml:space="preserve">50</w:t>
            </w:r>
          </w:p>
        </w:tc>
      </w:tr>
      <w:tr>
        <w:tc>
          <w:tcPr>
            <w:tcW w:w="2239" w:type="dxa"/>
          </w:tcPr>
          <w:p>
            <w:pPr>
              <w:pStyle w:val="0"/>
            </w:pPr>
            <w:r>
              <w:rPr>
                <w:sz w:val="20"/>
              </w:rPr>
              <w:t xml:space="preserve">Подъездные пути железных дорог, дорог организаций, трамвайные пути, автомобильные дороги IV и V категорий</w:t>
            </w:r>
          </w:p>
        </w:tc>
        <w:tc>
          <w:tcPr>
            <w:tcW w:w="694" w:type="dxa"/>
          </w:tcPr>
          <w:p>
            <w:pPr>
              <w:pStyle w:val="0"/>
              <w:jc w:val="center"/>
            </w:pPr>
            <w:r>
              <w:rPr>
                <w:sz w:val="20"/>
              </w:rPr>
              <w:t xml:space="preserve">30</w:t>
            </w:r>
          </w:p>
          <w:p>
            <w:pPr>
              <w:pStyle w:val="0"/>
              <w:jc w:val="center"/>
            </w:pPr>
            <w:r>
              <w:rPr>
                <w:sz w:val="20"/>
              </w:rPr>
              <w:t xml:space="preserve">(20)</w:t>
            </w:r>
          </w:p>
        </w:tc>
        <w:tc>
          <w:tcPr>
            <w:tcW w:w="694" w:type="dxa"/>
          </w:tcPr>
          <w:p>
            <w:pPr>
              <w:pStyle w:val="0"/>
              <w:jc w:val="center"/>
            </w:pPr>
            <w:r>
              <w:rPr>
                <w:sz w:val="20"/>
              </w:rPr>
              <w:t xml:space="preserve">30-</w:t>
            </w:r>
          </w:p>
          <w:p>
            <w:pPr>
              <w:pStyle w:val="0"/>
              <w:jc w:val="center"/>
            </w:pPr>
            <w:r>
              <w:rPr>
                <w:sz w:val="20"/>
              </w:rPr>
              <w:t xml:space="preserve">(20)</w:t>
            </w:r>
          </w:p>
        </w:tc>
        <w:tc>
          <w:tcPr>
            <w:tcW w:w="769" w:type="dxa"/>
          </w:tcPr>
          <w:p>
            <w:pPr>
              <w:pStyle w:val="0"/>
              <w:jc w:val="center"/>
            </w:pPr>
            <w:r>
              <w:rPr>
                <w:sz w:val="20"/>
              </w:rPr>
              <w:t xml:space="preserve">40-</w:t>
            </w:r>
          </w:p>
          <w:p>
            <w:pPr>
              <w:pStyle w:val="0"/>
              <w:jc w:val="center"/>
            </w:pPr>
            <w:r>
              <w:rPr>
                <w:sz w:val="20"/>
              </w:rPr>
              <w:t xml:space="preserve">(30)</w:t>
            </w:r>
          </w:p>
        </w:tc>
        <w:tc>
          <w:tcPr>
            <w:tcW w:w="565" w:type="dxa"/>
          </w:tcPr>
          <w:p>
            <w:pPr>
              <w:pStyle w:val="0"/>
              <w:jc w:val="center"/>
            </w:pPr>
            <w:r>
              <w:rPr>
                <w:sz w:val="20"/>
              </w:rPr>
              <w:t xml:space="preserve">40</w:t>
            </w:r>
          </w:p>
          <w:p>
            <w:pPr>
              <w:pStyle w:val="0"/>
              <w:jc w:val="center"/>
            </w:pPr>
            <w:r>
              <w:rPr>
                <w:sz w:val="20"/>
              </w:rPr>
              <w:t xml:space="preserve">(30)</w:t>
            </w:r>
          </w:p>
        </w:tc>
        <w:tc>
          <w:tcPr>
            <w:gridSpan w:val="2"/>
            <w:tcW w:w="802" w:type="dxa"/>
          </w:tcPr>
          <w:p>
            <w:pPr>
              <w:pStyle w:val="0"/>
              <w:jc w:val="center"/>
            </w:pPr>
            <w:r>
              <w:rPr>
                <w:sz w:val="20"/>
              </w:rPr>
              <w:t xml:space="preserve">40</w:t>
            </w:r>
          </w:p>
          <w:p>
            <w:pPr>
              <w:pStyle w:val="0"/>
              <w:jc w:val="center"/>
            </w:pPr>
            <w:r>
              <w:rPr>
                <w:sz w:val="20"/>
              </w:rPr>
              <w:t xml:space="preserve">(30)</w:t>
            </w:r>
          </w:p>
        </w:tc>
        <w:tc>
          <w:tcPr>
            <w:tcW w:w="694" w:type="dxa"/>
          </w:tcPr>
          <w:p>
            <w:pPr>
              <w:pStyle w:val="0"/>
              <w:jc w:val="center"/>
            </w:pPr>
            <w:r>
              <w:rPr>
                <w:sz w:val="20"/>
              </w:rPr>
              <w:t xml:space="preserve">20-</w:t>
            </w:r>
          </w:p>
          <w:p>
            <w:pPr>
              <w:pStyle w:val="0"/>
              <w:jc w:val="center"/>
            </w:pPr>
            <w:r>
              <w:rPr>
                <w:sz w:val="20"/>
              </w:rPr>
              <w:t xml:space="preserve">(15)-</w:t>
            </w:r>
          </w:p>
        </w:tc>
        <w:tc>
          <w:tcPr>
            <w:tcW w:w="649" w:type="dxa"/>
          </w:tcPr>
          <w:p>
            <w:pPr>
              <w:pStyle w:val="0"/>
              <w:jc w:val="center"/>
            </w:pPr>
            <w:r>
              <w:rPr>
                <w:sz w:val="20"/>
              </w:rPr>
              <w:t xml:space="preserve">25-</w:t>
            </w:r>
          </w:p>
          <w:p>
            <w:pPr>
              <w:pStyle w:val="0"/>
              <w:jc w:val="center"/>
            </w:pPr>
            <w:r>
              <w:rPr>
                <w:sz w:val="20"/>
              </w:rPr>
              <w:t xml:space="preserve">(15)-</w:t>
            </w:r>
          </w:p>
        </w:tc>
        <w:tc>
          <w:tcPr>
            <w:tcW w:w="514" w:type="dxa"/>
          </w:tcPr>
          <w:p>
            <w:pPr>
              <w:pStyle w:val="0"/>
              <w:jc w:val="center"/>
            </w:pPr>
            <w:r>
              <w:rPr>
                <w:sz w:val="20"/>
              </w:rPr>
              <w:t xml:space="preserve">25</w:t>
            </w:r>
          </w:p>
          <w:p>
            <w:pPr>
              <w:pStyle w:val="0"/>
              <w:jc w:val="center"/>
            </w:pPr>
            <w:r>
              <w:rPr>
                <w:sz w:val="20"/>
              </w:rPr>
              <w:t xml:space="preserve">(15)</w:t>
            </w:r>
          </w:p>
        </w:tc>
        <w:tc>
          <w:tcPr>
            <w:tcW w:w="694" w:type="dxa"/>
          </w:tcPr>
          <w:p>
            <w:pPr>
              <w:pStyle w:val="0"/>
              <w:jc w:val="center"/>
            </w:pPr>
            <w:r>
              <w:rPr>
                <w:sz w:val="20"/>
              </w:rPr>
              <w:t xml:space="preserve">25</w:t>
            </w:r>
          </w:p>
          <w:p>
            <w:pPr>
              <w:pStyle w:val="0"/>
              <w:jc w:val="center"/>
            </w:pPr>
            <w:r>
              <w:rPr>
                <w:sz w:val="20"/>
              </w:rPr>
              <w:t xml:space="preserve">(15)</w:t>
            </w:r>
          </w:p>
        </w:tc>
        <w:tc>
          <w:tcPr>
            <w:tcW w:w="2074" w:type="dxa"/>
          </w:tcPr>
          <w:p>
            <w:pPr>
              <w:pStyle w:val="0"/>
              <w:jc w:val="center"/>
            </w:pPr>
            <w:r>
              <w:rPr>
                <w:sz w:val="20"/>
              </w:rPr>
              <w:t xml:space="preserve">30</w:t>
            </w:r>
          </w:p>
        </w:tc>
        <w:tc>
          <w:tcPr>
            <w:tcW w:w="1109" w:type="dxa"/>
          </w:tcPr>
          <w:p>
            <w:pPr>
              <w:pStyle w:val="0"/>
              <w:jc w:val="center"/>
            </w:pPr>
            <w:r>
              <w:rPr>
                <w:sz w:val="20"/>
              </w:rPr>
              <w:t xml:space="preserve">20</w:t>
            </w:r>
          </w:p>
          <w:p>
            <w:pPr>
              <w:pStyle w:val="0"/>
              <w:jc w:val="center"/>
            </w:pPr>
            <w:r>
              <w:rPr>
                <w:sz w:val="20"/>
              </w:rPr>
              <w:t xml:space="preserve">(20)</w:t>
            </w:r>
          </w:p>
        </w:tc>
        <w:tc>
          <w:tcPr>
            <w:tcW w:w="965" w:type="dxa"/>
          </w:tcPr>
          <w:p>
            <w:pPr>
              <w:pStyle w:val="0"/>
              <w:jc w:val="center"/>
            </w:pPr>
            <w:r>
              <w:rPr>
                <w:sz w:val="20"/>
              </w:rPr>
              <w:t xml:space="preserve">20</w:t>
            </w:r>
          </w:p>
          <w:p>
            <w:pPr>
              <w:pStyle w:val="0"/>
              <w:jc w:val="center"/>
            </w:pPr>
            <w:r>
              <w:rPr>
                <w:sz w:val="20"/>
              </w:rPr>
              <w:t xml:space="preserve">(20)</w:t>
            </w:r>
          </w:p>
        </w:tc>
      </w:tr>
    </w:tbl>
    <w:p>
      <w:pPr>
        <w:sectPr>
          <w:headerReference w:type="default" r:id="rId212"/>
          <w:headerReference w:type="first" r:id="rId212"/>
          <w:footerReference w:type="default" r:id="rId213"/>
          <w:footerReference w:type="first" r:id="rId213"/>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и сооружений.</w:t>
      </w:r>
    </w:p>
    <w:p>
      <w:pPr>
        <w:pStyle w:val="0"/>
        <w:spacing w:before="200" w:line-rule="auto"/>
        <w:ind w:firstLine="540"/>
        <w:jc w:val="both"/>
      </w:pPr>
      <w:r>
        <w:rPr>
          <w:sz w:val="20"/>
        </w:rPr>
        <w:t xml:space="preserve">2. Знак "-" обозначает, что допускается уменьшать расстояния от резервуаров газонаполнительных станций общей вместимостью не более 200 м</w:t>
      </w:r>
      <w:r>
        <w:rPr>
          <w:sz w:val="20"/>
          <w:vertAlign w:val="superscript"/>
        </w:rPr>
        <w:t xml:space="preserve">3</w:t>
      </w:r>
      <w:r>
        <w:rPr>
          <w:sz w:val="20"/>
        </w:rPr>
        <w:t xml:space="preserve"> в надземном исполнении до 70 м, в подземном - до 35 м, а при вместимости не более 300 м</w:t>
      </w:r>
      <w:r>
        <w:rPr>
          <w:sz w:val="20"/>
          <w:vertAlign w:val="superscript"/>
        </w:rPr>
        <w:t xml:space="preserve">3</w:t>
      </w:r>
      <w:r>
        <w:rPr>
          <w:sz w:val="20"/>
        </w:rPr>
        <w:t xml:space="preserve"> - соответственно до 90 и 45 м.</w:t>
      </w:r>
    </w:p>
    <w:p>
      <w:pPr>
        <w:pStyle w:val="0"/>
        <w:spacing w:before="200" w:line-rule="auto"/>
        <w:ind w:firstLine="540"/>
        <w:jc w:val="both"/>
      </w:pPr>
      <w:r>
        <w:rPr>
          <w:sz w:val="20"/>
        </w:rPr>
        <w:t xml:space="preserve">3. Знак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м</w:t>
      </w:r>
      <w:r>
        <w:rPr>
          <w:sz w:val="20"/>
          <w:vertAlign w:val="superscript"/>
        </w:rPr>
        <w:t xml:space="preserve">3</w:t>
      </w:r>
      <w:r>
        <w:rPr>
          <w:sz w:val="20"/>
        </w:rPr>
        <w:t xml:space="preserve"> в надземном исполнении до 75 м и в подземном исполнении до 50 м.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м</w:t>
      </w:r>
      <w:r>
        <w:rPr>
          <w:sz w:val="20"/>
          <w:vertAlign w:val="superscript"/>
        </w:rPr>
        <w:t xml:space="preserve">3</w:t>
      </w:r>
      <w:r>
        <w:rPr>
          <w:sz w:val="20"/>
        </w:rPr>
        <w:t xml:space="preserve"> допускается уменьшать: в надземном исполнении до 20 м и в подземном исполнении до 15 м, а при прохождении путей и дорог по территории организации эти расстояния сокращаются до 10 м при подземном исполнении резервуаров.</w:t>
      </w:r>
    </w:p>
    <w:p>
      <w:pPr>
        <w:pStyle w:val="0"/>
        <w:ind w:firstLine="540"/>
        <w:jc w:val="both"/>
      </w:pPr>
      <w:r>
        <w:rPr>
          <w:sz w:val="20"/>
        </w:rPr>
      </w:r>
    </w:p>
    <w:p>
      <w:pPr>
        <w:pStyle w:val="0"/>
        <w:ind w:firstLine="540"/>
        <w:jc w:val="both"/>
      </w:pPr>
      <w:r>
        <w:rPr>
          <w:sz w:val="20"/>
        </w:rPr>
        <w:t xml:space="preserve">Расстояния до жилого здания, в котором размещены учреждения (предприятия) общественного назначения, принимаются как для жилых зданий.</w:t>
      </w:r>
    </w:p>
    <w:p>
      <w:pPr>
        <w:pStyle w:val="0"/>
        <w:spacing w:before="200" w:line-rule="auto"/>
        <w:ind w:firstLine="540"/>
        <w:jc w:val="both"/>
      </w:pPr>
      <w:r>
        <w:rPr>
          <w:sz w:val="20"/>
        </w:rPr>
        <w:t xml:space="preserve">6.7.21. Резервуарные установки должны иметь проветриваемое ограждение из материалов НГ высотой не менее 1,6 м. Расстояния от резервуаров до ограждения следует принимать не менее 1 м, при этом расстояния от ограждения до наружной бровки замкнутого обвалования или ограждающей стенки из материалов НГ (при надземной установке резервуаров) следует принимать не менее 0,7 м.</w:t>
      </w:r>
    </w:p>
    <w:p>
      <w:pPr>
        <w:pStyle w:val="0"/>
        <w:spacing w:before="200" w:line-rule="auto"/>
        <w:ind w:firstLine="540"/>
        <w:jc w:val="both"/>
      </w:pPr>
      <w:r>
        <w:rPr>
          <w:sz w:val="20"/>
        </w:rPr>
        <w:t xml:space="preserve">6.7.22. Испарительные установки размещаются на открытых площадках или в отдельно стоящих зданиях, помещениях (пристроенных или встроенных в производственные здания), уровень пола которых расположен выше планировочной отметки земли, на расстоянии не менее 10 м от ограждения резервуарной установки и на расстоянии от зданий, сооружений и коммуникаций не менее указанного в </w:t>
      </w:r>
      <w:hyperlink w:history="0" w:anchor="P1988" w:tooltip="Таблица 31">
        <w:r>
          <w:rPr>
            <w:sz w:val="20"/>
            <w:color w:val="0000ff"/>
          </w:rPr>
          <w:t xml:space="preserve">таблице 31</w:t>
        </w:r>
      </w:hyperlink>
      <w:r>
        <w:rPr>
          <w:sz w:val="20"/>
        </w:rPr>
        <w:t xml:space="preserve">.</w:t>
      </w:r>
    </w:p>
    <w:p>
      <w:pPr>
        <w:pStyle w:val="0"/>
        <w:spacing w:before="200" w:line-rule="auto"/>
        <w:ind w:firstLine="540"/>
        <w:jc w:val="both"/>
      </w:pPr>
      <w:r>
        <w:rPr>
          <w:sz w:val="20"/>
        </w:rPr>
        <w:t xml:space="preserve">Испарительные установки производительностью до 100 м</w:t>
      </w:r>
      <w:r>
        <w:rPr>
          <w:sz w:val="20"/>
          <w:vertAlign w:val="superscript"/>
        </w:rPr>
        <w:t xml:space="preserve">3</w:t>
      </w:r>
      <w:r>
        <w:rPr>
          <w:sz w:val="20"/>
        </w:rPr>
        <w:t xml:space="preserve">/ч (200 кг/ч) разрешается устанавливать непосредственно на крышках горловин резервуаров или на расстоянии не менее 1 м от подземных или надземных резервуаров, а также непосредственно у агрегатов, потребляющих газ, если они размещены в отдельных помещениях или на открытых площадках.</w:t>
      </w:r>
    </w:p>
    <w:p>
      <w:pPr>
        <w:pStyle w:val="0"/>
        <w:spacing w:before="200" w:line-rule="auto"/>
        <w:ind w:firstLine="540"/>
        <w:jc w:val="both"/>
      </w:pPr>
      <w:r>
        <w:rPr>
          <w:sz w:val="20"/>
        </w:rPr>
        <w:t xml:space="preserve">При групповом размещении испарителей расстояние между ними надлежит принимать не менее 1 м.</w:t>
      </w:r>
    </w:p>
    <w:p>
      <w:pPr>
        <w:pStyle w:val="0"/>
        <w:spacing w:before="200" w:line-rule="auto"/>
        <w:ind w:firstLine="540"/>
        <w:jc w:val="both"/>
      </w:pPr>
      <w:r>
        <w:rPr>
          <w:sz w:val="20"/>
        </w:rPr>
        <w:t xml:space="preserve">6.7.23. Утратил силу. - </w:t>
      </w:r>
      <w:hyperlink w:history="0" r:id="rId341"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w:t>
        </w:r>
      </w:hyperlink>
      <w:r>
        <w:rPr>
          <w:sz w:val="20"/>
        </w:rPr>
        <w:t xml:space="preserve"> МЧС России от 14.02.2020 N 89.</w:t>
      </w:r>
    </w:p>
    <w:p>
      <w:pPr>
        <w:pStyle w:val="0"/>
        <w:spacing w:before="200" w:line-rule="auto"/>
        <w:ind w:firstLine="540"/>
        <w:jc w:val="both"/>
      </w:pPr>
      <w:r>
        <w:rPr>
          <w:sz w:val="20"/>
        </w:rPr>
        <w:t xml:space="preserve">6.7.24. Индивидуальные баллонные установки предусматриваются как снаружи, так и внутри зданий. Разрешается размещение баллонов в квартирах жилого здания (не более одного баллона в квартире), имеющего не более двух этажей. При этом баллоны должны соответствовать своему назначению (области применения), установленной стандартами и другими нормативными документами.</w:t>
      </w:r>
    </w:p>
    <w:p>
      <w:pPr>
        <w:pStyle w:val="0"/>
        <w:spacing w:before="200" w:line-rule="auto"/>
        <w:ind w:firstLine="540"/>
        <w:jc w:val="both"/>
      </w:pPr>
      <w:r>
        <w:rPr>
          <w:sz w:val="20"/>
        </w:rPr>
        <w:t xml:space="preserve">6.7.25. Не разрешается установка баллонов СУГ:</w:t>
      </w:r>
    </w:p>
    <w:p>
      <w:pPr>
        <w:pStyle w:val="0"/>
        <w:spacing w:before="200" w:line-rule="auto"/>
        <w:ind w:firstLine="540"/>
        <w:jc w:val="both"/>
      </w:pPr>
      <w:r>
        <w:rPr>
          <w:sz w:val="20"/>
        </w:rPr>
        <w:t xml:space="preserve">- в помещениях без естественного освещения;</w:t>
      </w:r>
    </w:p>
    <w:p>
      <w:pPr>
        <w:pStyle w:val="0"/>
        <w:spacing w:before="200" w:line-rule="auto"/>
        <w:ind w:firstLine="540"/>
        <w:jc w:val="both"/>
      </w:pPr>
      <w:r>
        <w:rPr>
          <w:sz w:val="20"/>
        </w:rPr>
        <w:t xml:space="preserve">- у аварийных выходов;</w:t>
      </w:r>
    </w:p>
    <w:p>
      <w:pPr>
        <w:pStyle w:val="0"/>
        <w:spacing w:before="200" w:line-rule="auto"/>
        <w:ind w:firstLine="540"/>
        <w:jc w:val="both"/>
      </w:pPr>
      <w:r>
        <w:rPr>
          <w:sz w:val="20"/>
        </w:rPr>
        <w:t xml:space="preserve">- со стороны главных фасадов зданий.</w:t>
      </w:r>
    </w:p>
    <w:p>
      <w:pPr>
        <w:pStyle w:val="0"/>
        <w:spacing w:before="200" w:line-rule="auto"/>
        <w:ind w:firstLine="540"/>
        <w:jc w:val="both"/>
      </w:pPr>
      <w:r>
        <w:rPr>
          <w:sz w:val="20"/>
        </w:rPr>
        <w:t xml:space="preserve">6.7.26. Газонаполнительную станцию (ГНС), предназначенную для приема, хранения и отпуска сжиженных углеводородных газов (СУГ) потребителям в автоцистернах и бытовых баллонах, ремонта и переосвидетельствования баллонов, надлежит размещать вне селитебной территории поселений с подветренной стороны для ветров преобладающего направления по отношению к жилым районам.</w:t>
      </w:r>
    </w:p>
    <w:p>
      <w:pPr>
        <w:pStyle w:val="0"/>
        <w:spacing w:before="200" w:line-rule="auto"/>
        <w:ind w:firstLine="540"/>
        <w:jc w:val="both"/>
      </w:pPr>
      <w:r>
        <w:rPr>
          <w:sz w:val="20"/>
        </w:rPr>
        <w:t xml:space="preserve">6.7.27. Площадку для строительства ГНС надлежит предусматривать с учетом обеспечения снаружи ограждения газонаполнительной станции противопожарной полосы шириной 10 м и минимальных расстояний до лесных массивов; хвойных пород - 50 м, лиственных пород - 20 м, смешанных пород - 30 м.</w:t>
      </w:r>
    </w:p>
    <w:p>
      <w:pPr>
        <w:pStyle w:val="0"/>
        <w:spacing w:before="200" w:line-rule="auto"/>
        <w:ind w:firstLine="540"/>
        <w:jc w:val="both"/>
      </w:pPr>
      <w:r>
        <w:rPr>
          <w:sz w:val="20"/>
        </w:rPr>
        <w:t xml:space="preserve">6.7.28. В зданиях, находящихся на территории ГНС, не допускается предусматривать жилые помещения. Допускается предусматривать размещение службы эксплуатации газового хозяйства с примыканием к территории ГНС со стороны вспомогательной зоны.</w:t>
      </w:r>
    </w:p>
    <w:p>
      <w:pPr>
        <w:pStyle w:val="0"/>
        <w:spacing w:before="200" w:line-rule="auto"/>
        <w:ind w:firstLine="540"/>
        <w:jc w:val="both"/>
      </w:pPr>
      <w:r>
        <w:rPr>
          <w:sz w:val="20"/>
        </w:rPr>
        <w:t xml:space="preserve">6.7.29. Минимальные расстояния от резервуаров для хранения СУГ и от размещаемых на ГНС помещений для установок, где используется СУГ, до зданий и сооружений, не относящихся к ГНС, принимаются не менее указанных в </w:t>
      </w:r>
      <w:hyperlink w:history="0" w:anchor="P2097" w:tooltip="Таблица 32">
        <w:r>
          <w:rPr>
            <w:sz w:val="20"/>
            <w:color w:val="0000ff"/>
          </w:rPr>
          <w:t xml:space="preserve">таблице 32</w:t>
        </w:r>
      </w:hyperlink>
      <w:r>
        <w:rPr>
          <w:sz w:val="20"/>
        </w:rPr>
        <w:t xml:space="preserve">. Расстояния от надземных резервуаров вместимостью до 20 м</w:t>
      </w:r>
      <w:r>
        <w:rPr>
          <w:sz w:val="20"/>
          <w:vertAlign w:val="superscript"/>
        </w:rPr>
        <w:t xml:space="preserve">3</w:t>
      </w:r>
      <w:r>
        <w:rPr>
          <w:sz w:val="20"/>
        </w:rPr>
        <w:t xml:space="preserve">, а также подземных резервуаров вместимостью до 50 м</w:t>
      </w:r>
      <w:r>
        <w:rPr>
          <w:sz w:val="20"/>
          <w:vertAlign w:val="superscript"/>
        </w:rPr>
        <w:t xml:space="preserve">3</w:t>
      </w:r>
      <w:r>
        <w:rPr>
          <w:sz w:val="20"/>
        </w:rPr>
        <w:t xml:space="preserve">, принимаются не менее указанных в </w:t>
      </w:r>
      <w:hyperlink w:history="0" w:anchor="P1988" w:tooltip="Таблица 31">
        <w:r>
          <w:rPr>
            <w:sz w:val="20"/>
            <w:color w:val="0000ff"/>
          </w:rPr>
          <w:t xml:space="preserve">таблице 31</w:t>
        </w:r>
      </w:hyperlink>
      <w:r>
        <w:rPr>
          <w:sz w:val="20"/>
        </w:rPr>
        <w:t xml:space="preserve">.</w:t>
      </w:r>
    </w:p>
    <w:p>
      <w:pPr>
        <w:pStyle w:val="0"/>
        <w:spacing w:before="200" w:line-rule="auto"/>
        <w:ind w:firstLine="540"/>
        <w:jc w:val="both"/>
      </w:pPr>
      <w:r>
        <w:rPr>
          <w:sz w:val="20"/>
        </w:rPr>
        <w:t xml:space="preserve">6.7.30. Минимальные расстояния от резервуаров СУГ до зданий и сооружений на территории ГНС или на территории промышленных предприятий, где размещена ГНС, принимаются по </w:t>
      </w:r>
      <w:hyperlink w:history="0" w:anchor="P2242" w:tooltip="Таблица 33">
        <w:r>
          <w:rPr>
            <w:sz w:val="20"/>
            <w:color w:val="0000ff"/>
          </w:rPr>
          <w:t xml:space="preserve">таблице 33</w:t>
        </w:r>
      </w:hyperlink>
      <w:r>
        <w:rPr>
          <w:sz w:val="20"/>
        </w:rPr>
        <w:t xml:space="preserve">.</w:t>
      </w:r>
    </w:p>
    <w:p>
      <w:pPr>
        <w:pStyle w:val="0"/>
        <w:ind w:firstLine="540"/>
        <w:jc w:val="both"/>
      </w:pPr>
      <w:r>
        <w:rPr>
          <w:sz w:val="20"/>
        </w:rPr>
      </w:r>
    </w:p>
    <w:bookmarkStart w:id="2242" w:name="P2242"/>
    <w:bookmarkEnd w:id="2242"/>
    <w:p>
      <w:pPr>
        <w:pStyle w:val="0"/>
        <w:outlineLvl w:val="3"/>
      </w:pPr>
      <w:r>
        <w:rPr>
          <w:sz w:val="20"/>
        </w:rPr>
        <w:t xml:space="preserve">Таблица 33</w:t>
      </w:r>
    </w:p>
    <w:p>
      <w:pPr>
        <w:pStyle w:val="0"/>
        <w:jc w:val="center"/>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25"/>
        <w:gridCol w:w="3135"/>
        <w:gridCol w:w="1320"/>
        <w:gridCol w:w="1650"/>
        <w:gridCol w:w="990"/>
        <w:gridCol w:w="825"/>
        <w:gridCol w:w="990"/>
        <w:gridCol w:w="990"/>
        <w:gridCol w:w="990"/>
        <w:gridCol w:w="990"/>
        <w:gridCol w:w="990"/>
        <w:gridCol w:w="990"/>
        <w:gridCol w:w="990"/>
        <w:gridCol w:w="990"/>
      </w:tblGrid>
      <w:tr>
        <w:tc>
          <w:tcPr>
            <w:tcW w:w="825" w:type="dxa"/>
            <w:vMerge w:val="restart"/>
          </w:tcPr>
          <w:p>
            <w:pPr>
              <w:pStyle w:val="0"/>
              <w:jc w:val="center"/>
            </w:pPr>
            <w:r>
              <w:rPr>
                <w:sz w:val="20"/>
              </w:rPr>
              <w:t xml:space="preserve">N</w:t>
            </w:r>
          </w:p>
          <w:p>
            <w:pPr>
              <w:pStyle w:val="0"/>
              <w:jc w:val="center"/>
            </w:pPr>
            <w:r>
              <w:rPr>
                <w:sz w:val="20"/>
              </w:rPr>
              <w:t xml:space="preserve">п. п.</w:t>
            </w:r>
          </w:p>
        </w:tc>
        <w:tc>
          <w:tcPr>
            <w:tcW w:w="3135" w:type="dxa"/>
            <w:vMerge w:val="restart"/>
          </w:tcPr>
          <w:p>
            <w:pPr>
              <w:pStyle w:val="0"/>
              <w:jc w:val="center"/>
            </w:pPr>
            <w:r>
              <w:rPr>
                <w:sz w:val="20"/>
              </w:rPr>
              <w:t xml:space="preserve">Здания и сооружения</w:t>
            </w:r>
          </w:p>
        </w:tc>
        <w:tc>
          <w:tcPr>
            <w:gridSpan w:val="12"/>
            <w:tcW w:w="12705" w:type="dxa"/>
          </w:tcPr>
          <w:p>
            <w:pPr>
              <w:pStyle w:val="0"/>
              <w:jc w:val="center"/>
            </w:pPr>
            <w:r>
              <w:rPr>
                <w:sz w:val="20"/>
              </w:rPr>
              <w:t xml:space="preserve">Расстояния между зданиями и сооружениями ГНС, м</w:t>
            </w:r>
          </w:p>
        </w:tc>
      </w:tr>
      <w:tr>
        <w:tc>
          <w:tcPr>
            <w:vMerge w:val="continue"/>
          </w:tcPr>
          <w:p/>
        </w:tc>
        <w:tc>
          <w:tcPr>
            <w:vMerge w:val="continue"/>
          </w:tcPr>
          <w:p/>
        </w:tc>
        <w:tc>
          <w:tcPr>
            <w:gridSpan w:val="12"/>
            <w:tcW w:w="12705" w:type="dxa"/>
          </w:tcPr>
          <w:p>
            <w:pPr>
              <w:pStyle w:val="0"/>
              <w:jc w:val="center"/>
            </w:pPr>
            <w:r>
              <w:rPr>
                <w:sz w:val="20"/>
              </w:rPr>
              <w:t xml:space="preserve">Порядковые номера зданий и сооружений, приведенные в графе 1</w:t>
            </w:r>
          </w:p>
        </w:tc>
      </w:tr>
      <w:tr>
        <w:tc>
          <w:tcPr>
            <w:vMerge w:val="continue"/>
          </w:tcPr>
          <w:p/>
        </w:tc>
        <w:tc>
          <w:tcPr>
            <w:vMerge w:val="continue"/>
          </w:tcPr>
          <w:p/>
        </w:tc>
        <w:tc>
          <w:tcPr>
            <w:tcW w:w="1320" w:type="dxa"/>
          </w:tcPr>
          <w:p>
            <w:pPr>
              <w:pStyle w:val="0"/>
              <w:jc w:val="center"/>
            </w:pPr>
            <w:r>
              <w:rPr>
                <w:sz w:val="20"/>
              </w:rPr>
              <w:t xml:space="preserve">1</w:t>
            </w:r>
          </w:p>
        </w:tc>
        <w:tc>
          <w:tcPr>
            <w:tcW w:w="1650" w:type="dxa"/>
          </w:tcPr>
          <w:p>
            <w:pPr>
              <w:pStyle w:val="0"/>
              <w:jc w:val="center"/>
            </w:pPr>
            <w:r>
              <w:rPr>
                <w:sz w:val="20"/>
              </w:rPr>
              <w:t xml:space="preserve">2</w:t>
            </w:r>
          </w:p>
        </w:tc>
        <w:tc>
          <w:tcPr>
            <w:tcW w:w="990" w:type="dxa"/>
          </w:tcPr>
          <w:p>
            <w:pPr>
              <w:pStyle w:val="0"/>
              <w:jc w:val="center"/>
            </w:pPr>
            <w:r>
              <w:rPr>
                <w:sz w:val="20"/>
              </w:rPr>
              <w:t xml:space="preserve">3</w:t>
            </w:r>
          </w:p>
        </w:tc>
        <w:tc>
          <w:tcPr>
            <w:tcW w:w="825" w:type="dxa"/>
          </w:tcPr>
          <w:p>
            <w:pPr>
              <w:pStyle w:val="0"/>
              <w:jc w:val="center"/>
            </w:pPr>
            <w:r>
              <w:rPr>
                <w:sz w:val="20"/>
              </w:rPr>
              <w:t xml:space="preserve">4</w:t>
            </w:r>
          </w:p>
        </w:tc>
        <w:tc>
          <w:tcPr>
            <w:tcW w:w="990" w:type="dxa"/>
          </w:tcPr>
          <w:p>
            <w:pPr>
              <w:pStyle w:val="0"/>
              <w:jc w:val="center"/>
            </w:pPr>
            <w:r>
              <w:rPr>
                <w:sz w:val="20"/>
              </w:rPr>
              <w:t xml:space="preserve">5</w:t>
            </w:r>
          </w:p>
        </w:tc>
        <w:tc>
          <w:tcPr>
            <w:tcW w:w="990" w:type="dxa"/>
          </w:tcPr>
          <w:p>
            <w:pPr>
              <w:pStyle w:val="0"/>
              <w:jc w:val="center"/>
            </w:pPr>
            <w:r>
              <w:rPr>
                <w:sz w:val="20"/>
              </w:rPr>
              <w:t xml:space="preserve">6</w:t>
            </w:r>
          </w:p>
        </w:tc>
        <w:tc>
          <w:tcPr>
            <w:tcW w:w="990" w:type="dxa"/>
          </w:tcPr>
          <w:p>
            <w:pPr>
              <w:pStyle w:val="0"/>
              <w:jc w:val="center"/>
            </w:pPr>
            <w:r>
              <w:rPr>
                <w:sz w:val="20"/>
              </w:rPr>
              <w:t xml:space="preserve">7</w:t>
            </w:r>
          </w:p>
        </w:tc>
        <w:tc>
          <w:tcPr>
            <w:tcW w:w="990" w:type="dxa"/>
          </w:tcPr>
          <w:p>
            <w:pPr>
              <w:pStyle w:val="0"/>
              <w:jc w:val="center"/>
            </w:pPr>
            <w:r>
              <w:rPr>
                <w:sz w:val="20"/>
              </w:rPr>
              <w:t xml:space="preserve">8</w:t>
            </w:r>
          </w:p>
        </w:tc>
        <w:tc>
          <w:tcPr>
            <w:tcW w:w="990" w:type="dxa"/>
          </w:tcPr>
          <w:p>
            <w:pPr>
              <w:pStyle w:val="0"/>
              <w:jc w:val="center"/>
            </w:pPr>
            <w:r>
              <w:rPr>
                <w:sz w:val="20"/>
              </w:rPr>
              <w:t xml:space="preserve">9</w:t>
            </w:r>
          </w:p>
        </w:tc>
        <w:tc>
          <w:tcPr>
            <w:tcW w:w="990" w:type="dxa"/>
          </w:tcPr>
          <w:p>
            <w:pPr>
              <w:pStyle w:val="0"/>
              <w:jc w:val="center"/>
            </w:pPr>
            <w:r>
              <w:rPr>
                <w:sz w:val="20"/>
              </w:rPr>
              <w:t xml:space="preserve">10</w:t>
            </w:r>
          </w:p>
        </w:tc>
        <w:tc>
          <w:tcPr>
            <w:tcW w:w="990" w:type="dxa"/>
          </w:tcPr>
          <w:p>
            <w:pPr>
              <w:pStyle w:val="0"/>
              <w:jc w:val="center"/>
            </w:pPr>
            <w:r>
              <w:rPr>
                <w:sz w:val="20"/>
              </w:rPr>
              <w:t xml:space="preserve">11</w:t>
            </w:r>
          </w:p>
        </w:tc>
        <w:tc>
          <w:tcPr>
            <w:tcW w:w="990" w:type="dxa"/>
          </w:tcPr>
          <w:p>
            <w:pPr>
              <w:pStyle w:val="0"/>
              <w:jc w:val="center"/>
            </w:pPr>
            <w:r>
              <w:rPr>
                <w:sz w:val="20"/>
              </w:rPr>
              <w:t xml:space="preserve">12</w:t>
            </w:r>
          </w:p>
        </w:tc>
      </w:tr>
      <w:tr>
        <w:tc>
          <w:tcPr>
            <w:tcW w:w="825" w:type="dxa"/>
          </w:tcPr>
          <w:p>
            <w:pPr>
              <w:pStyle w:val="0"/>
              <w:jc w:val="center"/>
            </w:pPr>
            <w:r>
              <w:rPr>
                <w:sz w:val="20"/>
              </w:rPr>
              <w:t xml:space="preserve">1</w:t>
            </w:r>
          </w:p>
        </w:tc>
        <w:tc>
          <w:tcPr>
            <w:tcW w:w="3135" w:type="dxa"/>
          </w:tcPr>
          <w:p>
            <w:pPr>
              <w:pStyle w:val="0"/>
            </w:pPr>
            <w:r>
              <w:rPr>
                <w:sz w:val="20"/>
              </w:rPr>
              <w:t xml:space="preserve">Надземные резервуары и железнодорожные сливные эстакады</w:t>
            </w:r>
          </w:p>
        </w:tc>
        <w:tc>
          <w:tcPr>
            <w:tcW w:w="1320" w:type="dxa"/>
          </w:tcPr>
          <w:p>
            <w:pPr>
              <w:pStyle w:val="0"/>
              <w:jc w:val="center"/>
            </w:pPr>
            <w:hyperlink w:history="0" w:anchor="P2459" w:tooltip="6.7.44 - 6.7.45. Утратили силу. - Приказ МЧС России от 14.02.2020 N 89.">
              <w:r>
                <w:rPr>
                  <w:sz w:val="20"/>
                  <w:color w:val="0000ff"/>
                </w:rPr>
                <w:t xml:space="preserve">пункт 6.7.45</w:t>
              </w:r>
            </w:hyperlink>
          </w:p>
        </w:tc>
        <w:tc>
          <w:tcPr>
            <w:tcW w:w="1650" w:type="dxa"/>
          </w:tcPr>
          <w:p>
            <w:pPr>
              <w:pStyle w:val="0"/>
              <w:jc w:val="center"/>
            </w:pPr>
            <w:r>
              <w:rPr>
                <w:sz w:val="20"/>
              </w:rPr>
              <w:t xml:space="preserve">10</w:t>
            </w:r>
          </w:p>
        </w:tc>
        <w:tc>
          <w:tcPr>
            <w:tcW w:w="990" w:type="dxa"/>
          </w:tcPr>
          <w:p>
            <w:pPr>
              <w:pStyle w:val="0"/>
              <w:jc w:val="center"/>
            </w:pPr>
            <w:r>
              <w:rPr>
                <w:sz w:val="20"/>
              </w:rPr>
              <w:t xml:space="preserve">15</w:t>
            </w:r>
          </w:p>
        </w:tc>
        <w:tc>
          <w:tcPr>
            <w:tcW w:w="825" w:type="dxa"/>
          </w:tcPr>
          <w:p>
            <w:pPr>
              <w:pStyle w:val="0"/>
              <w:jc w:val="center"/>
            </w:pPr>
            <w:r>
              <w:rPr>
                <w:sz w:val="20"/>
              </w:rPr>
              <w:t xml:space="preserve">30</w:t>
            </w:r>
          </w:p>
        </w:tc>
        <w:tc>
          <w:tcPr>
            <w:tcW w:w="990" w:type="dxa"/>
          </w:tcPr>
          <w:p>
            <w:pPr>
              <w:pStyle w:val="0"/>
              <w:jc w:val="center"/>
            </w:pPr>
            <w:r>
              <w:rPr>
                <w:sz w:val="20"/>
              </w:rPr>
              <w:t xml:space="preserve">40</w:t>
            </w:r>
          </w:p>
        </w:tc>
        <w:tc>
          <w:tcPr>
            <w:tcW w:w="990" w:type="dxa"/>
          </w:tcPr>
          <w:p>
            <w:pPr>
              <w:pStyle w:val="0"/>
              <w:jc w:val="center"/>
            </w:pPr>
            <w:r>
              <w:rPr>
                <w:sz w:val="20"/>
              </w:rPr>
              <w:t xml:space="preserve">15</w:t>
            </w:r>
          </w:p>
        </w:tc>
        <w:tc>
          <w:tcPr>
            <w:tcW w:w="990" w:type="dxa"/>
          </w:tcPr>
          <w:p>
            <w:pPr>
              <w:pStyle w:val="0"/>
              <w:jc w:val="center"/>
            </w:pPr>
            <w:r>
              <w:rPr>
                <w:sz w:val="20"/>
              </w:rPr>
              <w:t xml:space="preserve">30</w:t>
            </w:r>
          </w:p>
        </w:tc>
        <w:tc>
          <w:tcPr>
            <w:tcW w:w="990" w:type="dxa"/>
          </w:tcPr>
          <w:p>
            <w:pPr>
              <w:pStyle w:val="0"/>
              <w:jc w:val="center"/>
            </w:pPr>
            <w:r>
              <w:rPr>
                <w:sz w:val="20"/>
              </w:rPr>
              <w:t xml:space="preserve">40</w:t>
            </w:r>
          </w:p>
        </w:tc>
        <w:tc>
          <w:tcPr>
            <w:tcW w:w="990" w:type="dxa"/>
          </w:tcPr>
          <w:p>
            <w:pPr>
              <w:pStyle w:val="0"/>
              <w:jc w:val="center"/>
            </w:pPr>
            <w:r>
              <w:rPr>
                <w:sz w:val="20"/>
              </w:rPr>
              <w:t xml:space="preserve">10</w:t>
            </w:r>
          </w:p>
        </w:tc>
        <w:tc>
          <w:tcPr>
            <w:tcW w:w="990" w:type="dxa"/>
          </w:tcPr>
          <w:p>
            <w:pPr>
              <w:pStyle w:val="0"/>
              <w:jc w:val="center"/>
            </w:pPr>
            <w:r>
              <w:rPr>
                <w:sz w:val="20"/>
              </w:rPr>
              <w:t xml:space="preserve">10</w:t>
            </w:r>
          </w:p>
        </w:tc>
        <w:tc>
          <w:tcPr>
            <w:tcW w:w="990" w:type="dxa"/>
          </w:tcPr>
          <w:p>
            <w:pPr>
              <w:pStyle w:val="0"/>
              <w:jc w:val="center"/>
            </w:pPr>
            <w:r>
              <w:rPr>
                <w:sz w:val="20"/>
              </w:rPr>
              <w:t xml:space="preserve">40</w:t>
            </w:r>
          </w:p>
        </w:tc>
        <w:tc>
          <w:tcPr>
            <w:tcW w:w="990" w:type="dxa"/>
          </w:tcPr>
          <w:p>
            <w:pPr>
              <w:pStyle w:val="0"/>
              <w:jc w:val="center"/>
            </w:pPr>
            <w:r>
              <w:rPr>
                <w:sz w:val="20"/>
              </w:rPr>
              <w:t xml:space="preserve">40</w:t>
            </w:r>
          </w:p>
        </w:tc>
      </w:tr>
      <w:tr>
        <w:tc>
          <w:tcPr>
            <w:tcW w:w="825" w:type="dxa"/>
          </w:tcPr>
          <w:p>
            <w:pPr>
              <w:pStyle w:val="0"/>
              <w:jc w:val="center"/>
            </w:pPr>
            <w:r>
              <w:rPr>
                <w:sz w:val="20"/>
              </w:rPr>
              <w:t xml:space="preserve">2</w:t>
            </w:r>
          </w:p>
        </w:tc>
        <w:tc>
          <w:tcPr>
            <w:tcW w:w="3135" w:type="dxa"/>
          </w:tcPr>
          <w:p>
            <w:pPr>
              <w:pStyle w:val="0"/>
            </w:pPr>
            <w:r>
              <w:rPr>
                <w:sz w:val="20"/>
              </w:rPr>
              <w:t xml:space="preserve">Подземные резервуары</w:t>
            </w:r>
          </w:p>
        </w:tc>
        <w:tc>
          <w:tcPr>
            <w:tcW w:w="1320" w:type="dxa"/>
          </w:tcPr>
          <w:p>
            <w:pPr>
              <w:pStyle w:val="0"/>
              <w:jc w:val="center"/>
            </w:pPr>
            <w:r>
              <w:rPr>
                <w:sz w:val="20"/>
              </w:rPr>
              <w:t xml:space="preserve">10</w:t>
            </w:r>
          </w:p>
        </w:tc>
        <w:tc>
          <w:tcPr>
            <w:tcW w:w="1650" w:type="dxa"/>
          </w:tcPr>
          <w:p>
            <w:pPr>
              <w:pStyle w:val="0"/>
              <w:jc w:val="center"/>
            </w:pPr>
            <w:hyperlink w:history="0" w:anchor="P2457" w:tooltip="6.7.43. Электроприемники зданий и сооружений ГНС (ГНП) в отношении обеспечения надежности электроснабжения надлежит относить к III категории за исключением электроприемников противопожарной насосной станции, аварийной вентиляции и сигнализаторов довзрывоопасных концентраций, которые следует относить к I категории.">
              <w:r>
                <w:rPr>
                  <w:sz w:val="20"/>
                  <w:color w:val="0000ff"/>
                </w:rPr>
                <w:t xml:space="preserve">п. 6.7.43</w:t>
              </w:r>
            </w:hyperlink>
          </w:p>
        </w:tc>
        <w:tc>
          <w:tcPr>
            <w:tcW w:w="990" w:type="dxa"/>
          </w:tcPr>
          <w:p>
            <w:pPr>
              <w:pStyle w:val="0"/>
              <w:jc w:val="center"/>
            </w:pPr>
            <w:r>
              <w:rPr>
                <w:sz w:val="20"/>
              </w:rPr>
              <w:t xml:space="preserve">10</w:t>
            </w:r>
          </w:p>
        </w:tc>
        <w:tc>
          <w:tcPr>
            <w:tcW w:w="825" w:type="dxa"/>
          </w:tcPr>
          <w:p>
            <w:pPr>
              <w:pStyle w:val="0"/>
              <w:jc w:val="center"/>
            </w:pPr>
            <w:r>
              <w:rPr>
                <w:sz w:val="20"/>
              </w:rPr>
              <w:t xml:space="preserve">20</w:t>
            </w:r>
          </w:p>
        </w:tc>
        <w:tc>
          <w:tcPr>
            <w:tcW w:w="990" w:type="dxa"/>
          </w:tcPr>
          <w:p>
            <w:pPr>
              <w:pStyle w:val="0"/>
              <w:jc w:val="center"/>
            </w:pPr>
            <w:r>
              <w:rPr>
                <w:sz w:val="20"/>
              </w:rPr>
              <w:t xml:space="preserve">30</w:t>
            </w:r>
          </w:p>
        </w:tc>
        <w:tc>
          <w:tcPr>
            <w:tcW w:w="990" w:type="dxa"/>
          </w:tcPr>
          <w:p>
            <w:pPr>
              <w:pStyle w:val="0"/>
              <w:jc w:val="center"/>
            </w:pPr>
            <w:r>
              <w:rPr>
                <w:sz w:val="20"/>
              </w:rPr>
              <w:t xml:space="preserve">10</w:t>
            </w:r>
          </w:p>
        </w:tc>
        <w:tc>
          <w:tcPr>
            <w:tcW w:w="990" w:type="dxa"/>
          </w:tcPr>
          <w:p>
            <w:pPr>
              <w:pStyle w:val="0"/>
              <w:jc w:val="center"/>
            </w:pPr>
            <w:r>
              <w:rPr>
                <w:sz w:val="20"/>
              </w:rPr>
              <w:t xml:space="preserve">20</w:t>
            </w:r>
          </w:p>
        </w:tc>
        <w:tc>
          <w:tcPr>
            <w:tcW w:w="990" w:type="dxa"/>
          </w:tcPr>
          <w:p>
            <w:pPr>
              <w:pStyle w:val="0"/>
              <w:jc w:val="center"/>
            </w:pPr>
            <w:r>
              <w:rPr>
                <w:sz w:val="20"/>
              </w:rPr>
              <w:t xml:space="preserve">30</w:t>
            </w:r>
          </w:p>
        </w:tc>
        <w:tc>
          <w:tcPr>
            <w:tcW w:w="990" w:type="dxa"/>
          </w:tcPr>
          <w:p>
            <w:pPr>
              <w:pStyle w:val="0"/>
              <w:jc w:val="center"/>
            </w:pPr>
            <w:r>
              <w:rPr>
                <w:sz w:val="20"/>
              </w:rPr>
              <w:t xml:space="preserve">5</w:t>
            </w:r>
          </w:p>
        </w:tc>
        <w:tc>
          <w:tcPr>
            <w:tcW w:w="990" w:type="dxa"/>
          </w:tcPr>
          <w:p>
            <w:pPr>
              <w:pStyle w:val="0"/>
              <w:jc w:val="center"/>
            </w:pPr>
            <w:r>
              <w:rPr>
                <w:sz w:val="20"/>
              </w:rPr>
              <w:t xml:space="preserve">5</w:t>
            </w:r>
          </w:p>
        </w:tc>
        <w:tc>
          <w:tcPr>
            <w:tcW w:w="990" w:type="dxa"/>
          </w:tcPr>
          <w:p>
            <w:pPr>
              <w:pStyle w:val="0"/>
              <w:jc w:val="center"/>
            </w:pPr>
            <w:r>
              <w:rPr>
                <w:sz w:val="20"/>
              </w:rPr>
              <w:t xml:space="preserve">40</w:t>
            </w:r>
          </w:p>
        </w:tc>
        <w:tc>
          <w:tcPr>
            <w:tcW w:w="990" w:type="dxa"/>
          </w:tcPr>
          <w:p>
            <w:pPr>
              <w:pStyle w:val="0"/>
              <w:jc w:val="center"/>
            </w:pPr>
            <w:r>
              <w:rPr>
                <w:sz w:val="20"/>
              </w:rPr>
              <w:t xml:space="preserve">30</w:t>
            </w:r>
          </w:p>
        </w:tc>
      </w:tr>
      <w:tr>
        <w:tc>
          <w:tcPr>
            <w:tcW w:w="825" w:type="dxa"/>
          </w:tcPr>
          <w:p>
            <w:pPr>
              <w:pStyle w:val="0"/>
              <w:jc w:val="center"/>
            </w:pPr>
            <w:r>
              <w:rPr>
                <w:sz w:val="20"/>
              </w:rPr>
              <w:t xml:space="preserve">3</w:t>
            </w:r>
          </w:p>
        </w:tc>
        <w:tc>
          <w:tcPr>
            <w:tcW w:w="3135" w:type="dxa"/>
          </w:tcPr>
          <w:p>
            <w:pPr>
              <w:pStyle w:val="0"/>
            </w:pPr>
            <w:r>
              <w:rPr>
                <w:sz w:val="20"/>
              </w:rPr>
              <w:t xml:space="preserve">Помещения категории А и погрузочно-разгрузочные площадки для баллонов</w:t>
            </w:r>
          </w:p>
        </w:tc>
        <w:tc>
          <w:tcPr>
            <w:tcW w:w="1320" w:type="dxa"/>
          </w:tcPr>
          <w:p>
            <w:pPr>
              <w:pStyle w:val="0"/>
              <w:jc w:val="center"/>
            </w:pPr>
            <w:r>
              <w:rPr>
                <w:sz w:val="20"/>
              </w:rPr>
              <w:t xml:space="preserve">15</w:t>
            </w:r>
          </w:p>
        </w:tc>
        <w:tc>
          <w:tcPr>
            <w:tcW w:w="1650" w:type="dxa"/>
          </w:tcPr>
          <w:p>
            <w:pPr>
              <w:pStyle w:val="0"/>
              <w:jc w:val="center"/>
            </w:pPr>
            <w:r>
              <w:rPr>
                <w:sz w:val="20"/>
              </w:rPr>
              <w:t xml:space="preserve">10</w:t>
            </w:r>
          </w:p>
        </w:tc>
        <w:tc>
          <w:tcPr>
            <w:tcW w:w="990" w:type="dxa"/>
          </w:tcPr>
          <w:p>
            <w:pPr>
              <w:pStyle w:val="0"/>
              <w:jc w:val="center"/>
            </w:pPr>
            <w:r>
              <w:rPr>
                <w:sz w:val="20"/>
              </w:rPr>
              <w:t xml:space="preserve">10</w:t>
            </w:r>
          </w:p>
        </w:tc>
        <w:tc>
          <w:tcPr>
            <w:tcW w:w="825" w:type="dxa"/>
          </w:tcPr>
          <w:p>
            <w:pPr>
              <w:pStyle w:val="0"/>
              <w:jc w:val="center"/>
            </w:pPr>
            <w:r>
              <w:rPr>
                <w:sz w:val="20"/>
              </w:rPr>
              <w:t xml:space="preserve">15</w:t>
            </w:r>
          </w:p>
        </w:tc>
        <w:tc>
          <w:tcPr>
            <w:tcW w:w="990" w:type="dxa"/>
          </w:tcPr>
          <w:p>
            <w:pPr>
              <w:pStyle w:val="0"/>
              <w:jc w:val="center"/>
            </w:pPr>
            <w:r>
              <w:rPr>
                <w:sz w:val="20"/>
              </w:rPr>
              <w:t xml:space="preserve">40</w:t>
            </w:r>
          </w:p>
        </w:tc>
        <w:tc>
          <w:tcPr>
            <w:tcW w:w="990" w:type="dxa"/>
          </w:tcPr>
          <w:p>
            <w:pPr>
              <w:pStyle w:val="0"/>
              <w:jc w:val="center"/>
            </w:pPr>
            <w:r>
              <w:rPr>
                <w:sz w:val="20"/>
              </w:rPr>
              <w:t xml:space="preserve">15</w:t>
            </w:r>
          </w:p>
        </w:tc>
        <w:tc>
          <w:tcPr>
            <w:tcW w:w="990" w:type="dxa"/>
          </w:tcPr>
          <w:p>
            <w:pPr>
              <w:pStyle w:val="0"/>
              <w:jc w:val="center"/>
            </w:pPr>
            <w:r>
              <w:rPr>
                <w:sz w:val="20"/>
              </w:rPr>
              <w:t xml:space="preserve">30</w:t>
            </w:r>
          </w:p>
        </w:tc>
        <w:tc>
          <w:tcPr>
            <w:tcW w:w="990" w:type="dxa"/>
          </w:tcPr>
          <w:p>
            <w:pPr>
              <w:pStyle w:val="0"/>
              <w:jc w:val="center"/>
            </w:pPr>
            <w:r>
              <w:rPr>
                <w:sz w:val="20"/>
              </w:rPr>
              <w:t xml:space="preserve">40</w:t>
            </w:r>
          </w:p>
        </w:tc>
        <w:tc>
          <w:tcPr>
            <w:tcW w:w="990" w:type="dxa"/>
          </w:tcPr>
          <w:p>
            <w:pPr>
              <w:pStyle w:val="0"/>
              <w:jc w:val="center"/>
            </w:pPr>
            <w:r>
              <w:rPr>
                <w:sz w:val="20"/>
              </w:rPr>
              <w:t xml:space="preserve">10</w:t>
            </w:r>
          </w:p>
        </w:tc>
        <w:tc>
          <w:tcPr>
            <w:tcW w:w="990" w:type="dxa"/>
          </w:tcPr>
          <w:p>
            <w:pPr>
              <w:pStyle w:val="0"/>
              <w:jc w:val="center"/>
            </w:pPr>
            <w:r>
              <w:rPr>
                <w:sz w:val="20"/>
              </w:rPr>
              <w:t xml:space="preserve">10</w:t>
            </w:r>
          </w:p>
        </w:tc>
        <w:tc>
          <w:tcPr>
            <w:tcW w:w="990" w:type="dxa"/>
          </w:tcPr>
          <w:p>
            <w:pPr>
              <w:pStyle w:val="0"/>
              <w:jc w:val="center"/>
            </w:pPr>
            <w:r>
              <w:rPr>
                <w:sz w:val="20"/>
              </w:rPr>
              <w:t xml:space="preserve">40</w:t>
            </w:r>
          </w:p>
        </w:tc>
        <w:tc>
          <w:tcPr>
            <w:tcW w:w="990" w:type="dxa"/>
          </w:tcPr>
          <w:p>
            <w:pPr>
              <w:pStyle w:val="0"/>
              <w:jc w:val="center"/>
            </w:pPr>
            <w:r>
              <w:rPr>
                <w:sz w:val="20"/>
              </w:rPr>
              <w:t xml:space="preserve">40</w:t>
            </w:r>
          </w:p>
        </w:tc>
      </w:tr>
      <w:tr>
        <w:tc>
          <w:tcPr>
            <w:tcW w:w="825" w:type="dxa"/>
          </w:tcPr>
          <w:p>
            <w:pPr>
              <w:pStyle w:val="0"/>
              <w:jc w:val="center"/>
            </w:pPr>
            <w:r>
              <w:rPr>
                <w:sz w:val="20"/>
              </w:rPr>
              <w:t xml:space="preserve">4</w:t>
            </w:r>
          </w:p>
        </w:tc>
        <w:tc>
          <w:tcPr>
            <w:tcW w:w="3135" w:type="dxa"/>
          </w:tcPr>
          <w:p>
            <w:pPr>
              <w:pStyle w:val="0"/>
              <w:jc w:val="both"/>
            </w:pPr>
            <w:r>
              <w:rPr>
                <w:sz w:val="20"/>
              </w:rPr>
              <w:t xml:space="preserve">Колонки для налива СУГ в автоцистерны и заправочные колонки</w:t>
            </w:r>
          </w:p>
        </w:tc>
        <w:tc>
          <w:tcPr>
            <w:tcW w:w="1320" w:type="dxa"/>
          </w:tcPr>
          <w:p>
            <w:pPr>
              <w:pStyle w:val="0"/>
              <w:jc w:val="center"/>
            </w:pPr>
            <w:r>
              <w:rPr>
                <w:sz w:val="20"/>
              </w:rPr>
              <w:t xml:space="preserve">30</w:t>
            </w:r>
          </w:p>
        </w:tc>
        <w:tc>
          <w:tcPr>
            <w:tcW w:w="1650" w:type="dxa"/>
          </w:tcPr>
          <w:p>
            <w:pPr>
              <w:pStyle w:val="0"/>
              <w:jc w:val="center"/>
            </w:pPr>
            <w:r>
              <w:rPr>
                <w:sz w:val="20"/>
              </w:rPr>
              <w:t xml:space="preserve">20</w:t>
            </w:r>
          </w:p>
        </w:tc>
        <w:tc>
          <w:tcPr>
            <w:tcW w:w="990" w:type="dxa"/>
          </w:tcPr>
          <w:p>
            <w:pPr>
              <w:pStyle w:val="0"/>
              <w:jc w:val="center"/>
            </w:pPr>
            <w:r>
              <w:rPr>
                <w:sz w:val="20"/>
              </w:rPr>
              <w:t xml:space="preserve">15</w:t>
            </w:r>
          </w:p>
        </w:tc>
        <w:tc>
          <w:tcPr>
            <w:tcW w:w="825" w:type="dxa"/>
          </w:tcPr>
          <w:p>
            <w:pPr>
              <w:pStyle w:val="0"/>
              <w:jc w:val="center"/>
            </w:pPr>
            <w:r>
              <w:rPr>
                <w:sz w:val="20"/>
              </w:rPr>
              <w:t xml:space="preserve">7</w:t>
            </w:r>
          </w:p>
        </w:tc>
        <w:tc>
          <w:tcPr>
            <w:tcW w:w="990" w:type="dxa"/>
          </w:tcPr>
          <w:p>
            <w:pPr>
              <w:pStyle w:val="0"/>
              <w:jc w:val="center"/>
            </w:pPr>
            <w:r>
              <w:rPr>
                <w:sz w:val="20"/>
              </w:rPr>
              <w:t xml:space="preserve">30</w:t>
            </w:r>
          </w:p>
        </w:tc>
        <w:tc>
          <w:tcPr>
            <w:tcW w:w="990" w:type="dxa"/>
          </w:tcPr>
          <w:p>
            <w:pPr>
              <w:pStyle w:val="0"/>
              <w:jc w:val="center"/>
            </w:pPr>
            <w:r>
              <w:rPr>
                <w:sz w:val="20"/>
              </w:rPr>
              <w:t xml:space="preserve">15</w:t>
            </w:r>
          </w:p>
        </w:tc>
        <w:tc>
          <w:tcPr>
            <w:tcW w:w="990" w:type="dxa"/>
          </w:tcPr>
          <w:p>
            <w:pPr>
              <w:pStyle w:val="0"/>
              <w:jc w:val="center"/>
            </w:pPr>
            <w:r>
              <w:rPr>
                <w:sz w:val="20"/>
              </w:rPr>
              <w:t xml:space="preserve">15</w:t>
            </w:r>
          </w:p>
        </w:tc>
        <w:tc>
          <w:tcPr>
            <w:tcW w:w="990" w:type="dxa"/>
          </w:tcPr>
          <w:p>
            <w:pPr>
              <w:pStyle w:val="0"/>
              <w:jc w:val="center"/>
            </w:pPr>
            <w:r>
              <w:rPr>
                <w:sz w:val="20"/>
              </w:rPr>
              <w:t xml:space="preserve">30</w:t>
            </w:r>
          </w:p>
        </w:tc>
        <w:tc>
          <w:tcPr>
            <w:tcW w:w="990" w:type="dxa"/>
          </w:tcPr>
          <w:p>
            <w:pPr>
              <w:pStyle w:val="0"/>
              <w:jc w:val="center"/>
            </w:pPr>
            <w:r>
              <w:rPr>
                <w:sz w:val="20"/>
              </w:rPr>
              <w:t xml:space="preserve">10</w:t>
            </w:r>
          </w:p>
        </w:tc>
        <w:tc>
          <w:tcPr>
            <w:tcW w:w="990" w:type="dxa"/>
          </w:tcPr>
          <w:p>
            <w:pPr>
              <w:pStyle w:val="0"/>
              <w:jc w:val="center"/>
            </w:pPr>
            <w:r>
              <w:rPr>
                <w:sz w:val="20"/>
              </w:rPr>
              <w:t xml:space="preserve">10</w:t>
            </w:r>
          </w:p>
        </w:tc>
        <w:tc>
          <w:tcPr>
            <w:tcW w:w="990" w:type="dxa"/>
          </w:tcPr>
          <w:p>
            <w:pPr>
              <w:pStyle w:val="0"/>
              <w:jc w:val="center"/>
            </w:pPr>
            <w:r>
              <w:rPr>
                <w:sz w:val="20"/>
              </w:rPr>
              <w:t xml:space="preserve">15</w:t>
            </w:r>
          </w:p>
        </w:tc>
        <w:tc>
          <w:tcPr>
            <w:tcW w:w="990" w:type="dxa"/>
          </w:tcPr>
          <w:p>
            <w:pPr>
              <w:pStyle w:val="0"/>
              <w:jc w:val="center"/>
            </w:pPr>
            <w:r>
              <w:rPr>
                <w:sz w:val="20"/>
              </w:rPr>
              <w:t xml:space="preserve">30</w:t>
            </w:r>
          </w:p>
        </w:tc>
      </w:tr>
      <w:tr>
        <w:tc>
          <w:tcPr>
            <w:tcW w:w="825" w:type="dxa"/>
          </w:tcPr>
          <w:p>
            <w:pPr>
              <w:pStyle w:val="0"/>
              <w:jc w:val="center"/>
            </w:pPr>
            <w:r>
              <w:rPr>
                <w:sz w:val="20"/>
              </w:rPr>
              <w:t xml:space="preserve">5</w:t>
            </w:r>
          </w:p>
        </w:tc>
        <w:tc>
          <w:tcPr>
            <w:tcW w:w="3135" w:type="dxa"/>
          </w:tcPr>
          <w:p>
            <w:pPr>
              <w:pStyle w:val="0"/>
            </w:pPr>
            <w:r>
              <w:rPr>
                <w:sz w:val="20"/>
              </w:rPr>
              <w:t xml:space="preserve">Котельная, ремонтная мастерская, здание техобслуживания автомобилей, гаражи без использования СУГ</w:t>
            </w:r>
          </w:p>
        </w:tc>
        <w:tc>
          <w:tcPr>
            <w:tcW w:w="1320" w:type="dxa"/>
          </w:tcPr>
          <w:p>
            <w:pPr>
              <w:pStyle w:val="0"/>
              <w:jc w:val="center"/>
            </w:pPr>
            <w:r>
              <w:rPr>
                <w:sz w:val="20"/>
              </w:rPr>
              <w:t xml:space="preserve">40</w:t>
            </w:r>
          </w:p>
        </w:tc>
        <w:tc>
          <w:tcPr>
            <w:tcW w:w="1650" w:type="dxa"/>
          </w:tcPr>
          <w:p>
            <w:pPr>
              <w:pStyle w:val="0"/>
              <w:jc w:val="center"/>
            </w:pPr>
            <w:r>
              <w:rPr>
                <w:sz w:val="20"/>
              </w:rPr>
              <w:t xml:space="preserve">30</w:t>
            </w:r>
          </w:p>
        </w:tc>
        <w:tc>
          <w:tcPr>
            <w:tcW w:w="990" w:type="dxa"/>
          </w:tcPr>
          <w:p>
            <w:pPr>
              <w:pStyle w:val="0"/>
              <w:jc w:val="center"/>
            </w:pPr>
            <w:r>
              <w:rPr>
                <w:sz w:val="20"/>
              </w:rPr>
              <w:t xml:space="preserve">40</w:t>
            </w:r>
          </w:p>
        </w:tc>
        <w:tc>
          <w:tcPr>
            <w:tcW w:w="825" w:type="dxa"/>
          </w:tcPr>
          <w:p>
            <w:pPr>
              <w:pStyle w:val="0"/>
              <w:jc w:val="center"/>
            </w:pPr>
            <w:r>
              <w:rPr>
                <w:sz w:val="20"/>
              </w:rPr>
              <w:t xml:space="preserve">30</w:t>
            </w:r>
          </w:p>
        </w:tc>
        <w:tc>
          <w:tcPr>
            <w:tcW w:w="990" w:type="dxa"/>
          </w:tcPr>
          <w:p>
            <w:pPr>
              <w:pStyle w:val="0"/>
              <w:jc w:val="center"/>
            </w:pPr>
            <w:hyperlink w:history="0" w:anchor="P2432" w:tooltip="2. Знак &quot;*&quot; обозначает, что расстояние принимается по разделу 6.1 (для надземных резервуаров от края наружной подошвы обвалования или защитной стенки).">
              <w:r>
                <w:rPr>
                  <w:sz w:val="20"/>
                  <w:color w:val="0000ff"/>
                </w:rPr>
                <w:t xml:space="preserve">*</w:t>
              </w:r>
            </w:hyperlink>
          </w:p>
        </w:tc>
        <w:tc>
          <w:tcPr>
            <w:tcW w:w="990" w:type="dxa"/>
          </w:tcPr>
          <w:p>
            <w:pPr>
              <w:pStyle w:val="0"/>
              <w:jc w:val="center"/>
            </w:pPr>
            <w:hyperlink w:history="0" w:anchor="P2434" w:tooltip="4. Знак &quot;***&quot; обозначает, что расстояние принимается не менее указанного в подразделе 6.11.">
              <w:r>
                <w:rPr>
                  <w:sz w:val="20"/>
                  <w:color w:val="0000ff"/>
                </w:rPr>
                <w:t xml:space="preserve">***</w:t>
              </w:r>
            </w:hyperlink>
          </w:p>
        </w:tc>
        <w:tc>
          <w:tcPr>
            <w:tcW w:w="990" w:type="dxa"/>
          </w:tcPr>
          <w:p>
            <w:pPr>
              <w:pStyle w:val="0"/>
              <w:jc w:val="center"/>
            </w:pPr>
            <w:hyperlink w:history="0" w:anchor="P2432" w:tooltip="2. Знак &quot;*&quot; обозначает, что расстояние принимается по разделу 6.1 (для надземных резервуаров от края наружной подошвы обвалования или защитной стенки).">
              <w:r>
                <w:rPr>
                  <w:sz w:val="20"/>
                  <w:color w:val="0000ff"/>
                </w:rPr>
                <w:t xml:space="preserve">*</w:t>
              </w:r>
            </w:hyperlink>
          </w:p>
        </w:tc>
        <w:tc>
          <w:tcPr>
            <w:tcW w:w="990" w:type="dxa"/>
          </w:tcPr>
          <w:p>
            <w:pPr>
              <w:pStyle w:val="0"/>
              <w:jc w:val="center"/>
            </w:pPr>
            <w:hyperlink w:history="0" w:anchor="P2432" w:tooltip="2. Знак &quot;*&quot; обозначает, что расстояние принимается по разделу 6.1 (для надземных резервуаров от края наружной подошвы обвалования или защитной стенки).">
              <w:r>
                <w:rPr>
                  <w:sz w:val="20"/>
                  <w:color w:val="0000ff"/>
                </w:rPr>
                <w:t xml:space="preserve">*</w:t>
              </w:r>
            </w:hyperlink>
          </w:p>
        </w:tc>
        <w:tc>
          <w:tcPr>
            <w:tcW w:w="990" w:type="dxa"/>
          </w:tcPr>
          <w:p>
            <w:pPr>
              <w:pStyle w:val="0"/>
              <w:jc w:val="center"/>
            </w:pPr>
            <w:hyperlink w:history="0" w:anchor="P2432" w:tooltip="2. Знак &quot;*&quot; обозначает, что расстояние принимается по разделу 6.1 (для надземных резервуаров от края наружной подошвы обвалования или защитной стенки).">
              <w:r>
                <w:rPr>
                  <w:sz w:val="20"/>
                  <w:color w:val="0000ff"/>
                </w:rPr>
                <w:t xml:space="preserve">*</w:t>
              </w:r>
            </w:hyperlink>
          </w:p>
        </w:tc>
        <w:tc>
          <w:tcPr>
            <w:tcW w:w="990" w:type="dxa"/>
          </w:tcPr>
          <w:p>
            <w:pPr>
              <w:pStyle w:val="0"/>
              <w:jc w:val="center"/>
            </w:pPr>
            <w:hyperlink w:history="0" w:anchor="P2432" w:tooltip="2. Знак &quot;*&quot; обозначает, что расстояние принимается по разделу 6.1 (для надземных резервуаров от края наружной подошвы обвалования или защитной стенки).">
              <w:r>
                <w:rPr>
                  <w:sz w:val="20"/>
                  <w:color w:val="0000ff"/>
                </w:rPr>
                <w:t xml:space="preserve">*</w:t>
              </w:r>
            </w:hyperlink>
          </w:p>
        </w:tc>
        <w:tc>
          <w:tcPr>
            <w:tcW w:w="990" w:type="dxa"/>
          </w:tcPr>
          <w:p>
            <w:pPr>
              <w:pStyle w:val="0"/>
              <w:jc w:val="center"/>
            </w:pPr>
            <w:hyperlink w:history="0" w:anchor="P2433" w:tooltip="3. Знак &quot;**&quot; обозначает, что расстояние принимается по СП 8.13130.">
              <w:r>
                <w:rPr>
                  <w:sz w:val="20"/>
                  <w:color w:val="0000ff"/>
                </w:rPr>
                <w:t xml:space="preserve">**</w:t>
              </w:r>
            </w:hyperlink>
          </w:p>
        </w:tc>
        <w:tc>
          <w:tcPr>
            <w:tcW w:w="990" w:type="dxa"/>
          </w:tcPr>
          <w:p>
            <w:pPr>
              <w:pStyle w:val="0"/>
              <w:jc w:val="center"/>
            </w:pPr>
            <w:hyperlink w:history="0" w:anchor="P2432" w:tooltip="2. Знак &quot;*&quot; обозначает, что расстояние принимается по разделу 6.1 (для надземных резервуаров от края наружной подошвы обвалования или защитной стенки).">
              <w:r>
                <w:rPr>
                  <w:sz w:val="20"/>
                  <w:color w:val="0000ff"/>
                </w:rPr>
                <w:t xml:space="preserve">*</w:t>
              </w:r>
            </w:hyperlink>
          </w:p>
        </w:tc>
      </w:tr>
      <w:tr>
        <w:tc>
          <w:tcPr>
            <w:tcW w:w="825" w:type="dxa"/>
          </w:tcPr>
          <w:p>
            <w:pPr>
              <w:pStyle w:val="0"/>
              <w:jc w:val="center"/>
            </w:pPr>
            <w:r>
              <w:rPr>
                <w:sz w:val="20"/>
              </w:rPr>
              <w:t xml:space="preserve">6</w:t>
            </w:r>
          </w:p>
        </w:tc>
        <w:tc>
          <w:tcPr>
            <w:tcW w:w="3135" w:type="dxa"/>
          </w:tcPr>
          <w:p>
            <w:pPr>
              <w:pStyle w:val="0"/>
            </w:pPr>
            <w:r>
              <w:rPr>
                <w:sz w:val="20"/>
              </w:rPr>
              <w:t xml:space="preserve">Прирельсовый склад баллонов</w:t>
            </w:r>
          </w:p>
        </w:tc>
        <w:tc>
          <w:tcPr>
            <w:tcW w:w="1320" w:type="dxa"/>
          </w:tcPr>
          <w:p>
            <w:pPr>
              <w:pStyle w:val="0"/>
              <w:jc w:val="center"/>
            </w:pPr>
            <w:r>
              <w:rPr>
                <w:sz w:val="20"/>
              </w:rPr>
              <w:t xml:space="preserve">15</w:t>
            </w:r>
          </w:p>
        </w:tc>
        <w:tc>
          <w:tcPr>
            <w:tcW w:w="1650" w:type="dxa"/>
          </w:tcPr>
          <w:p>
            <w:pPr>
              <w:pStyle w:val="0"/>
              <w:jc w:val="center"/>
            </w:pPr>
            <w:r>
              <w:rPr>
                <w:sz w:val="20"/>
              </w:rPr>
              <w:t xml:space="preserve">10</w:t>
            </w:r>
          </w:p>
        </w:tc>
        <w:tc>
          <w:tcPr>
            <w:tcW w:w="990" w:type="dxa"/>
          </w:tcPr>
          <w:p>
            <w:pPr>
              <w:pStyle w:val="0"/>
              <w:jc w:val="center"/>
            </w:pPr>
            <w:r>
              <w:rPr>
                <w:sz w:val="20"/>
              </w:rPr>
              <w:t xml:space="preserve">15</w:t>
            </w:r>
          </w:p>
        </w:tc>
        <w:tc>
          <w:tcPr>
            <w:tcW w:w="825" w:type="dxa"/>
          </w:tcPr>
          <w:p>
            <w:pPr>
              <w:pStyle w:val="0"/>
              <w:jc w:val="center"/>
            </w:pPr>
            <w:r>
              <w:rPr>
                <w:sz w:val="20"/>
              </w:rPr>
              <w:t xml:space="preserve">15</w:t>
            </w:r>
          </w:p>
        </w:tc>
        <w:tc>
          <w:tcPr>
            <w:tcW w:w="990" w:type="dxa"/>
          </w:tcPr>
          <w:p>
            <w:pPr>
              <w:pStyle w:val="0"/>
              <w:jc w:val="center"/>
            </w:pPr>
            <w:hyperlink w:history="0" w:anchor="P2434" w:tooltip="4. Знак &quot;***&quot; обозначает, что расстояние принимается не менее указанного в подразделе 6.11.">
              <w:r>
                <w:rPr>
                  <w:sz w:val="20"/>
                  <w:color w:val="0000ff"/>
                </w:rPr>
                <w:t xml:space="preserve">***</w:t>
              </w:r>
            </w:hyperlink>
          </w:p>
        </w:tc>
        <w:tc>
          <w:tcPr>
            <w:tcW w:w="990" w:type="dxa"/>
          </w:tcPr>
          <w:p>
            <w:pPr>
              <w:pStyle w:val="0"/>
              <w:jc w:val="center"/>
            </w:pPr>
            <w:hyperlink w:history="0" w:anchor="P2431" w:tooltip="1. Знак &quot;-&quot; обозначает, что расстояние не нормируется.">
              <w:r>
                <w:rPr>
                  <w:sz w:val="20"/>
                  <w:color w:val="0000ff"/>
                </w:rPr>
                <w:t xml:space="preserve">-</w:t>
              </w:r>
            </w:hyperlink>
          </w:p>
        </w:tc>
        <w:tc>
          <w:tcPr>
            <w:tcW w:w="990" w:type="dxa"/>
          </w:tcPr>
          <w:p>
            <w:pPr>
              <w:pStyle w:val="0"/>
              <w:jc w:val="center"/>
            </w:pPr>
            <w:hyperlink w:history="0" w:anchor="P2434" w:tooltip="4. Знак &quot;***&quot; обозначает, что расстояние принимается не менее указанного в подразделе 6.11.">
              <w:r>
                <w:rPr>
                  <w:sz w:val="20"/>
                  <w:color w:val="0000ff"/>
                </w:rPr>
                <w:t xml:space="preserve">***</w:t>
              </w:r>
            </w:hyperlink>
          </w:p>
        </w:tc>
        <w:tc>
          <w:tcPr>
            <w:tcW w:w="990" w:type="dxa"/>
          </w:tcPr>
          <w:p>
            <w:pPr>
              <w:pStyle w:val="0"/>
              <w:jc w:val="center"/>
            </w:pPr>
            <w:r>
              <w:rPr>
                <w:sz w:val="20"/>
              </w:rPr>
              <w:t xml:space="preserve">40</w:t>
            </w:r>
          </w:p>
        </w:tc>
        <w:tc>
          <w:tcPr>
            <w:tcW w:w="990" w:type="dxa"/>
          </w:tcPr>
          <w:p>
            <w:pPr>
              <w:pStyle w:val="0"/>
              <w:jc w:val="center"/>
            </w:pPr>
            <w:r>
              <w:rPr>
                <w:sz w:val="20"/>
              </w:rPr>
              <w:t xml:space="preserve">5</w:t>
            </w:r>
          </w:p>
        </w:tc>
        <w:tc>
          <w:tcPr>
            <w:tcW w:w="990" w:type="dxa"/>
          </w:tcPr>
          <w:p>
            <w:pPr>
              <w:pStyle w:val="0"/>
              <w:jc w:val="center"/>
            </w:pPr>
            <w:hyperlink w:history="0" w:anchor="P2432" w:tooltip="2. Знак &quot;*&quot; обозначает, что расстояние принимается по разделу 6.1 (для надземных резервуаров от края наружной подошвы обвалования или защитной стенки).">
              <w:r>
                <w:rPr>
                  <w:sz w:val="20"/>
                  <w:color w:val="0000ff"/>
                </w:rPr>
                <w:t xml:space="preserve">*</w:t>
              </w:r>
            </w:hyperlink>
          </w:p>
        </w:tc>
        <w:tc>
          <w:tcPr>
            <w:tcW w:w="990" w:type="dxa"/>
          </w:tcPr>
          <w:p>
            <w:pPr>
              <w:pStyle w:val="0"/>
              <w:jc w:val="center"/>
            </w:pPr>
            <w:r>
              <w:rPr>
                <w:sz w:val="20"/>
              </w:rPr>
              <w:t xml:space="preserve">40</w:t>
            </w:r>
          </w:p>
        </w:tc>
        <w:tc>
          <w:tcPr>
            <w:tcW w:w="990" w:type="dxa"/>
          </w:tcPr>
          <w:p>
            <w:pPr>
              <w:pStyle w:val="0"/>
              <w:jc w:val="center"/>
            </w:pPr>
            <w:hyperlink w:history="0" w:anchor="P2434" w:tooltip="4. Знак &quot;***&quot; обозначает, что расстояние принимается не менее указанного в подразделе 6.11.">
              <w:r>
                <w:rPr>
                  <w:sz w:val="20"/>
                  <w:color w:val="0000ff"/>
                </w:rPr>
                <w:t xml:space="preserve">***</w:t>
              </w:r>
            </w:hyperlink>
          </w:p>
        </w:tc>
      </w:tr>
      <w:tr>
        <w:tc>
          <w:tcPr>
            <w:tcW w:w="825" w:type="dxa"/>
          </w:tcPr>
          <w:p>
            <w:pPr>
              <w:pStyle w:val="0"/>
              <w:jc w:val="center"/>
            </w:pPr>
            <w:r>
              <w:rPr>
                <w:sz w:val="20"/>
              </w:rPr>
              <w:t xml:space="preserve">7</w:t>
            </w:r>
          </w:p>
        </w:tc>
        <w:tc>
          <w:tcPr>
            <w:tcW w:w="3135" w:type="dxa"/>
          </w:tcPr>
          <w:p>
            <w:pPr>
              <w:pStyle w:val="0"/>
            </w:pPr>
            <w:r>
              <w:rPr>
                <w:sz w:val="20"/>
              </w:rPr>
              <w:t xml:space="preserve">Вспомогательные, без подвальной части здания и сооружения без применения открытого огня (в том числе категории А)</w:t>
            </w:r>
          </w:p>
        </w:tc>
        <w:tc>
          <w:tcPr>
            <w:tcW w:w="1320" w:type="dxa"/>
          </w:tcPr>
          <w:p>
            <w:pPr>
              <w:pStyle w:val="0"/>
              <w:jc w:val="center"/>
            </w:pPr>
            <w:r>
              <w:rPr>
                <w:sz w:val="20"/>
              </w:rPr>
              <w:t xml:space="preserve">30</w:t>
            </w:r>
          </w:p>
        </w:tc>
        <w:tc>
          <w:tcPr>
            <w:tcW w:w="1650" w:type="dxa"/>
          </w:tcPr>
          <w:p>
            <w:pPr>
              <w:pStyle w:val="0"/>
              <w:jc w:val="center"/>
            </w:pPr>
            <w:r>
              <w:rPr>
                <w:sz w:val="20"/>
              </w:rPr>
              <w:t xml:space="preserve">20</w:t>
            </w:r>
          </w:p>
        </w:tc>
        <w:tc>
          <w:tcPr>
            <w:tcW w:w="990" w:type="dxa"/>
          </w:tcPr>
          <w:p>
            <w:pPr>
              <w:pStyle w:val="0"/>
              <w:jc w:val="center"/>
            </w:pPr>
            <w:r>
              <w:rPr>
                <w:sz w:val="20"/>
              </w:rPr>
              <w:t xml:space="preserve">30</w:t>
            </w:r>
          </w:p>
        </w:tc>
        <w:tc>
          <w:tcPr>
            <w:tcW w:w="825" w:type="dxa"/>
          </w:tcPr>
          <w:p>
            <w:pPr>
              <w:pStyle w:val="0"/>
              <w:jc w:val="center"/>
            </w:pPr>
            <w:r>
              <w:rPr>
                <w:sz w:val="20"/>
              </w:rPr>
              <w:t xml:space="preserve">15</w:t>
            </w:r>
          </w:p>
        </w:tc>
        <w:tc>
          <w:tcPr>
            <w:tcW w:w="990" w:type="dxa"/>
          </w:tcPr>
          <w:p>
            <w:pPr>
              <w:pStyle w:val="0"/>
              <w:jc w:val="center"/>
            </w:pPr>
            <w:hyperlink w:history="0" w:anchor="P2432" w:tooltip="2. Знак &quot;*&quot; обозначает, что расстояние принимается по разделу 6.1 (для надземных резервуаров от края наружной подошвы обвалования или защитной стенки).">
              <w:r>
                <w:rPr>
                  <w:sz w:val="20"/>
                  <w:color w:val="0000ff"/>
                </w:rPr>
                <w:t xml:space="preserve">*</w:t>
              </w:r>
            </w:hyperlink>
          </w:p>
        </w:tc>
        <w:tc>
          <w:tcPr>
            <w:tcW w:w="990" w:type="dxa"/>
          </w:tcPr>
          <w:p>
            <w:pPr>
              <w:pStyle w:val="0"/>
              <w:jc w:val="center"/>
            </w:pPr>
            <w:hyperlink w:history="0" w:anchor="P2434" w:tooltip="4. Знак &quot;***&quot; обозначает, что расстояние принимается не менее указанного в подразделе 6.11.">
              <w:r>
                <w:rPr>
                  <w:sz w:val="20"/>
                  <w:color w:val="0000ff"/>
                </w:rPr>
                <w:t xml:space="preserve">***</w:t>
              </w:r>
            </w:hyperlink>
          </w:p>
        </w:tc>
        <w:tc>
          <w:tcPr>
            <w:tcW w:w="990" w:type="dxa"/>
          </w:tcPr>
          <w:p>
            <w:pPr>
              <w:pStyle w:val="0"/>
              <w:jc w:val="center"/>
            </w:pPr>
            <w:hyperlink w:history="0" w:anchor="P2431" w:tooltip="1. Знак &quot;-&quot; обозначает, что расстояние не нормируется.">
              <w:r>
                <w:rPr>
                  <w:sz w:val="20"/>
                  <w:color w:val="0000ff"/>
                </w:rPr>
                <w:t xml:space="preserve">-</w:t>
              </w:r>
            </w:hyperlink>
          </w:p>
        </w:tc>
        <w:tc>
          <w:tcPr>
            <w:tcW w:w="990" w:type="dxa"/>
          </w:tcPr>
          <w:p>
            <w:pPr>
              <w:pStyle w:val="0"/>
              <w:jc w:val="center"/>
            </w:pPr>
            <w:hyperlink w:history="0" w:anchor="P2432" w:tooltip="2. Знак &quot;*&quot; обозначает, что расстояние принимается по разделу 6.1 (для надземных резервуаров от края наружной подошвы обвалования или защитной стенки).">
              <w:r>
                <w:rPr>
                  <w:sz w:val="20"/>
                  <w:color w:val="0000ff"/>
                </w:rPr>
                <w:t xml:space="preserve">*</w:t>
              </w:r>
            </w:hyperlink>
          </w:p>
        </w:tc>
        <w:tc>
          <w:tcPr>
            <w:tcW w:w="990" w:type="dxa"/>
          </w:tcPr>
          <w:p>
            <w:pPr>
              <w:pStyle w:val="0"/>
              <w:jc w:val="center"/>
            </w:pPr>
            <w:hyperlink w:history="0" w:anchor="P2432" w:tooltip="2. Знак &quot;*&quot; обозначает, что расстояние принимается по разделу 6.1 (для надземных резервуаров от края наружной подошвы обвалования или защитной стенки).">
              <w:r>
                <w:rPr>
                  <w:sz w:val="20"/>
                  <w:color w:val="0000ff"/>
                </w:rPr>
                <w:t xml:space="preserve">*</w:t>
              </w:r>
            </w:hyperlink>
          </w:p>
        </w:tc>
        <w:tc>
          <w:tcPr>
            <w:tcW w:w="990" w:type="dxa"/>
          </w:tcPr>
          <w:p>
            <w:pPr>
              <w:pStyle w:val="0"/>
              <w:jc w:val="center"/>
            </w:pPr>
            <w:hyperlink w:history="0" w:anchor="P2432" w:tooltip="2. Знак &quot;*&quot; обозначает, что расстояние принимается по разделу 6.1 (для надземных резервуаров от края наружной подошвы обвалования или защитной стенки).">
              <w:r>
                <w:rPr>
                  <w:sz w:val="20"/>
                  <w:color w:val="0000ff"/>
                </w:rPr>
                <w:t xml:space="preserve">*</w:t>
              </w:r>
            </w:hyperlink>
          </w:p>
        </w:tc>
        <w:tc>
          <w:tcPr>
            <w:tcW w:w="990" w:type="dxa"/>
          </w:tcPr>
          <w:p>
            <w:pPr>
              <w:pStyle w:val="0"/>
              <w:jc w:val="center"/>
            </w:pPr>
            <w:hyperlink w:history="0" w:anchor="P2433" w:tooltip="3. Знак &quot;**&quot; обозначает, что расстояние принимается по СП 8.13130.">
              <w:r>
                <w:rPr>
                  <w:sz w:val="20"/>
                  <w:color w:val="0000ff"/>
                </w:rPr>
                <w:t xml:space="preserve">**</w:t>
              </w:r>
            </w:hyperlink>
          </w:p>
        </w:tc>
        <w:tc>
          <w:tcPr>
            <w:tcW w:w="990" w:type="dxa"/>
          </w:tcPr>
          <w:p>
            <w:pPr>
              <w:pStyle w:val="0"/>
              <w:jc w:val="center"/>
            </w:pPr>
            <w:hyperlink w:history="0" w:anchor="P2432" w:tooltip="2. Знак &quot;*&quot; обозначает, что расстояние принимается по разделу 6.1 (для надземных резервуаров от края наружной подошвы обвалования или защитной стенки).">
              <w:r>
                <w:rPr>
                  <w:sz w:val="20"/>
                  <w:color w:val="0000ff"/>
                </w:rPr>
                <w:t xml:space="preserve">*</w:t>
              </w:r>
            </w:hyperlink>
          </w:p>
        </w:tc>
      </w:tr>
      <w:tr>
        <w:tc>
          <w:tcPr>
            <w:tcW w:w="825" w:type="dxa"/>
          </w:tcPr>
          <w:p>
            <w:pPr>
              <w:pStyle w:val="0"/>
              <w:jc w:val="center"/>
            </w:pPr>
            <w:r>
              <w:rPr>
                <w:sz w:val="20"/>
              </w:rPr>
              <w:t xml:space="preserve">8</w:t>
            </w:r>
          </w:p>
        </w:tc>
        <w:tc>
          <w:tcPr>
            <w:tcW w:w="3135" w:type="dxa"/>
          </w:tcPr>
          <w:p>
            <w:pPr>
              <w:pStyle w:val="0"/>
            </w:pPr>
            <w:r>
              <w:rPr>
                <w:sz w:val="20"/>
              </w:rPr>
              <w:t xml:space="preserve">Вспомогательные здания с подвальной частью (автовесы, насосная водоснабжения и т.п.)</w:t>
            </w:r>
          </w:p>
        </w:tc>
        <w:tc>
          <w:tcPr>
            <w:tcW w:w="1320" w:type="dxa"/>
          </w:tcPr>
          <w:p>
            <w:pPr>
              <w:pStyle w:val="0"/>
              <w:jc w:val="center"/>
            </w:pPr>
            <w:r>
              <w:rPr>
                <w:sz w:val="20"/>
              </w:rPr>
              <w:t xml:space="preserve">40</w:t>
            </w:r>
          </w:p>
        </w:tc>
        <w:tc>
          <w:tcPr>
            <w:tcW w:w="1650" w:type="dxa"/>
          </w:tcPr>
          <w:p>
            <w:pPr>
              <w:pStyle w:val="0"/>
              <w:jc w:val="center"/>
            </w:pPr>
            <w:r>
              <w:rPr>
                <w:sz w:val="20"/>
              </w:rPr>
              <w:t xml:space="preserve">30</w:t>
            </w:r>
          </w:p>
        </w:tc>
        <w:tc>
          <w:tcPr>
            <w:tcW w:w="990" w:type="dxa"/>
          </w:tcPr>
          <w:p>
            <w:pPr>
              <w:pStyle w:val="0"/>
              <w:jc w:val="center"/>
            </w:pPr>
            <w:r>
              <w:rPr>
                <w:sz w:val="20"/>
              </w:rPr>
              <w:t xml:space="preserve">40</w:t>
            </w:r>
          </w:p>
        </w:tc>
        <w:tc>
          <w:tcPr>
            <w:tcW w:w="825" w:type="dxa"/>
          </w:tcPr>
          <w:p>
            <w:pPr>
              <w:pStyle w:val="0"/>
              <w:jc w:val="center"/>
            </w:pPr>
            <w:r>
              <w:rPr>
                <w:sz w:val="20"/>
              </w:rPr>
              <w:t xml:space="preserve">30</w:t>
            </w:r>
          </w:p>
        </w:tc>
        <w:tc>
          <w:tcPr>
            <w:tcW w:w="990" w:type="dxa"/>
          </w:tcPr>
          <w:p>
            <w:pPr>
              <w:pStyle w:val="0"/>
              <w:jc w:val="center"/>
            </w:pPr>
            <w:hyperlink w:history="0" w:anchor="P2432" w:tooltip="2. Знак &quot;*&quot; обозначает, что расстояние принимается по разделу 6.1 (для надземных резервуаров от края наружной подошвы обвалования или защитной стенки).">
              <w:r>
                <w:rPr>
                  <w:sz w:val="20"/>
                  <w:color w:val="0000ff"/>
                </w:rPr>
                <w:t xml:space="preserve">*</w:t>
              </w:r>
            </w:hyperlink>
          </w:p>
        </w:tc>
        <w:tc>
          <w:tcPr>
            <w:tcW w:w="990" w:type="dxa"/>
          </w:tcPr>
          <w:p>
            <w:pPr>
              <w:pStyle w:val="0"/>
              <w:jc w:val="center"/>
            </w:pPr>
            <w:r>
              <w:rPr>
                <w:sz w:val="20"/>
              </w:rPr>
              <w:t xml:space="preserve">40</w:t>
            </w:r>
          </w:p>
        </w:tc>
        <w:tc>
          <w:tcPr>
            <w:tcW w:w="990" w:type="dxa"/>
          </w:tcPr>
          <w:p>
            <w:pPr>
              <w:pStyle w:val="0"/>
              <w:jc w:val="center"/>
            </w:pPr>
            <w:hyperlink w:history="0" w:anchor="P2432" w:tooltip="2. Знак &quot;*&quot; обозначает, что расстояние принимается по разделу 6.1 (для надземных резервуаров от края наружной подошвы обвалования или защитной стенки).">
              <w:r>
                <w:rPr>
                  <w:sz w:val="20"/>
                  <w:color w:val="0000ff"/>
                </w:rPr>
                <w:t xml:space="preserve">*</w:t>
              </w:r>
            </w:hyperlink>
          </w:p>
        </w:tc>
        <w:tc>
          <w:tcPr>
            <w:tcW w:w="990" w:type="dxa"/>
          </w:tcPr>
          <w:p>
            <w:pPr>
              <w:pStyle w:val="0"/>
              <w:jc w:val="center"/>
            </w:pPr>
            <w:hyperlink w:history="0" w:anchor="P2431" w:tooltip="1. Знак &quot;-&quot; обозначает, что расстояние не нормируется.">
              <w:r>
                <w:rPr>
                  <w:sz w:val="20"/>
                  <w:color w:val="0000ff"/>
                </w:rPr>
                <w:t xml:space="preserve">-</w:t>
              </w:r>
            </w:hyperlink>
          </w:p>
        </w:tc>
        <w:tc>
          <w:tcPr>
            <w:tcW w:w="990" w:type="dxa"/>
          </w:tcPr>
          <w:p>
            <w:pPr>
              <w:pStyle w:val="0"/>
              <w:jc w:val="center"/>
            </w:pPr>
            <w:hyperlink w:history="0" w:anchor="P2432" w:tooltip="2. Знак &quot;*&quot; обозначает, что расстояние принимается по разделу 6.1 (для надземных резервуаров от края наружной подошвы обвалования или защитной стенки).">
              <w:r>
                <w:rPr>
                  <w:sz w:val="20"/>
                  <w:color w:val="0000ff"/>
                </w:rPr>
                <w:t xml:space="preserve">*</w:t>
              </w:r>
            </w:hyperlink>
          </w:p>
        </w:tc>
        <w:tc>
          <w:tcPr>
            <w:tcW w:w="990" w:type="dxa"/>
          </w:tcPr>
          <w:p>
            <w:pPr>
              <w:pStyle w:val="0"/>
              <w:jc w:val="center"/>
            </w:pPr>
            <w:hyperlink w:history="0" w:anchor="P2432" w:tooltip="2. Знак &quot;*&quot; обозначает, что расстояние принимается по разделу 6.1 (для надземных резервуаров от края наружной подошвы обвалования или защитной стенки).">
              <w:r>
                <w:rPr>
                  <w:sz w:val="20"/>
                  <w:color w:val="0000ff"/>
                </w:rPr>
                <w:t xml:space="preserve">*</w:t>
              </w:r>
            </w:hyperlink>
          </w:p>
        </w:tc>
        <w:tc>
          <w:tcPr>
            <w:tcW w:w="990" w:type="dxa"/>
          </w:tcPr>
          <w:p>
            <w:pPr>
              <w:pStyle w:val="0"/>
              <w:jc w:val="center"/>
            </w:pPr>
            <w:hyperlink w:history="0" w:anchor="P2433" w:tooltip="3. Знак &quot;**&quot; обозначает, что расстояние принимается по СП 8.13130.">
              <w:r>
                <w:rPr>
                  <w:sz w:val="20"/>
                  <w:color w:val="0000ff"/>
                </w:rPr>
                <w:t xml:space="preserve">**</w:t>
              </w:r>
            </w:hyperlink>
          </w:p>
        </w:tc>
        <w:tc>
          <w:tcPr>
            <w:tcW w:w="990" w:type="dxa"/>
          </w:tcPr>
          <w:p>
            <w:pPr>
              <w:pStyle w:val="0"/>
              <w:jc w:val="center"/>
            </w:pPr>
            <w:hyperlink w:history="0" w:anchor="P2432" w:tooltip="2. Знак &quot;*&quot; обозначает, что расстояние принимается по разделу 6.1 (для надземных резервуаров от края наружной подошвы обвалования или защитной стенки).">
              <w:r>
                <w:rPr>
                  <w:sz w:val="20"/>
                  <w:color w:val="0000ff"/>
                </w:rPr>
                <w:t xml:space="preserve">*</w:t>
              </w:r>
            </w:hyperlink>
          </w:p>
        </w:tc>
      </w:tr>
      <w:tr>
        <w:tc>
          <w:tcPr>
            <w:tcW w:w="825" w:type="dxa"/>
          </w:tcPr>
          <w:p>
            <w:pPr>
              <w:pStyle w:val="0"/>
              <w:jc w:val="center"/>
            </w:pPr>
            <w:r>
              <w:rPr>
                <w:sz w:val="20"/>
              </w:rPr>
              <w:t xml:space="preserve">9</w:t>
            </w:r>
          </w:p>
        </w:tc>
        <w:tc>
          <w:tcPr>
            <w:tcW w:w="3135" w:type="dxa"/>
          </w:tcPr>
          <w:p>
            <w:pPr>
              <w:pStyle w:val="0"/>
              <w:jc w:val="both"/>
            </w:pPr>
            <w:r>
              <w:rPr>
                <w:sz w:val="20"/>
              </w:rPr>
              <w:t xml:space="preserve">Автодороги, кроме местных подъездов (до края проезжей части)</w:t>
            </w:r>
          </w:p>
        </w:tc>
        <w:tc>
          <w:tcPr>
            <w:tcW w:w="1320" w:type="dxa"/>
          </w:tcPr>
          <w:p>
            <w:pPr>
              <w:pStyle w:val="0"/>
              <w:jc w:val="center"/>
            </w:pPr>
            <w:r>
              <w:rPr>
                <w:sz w:val="20"/>
              </w:rPr>
              <w:t xml:space="preserve">10</w:t>
            </w:r>
          </w:p>
        </w:tc>
        <w:tc>
          <w:tcPr>
            <w:tcW w:w="1650" w:type="dxa"/>
          </w:tcPr>
          <w:p>
            <w:pPr>
              <w:pStyle w:val="0"/>
              <w:jc w:val="center"/>
            </w:pPr>
            <w:r>
              <w:rPr>
                <w:sz w:val="20"/>
              </w:rPr>
              <w:t xml:space="preserve">5</w:t>
            </w:r>
          </w:p>
        </w:tc>
        <w:tc>
          <w:tcPr>
            <w:tcW w:w="990" w:type="dxa"/>
          </w:tcPr>
          <w:p>
            <w:pPr>
              <w:pStyle w:val="0"/>
              <w:jc w:val="center"/>
            </w:pPr>
            <w:r>
              <w:rPr>
                <w:sz w:val="20"/>
              </w:rPr>
              <w:t xml:space="preserve">10</w:t>
            </w:r>
          </w:p>
        </w:tc>
        <w:tc>
          <w:tcPr>
            <w:tcW w:w="825" w:type="dxa"/>
          </w:tcPr>
          <w:p>
            <w:pPr>
              <w:pStyle w:val="0"/>
              <w:jc w:val="center"/>
            </w:pPr>
            <w:r>
              <w:rPr>
                <w:sz w:val="20"/>
              </w:rPr>
              <w:t xml:space="preserve">10</w:t>
            </w:r>
          </w:p>
        </w:tc>
        <w:tc>
          <w:tcPr>
            <w:tcW w:w="990" w:type="dxa"/>
          </w:tcPr>
          <w:p>
            <w:pPr>
              <w:pStyle w:val="0"/>
              <w:jc w:val="center"/>
            </w:pPr>
            <w:hyperlink w:history="0" w:anchor="P2432" w:tooltip="2. Знак &quot;*&quot; обозначает, что расстояние принимается по разделу 6.1 (для надземных резервуаров от края наружной подошвы обвалования или защитной стенки).">
              <w:r>
                <w:rPr>
                  <w:sz w:val="20"/>
                  <w:color w:val="0000ff"/>
                </w:rPr>
                <w:t xml:space="preserve">*</w:t>
              </w:r>
            </w:hyperlink>
          </w:p>
        </w:tc>
        <w:tc>
          <w:tcPr>
            <w:tcW w:w="990" w:type="dxa"/>
          </w:tcPr>
          <w:p>
            <w:pPr>
              <w:pStyle w:val="0"/>
              <w:jc w:val="center"/>
            </w:pPr>
            <w:r>
              <w:rPr>
                <w:sz w:val="20"/>
              </w:rPr>
              <w:t xml:space="preserve">5</w:t>
            </w:r>
          </w:p>
        </w:tc>
        <w:tc>
          <w:tcPr>
            <w:tcW w:w="990" w:type="dxa"/>
          </w:tcPr>
          <w:p>
            <w:pPr>
              <w:pStyle w:val="0"/>
              <w:jc w:val="center"/>
            </w:pPr>
            <w:hyperlink w:history="0" w:anchor="P2432" w:tooltip="2. Знак &quot;*&quot; обозначает, что расстояние принимается по разделу 6.1 (для надземных резервуаров от края наружной подошвы обвалования или защитной стенки).">
              <w:r>
                <w:rPr>
                  <w:sz w:val="20"/>
                  <w:color w:val="0000ff"/>
                </w:rPr>
                <w:t xml:space="preserve">*</w:t>
              </w:r>
            </w:hyperlink>
          </w:p>
        </w:tc>
        <w:tc>
          <w:tcPr>
            <w:tcW w:w="990" w:type="dxa"/>
          </w:tcPr>
          <w:p>
            <w:pPr>
              <w:pStyle w:val="0"/>
              <w:jc w:val="center"/>
            </w:pPr>
            <w:hyperlink w:history="0" w:anchor="P2432" w:tooltip="2. Знак &quot;*&quot; обозначает, что расстояние принимается по разделу 6.1 (для надземных резервуаров от края наружной подошвы обвалования или защитной стенки).">
              <w:r>
                <w:rPr>
                  <w:sz w:val="20"/>
                  <w:color w:val="0000ff"/>
                </w:rPr>
                <w:t xml:space="preserve">*</w:t>
              </w:r>
            </w:hyperlink>
          </w:p>
        </w:tc>
        <w:tc>
          <w:tcPr>
            <w:tcW w:w="990" w:type="dxa"/>
          </w:tcPr>
          <w:p>
            <w:pPr>
              <w:pStyle w:val="0"/>
              <w:jc w:val="center"/>
            </w:pPr>
            <w:hyperlink w:history="0" w:anchor="P2431" w:tooltip="1. Знак &quot;-&quot; обозначает, что расстояние не нормируется.">
              <w:r>
                <w:rPr>
                  <w:sz w:val="20"/>
                  <w:color w:val="0000ff"/>
                </w:rPr>
                <w:t xml:space="preserve">-</w:t>
              </w:r>
            </w:hyperlink>
          </w:p>
        </w:tc>
        <w:tc>
          <w:tcPr>
            <w:tcW w:w="990" w:type="dxa"/>
          </w:tcPr>
          <w:p>
            <w:pPr>
              <w:pStyle w:val="0"/>
              <w:jc w:val="center"/>
            </w:pPr>
            <w:r>
              <w:rPr>
                <w:sz w:val="20"/>
              </w:rPr>
              <w:t xml:space="preserve">1,5</w:t>
            </w:r>
          </w:p>
        </w:tc>
        <w:tc>
          <w:tcPr>
            <w:tcW w:w="990" w:type="dxa"/>
          </w:tcPr>
          <w:p>
            <w:pPr>
              <w:pStyle w:val="0"/>
              <w:jc w:val="center"/>
            </w:pPr>
            <w:hyperlink w:history="0" w:anchor="P2432" w:tooltip="2. Знак &quot;*&quot; обозначает, что расстояние принимается по разделу 6.1 (для надземных резервуаров от края наружной подошвы обвалования или защитной стенки).">
              <w:r>
                <w:rPr>
                  <w:sz w:val="20"/>
                  <w:color w:val="0000ff"/>
                </w:rPr>
                <w:t xml:space="preserve">*</w:t>
              </w:r>
            </w:hyperlink>
          </w:p>
        </w:tc>
        <w:tc>
          <w:tcPr>
            <w:tcW w:w="990" w:type="dxa"/>
          </w:tcPr>
          <w:p>
            <w:pPr>
              <w:pStyle w:val="0"/>
              <w:jc w:val="center"/>
            </w:pPr>
            <w:hyperlink w:history="0" w:anchor="P2431" w:tooltip="1. Знак &quot;-&quot; обозначает, что расстояние не нормируется.">
              <w:r>
                <w:rPr>
                  <w:sz w:val="20"/>
                  <w:color w:val="0000ff"/>
                </w:rPr>
                <w:t xml:space="preserve">-</w:t>
              </w:r>
            </w:hyperlink>
          </w:p>
        </w:tc>
      </w:tr>
      <w:tr>
        <w:tc>
          <w:tcPr>
            <w:tcW w:w="825" w:type="dxa"/>
          </w:tcPr>
          <w:p>
            <w:pPr>
              <w:pStyle w:val="0"/>
              <w:jc w:val="center"/>
            </w:pPr>
            <w:r>
              <w:rPr>
                <w:sz w:val="20"/>
              </w:rPr>
              <w:t xml:space="preserve">10</w:t>
            </w:r>
          </w:p>
        </w:tc>
        <w:tc>
          <w:tcPr>
            <w:tcW w:w="3135" w:type="dxa"/>
          </w:tcPr>
          <w:p>
            <w:pPr>
              <w:pStyle w:val="0"/>
            </w:pPr>
            <w:r>
              <w:rPr>
                <w:sz w:val="20"/>
              </w:rPr>
              <w:t xml:space="preserve">Ограждение территории</w:t>
            </w:r>
          </w:p>
        </w:tc>
        <w:tc>
          <w:tcPr>
            <w:tcW w:w="1320" w:type="dxa"/>
          </w:tcPr>
          <w:p>
            <w:pPr>
              <w:pStyle w:val="0"/>
              <w:jc w:val="center"/>
            </w:pPr>
            <w:r>
              <w:rPr>
                <w:sz w:val="20"/>
              </w:rPr>
              <w:t xml:space="preserve">10</w:t>
            </w:r>
          </w:p>
        </w:tc>
        <w:tc>
          <w:tcPr>
            <w:tcW w:w="1650" w:type="dxa"/>
          </w:tcPr>
          <w:p>
            <w:pPr>
              <w:pStyle w:val="0"/>
              <w:jc w:val="center"/>
            </w:pPr>
            <w:r>
              <w:rPr>
                <w:sz w:val="20"/>
              </w:rPr>
              <w:t xml:space="preserve">5</w:t>
            </w:r>
          </w:p>
        </w:tc>
        <w:tc>
          <w:tcPr>
            <w:tcW w:w="990" w:type="dxa"/>
          </w:tcPr>
          <w:p>
            <w:pPr>
              <w:pStyle w:val="0"/>
              <w:jc w:val="center"/>
            </w:pPr>
            <w:r>
              <w:rPr>
                <w:sz w:val="20"/>
              </w:rPr>
              <w:t xml:space="preserve">10</w:t>
            </w:r>
          </w:p>
        </w:tc>
        <w:tc>
          <w:tcPr>
            <w:tcW w:w="825" w:type="dxa"/>
          </w:tcPr>
          <w:p>
            <w:pPr>
              <w:pStyle w:val="0"/>
              <w:jc w:val="center"/>
            </w:pPr>
            <w:r>
              <w:rPr>
                <w:sz w:val="20"/>
              </w:rPr>
              <w:t xml:space="preserve">10</w:t>
            </w:r>
          </w:p>
        </w:tc>
        <w:tc>
          <w:tcPr>
            <w:tcW w:w="990" w:type="dxa"/>
          </w:tcPr>
          <w:p>
            <w:pPr>
              <w:pStyle w:val="0"/>
              <w:jc w:val="center"/>
            </w:pPr>
            <w:hyperlink w:history="0" w:anchor="P2432" w:tooltip="2. Знак &quot;*&quot; обозначает, что расстояние принимается по разделу 6.1 (для надземных резервуаров от края наружной подошвы обвалования или защитной стенки).">
              <w:r>
                <w:rPr>
                  <w:sz w:val="20"/>
                  <w:color w:val="0000ff"/>
                </w:rPr>
                <w:t xml:space="preserve">*</w:t>
              </w:r>
            </w:hyperlink>
          </w:p>
        </w:tc>
        <w:tc>
          <w:tcPr>
            <w:tcW w:w="990" w:type="dxa"/>
          </w:tcPr>
          <w:p>
            <w:pPr>
              <w:pStyle w:val="0"/>
              <w:jc w:val="center"/>
            </w:pPr>
            <w:hyperlink w:history="0" w:anchor="P2432" w:tooltip="2. Знак &quot;*&quot; обозначает, что расстояние принимается по разделу 6.1 (для надземных резервуаров от края наружной подошвы обвалования или защитной стенки).">
              <w:r>
                <w:rPr>
                  <w:sz w:val="20"/>
                  <w:color w:val="0000ff"/>
                </w:rPr>
                <w:t xml:space="preserve">*</w:t>
              </w:r>
            </w:hyperlink>
          </w:p>
        </w:tc>
        <w:tc>
          <w:tcPr>
            <w:tcW w:w="990" w:type="dxa"/>
          </w:tcPr>
          <w:p>
            <w:pPr>
              <w:pStyle w:val="0"/>
              <w:jc w:val="center"/>
            </w:pPr>
            <w:hyperlink w:history="0" w:anchor="P2432" w:tooltip="2. Знак &quot;*&quot; обозначает, что расстояние принимается по разделу 6.1 (для надземных резервуаров от края наружной подошвы обвалования или защитной стенки).">
              <w:r>
                <w:rPr>
                  <w:sz w:val="20"/>
                  <w:color w:val="0000ff"/>
                </w:rPr>
                <w:t xml:space="preserve">*</w:t>
              </w:r>
            </w:hyperlink>
          </w:p>
        </w:tc>
        <w:tc>
          <w:tcPr>
            <w:tcW w:w="990" w:type="dxa"/>
          </w:tcPr>
          <w:p>
            <w:pPr>
              <w:pStyle w:val="0"/>
              <w:jc w:val="center"/>
            </w:pPr>
            <w:hyperlink w:history="0" w:anchor="P2432" w:tooltip="2. Знак &quot;*&quot; обозначает, что расстояние принимается по разделу 6.1 (для надземных резервуаров от края наружной подошвы обвалования или защитной стенки).">
              <w:r>
                <w:rPr>
                  <w:sz w:val="20"/>
                  <w:color w:val="0000ff"/>
                </w:rPr>
                <w:t xml:space="preserve">*</w:t>
              </w:r>
            </w:hyperlink>
          </w:p>
        </w:tc>
        <w:tc>
          <w:tcPr>
            <w:tcW w:w="990" w:type="dxa"/>
          </w:tcPr>
          <w:p>
            <w:pPr>
              <w:pStyle w:val="0"/>
              <w:jc w:val="center"/>
            </w:pPr>
            <w:r>
              <w:rPr>
                <w:sz w:val="20"/>
              </w:rPr>
              <w:t xml:space="preserve">1,5</w:t>
            </w:r>
          </w:p>
        </w:tc>
        <w:tc>
          <w:tcPr>
            <w:tcW w:w="990" w:type="dxa"/>
          </w:tcPr>
          <w:p>
            <w:pPr>
              <w:pStyle w:val="0"/>
              <w:jc w:val="center"/>
            </w:pPr>
            <w:hyperlink w:history="0" w:anchor="P2431" w:tooltip="1. Знак &quot;-&quot; обозначает, что расстояние не нормируется.">
              <w:r>
                <w:rPr>
                  <w:sz w:val="20"/>
                  <w:color w:val="0000ff"/>
                </w:rPr>
                <w:t xml:space="preserve">-</w:t>
              </w:r>
            </w:hyperlink>
          </w:p>
        </w:tc>
        <w:tc>
          <w:tcPr>
            <w:tcW w:w="990" w:type="dxa"/>
          </w:tcPr>
          <w:p>
            <w:pPr>
              <w:pStyle w:val="0"/>
              <w:jc w:val="center"/>
            </w:pPr>
            <w:hyperlink w:history="0" w:anchor="P2432" w:tooltip="2. Знак &quot;*&quot; обозначает, что расстояние принимается по разделу 6.1 (для надземных резервуаров от края наружной подошвы обвалования или защитной стенки).">
              <w:r>
                <w:rPr>
                  <w:sz w:val="20"/>
                  <w:color w:val="0000ff"/>
                </w:rPr>
                <w:t xml:space="preserve">*</w:t>
              </w:r>
            </w:hyperlink>
          </w:p>
        </w:tc>
        <w:tc>
          <w:tcPr>
            <w:tcW w:w="990" w:type="dxa"/>
          </w:tcPr>
          <w:p>
            <w:pPr>
              <w:pStyle w:val="0"/>
              <w:jc w:val="center"/>
            </w:pPr>
            <w:r>
              <w:rPr>
                <w:sz w:val="20"/>
              </w:rPr>
              <w:t xml:space="preserve">10</w:t>
            </w:r>
          </w:p>
        </w:tc>
      </w:tr>
      <w:tr>
        <w:tc>
          <w:tcPr>
            <w:tcW w:w="825" w:type="dxa"/>
          </w:tcPr>
          <w:p>
            <w:pPr>
              <w:pStyle w:val="0"/>
              <w:jc w:val="center"/>
            </w:pPr>
            <w:r>
              <w:rPr>
                <w:sz w:val="20"/>
              </w:rPr>
              <w:t xml:space="preserve">11</w:t>
            </w:r>
          </w:p>
        </w:tc>
        <w:tc>
          <w:tcPr>
            <w:tcW w:w="3135" w:type="dxa"/>
          </w:tcPr>
          <w:p>
            <w:pPr>
              <w:pStyle w:val="0"/>
              <w:jc w:val="both"/>
            </w:pPr>
            <w:r>
              <w:rPr>
                <w:sz w:val="20"/>
              </w:rPr>
              <w:t xml:space="preserve">Резервуары для пожаротушения (до водоразборных колодцев)</w:t>
            </w:r>
          </w:p>
        </w:tc>
        <w:tc>
          <w:tcPr>
            <w:tcW w:w="1320" w:type="dxa"/>
          </w:tcPr>
          <w:p>
            <w:pPr>
              <w:pStyle w:val="0"/>
              <w:jc w:val="center"/>
            </w:pPr>
            <w:r>
              <w:rPr>
                <w:sz w:val="20"/>
              </w:rPr>
              <w:t xml:space="preserve">40</w:t>
            </w:r>
          </w:p>
        </w:tc>
        <w:tc>
          <w:tcPr>
            <w:tcW w:w="1650" w:type="dxa"/>
          </w:tcPr>
          <w:p>
            <w:pPr>
              <w:pStyle w:val="0"/>
              <w:jc w:val="center"/>
            </w:pPr>
            <w:r>
              <w:rPr>
                <w:sz w:val="20"/>
              </w:rPr>
              <w:t xml:space="preserve">40</w:t>
            </w:r>
          </w:p>
        </w:tc>
        <w:tc>
          <w:tcPr>
            <w:tcW w:w="990" w:type="dxa"/>
          </w:tcPr>
          <w:p>
            <w:pPr>
              <w:pStyle w:val="0"/>
              <w:jc w:val="center"/>
            </w:pPr>
            <w:r>
              <w:rPr>
                <w:sz w:val="20"/>
              </w:rPr>
              <w:t xml:space="preserve">40</w:t>
            </w:r>
          </w:p>
        </w:tc>
        <w:tc>
          <w:tcPr>
            <w:tcW w:w="825" w:type="dxa"/>
          </w:tcPr>
          <w:p>
            <w:pPr>
              <w:pStyle w:val="0"/>
              <w:jc w:val="center"/>
            </w:pPr>
            <w:r>
              <w:rPr>
                <w:sz w:val="20"/>
              </w:rPr>
              <w:t xml:space="preserve">15</w:t>
            </w:r>
          </w:p>
        </w:tc>
        <w:tc>
          <w:tcPr>
            <w:tcW w:w="990" w:type="dxa"/>
          </w:tcPr>
          <w:p>
            <w:pPr>
              <w:pStyle w:val="0"/>
              <w:jc w:val="center"/>
            </w:pPr>
            <w:hyperlink w:history="0" w:anchor="P2433" w:tooltip="3. Знак &quot;**&quot; обозначает, что расстояние принимается по СП 8.13130.">
              <w:r>
                <w:rPr>
                  <w:sz w:val="20"/>
                  <w:color w:val="0000ff"/>
                </w:rPr>
                <w:t xml:space="preserve">**</w:t>
              </w:r>
            </w:hyperlink>
          </w:p>
        </w:tc>
        <w:tc>
          <w:tcPr>
            <w:tcW w:w="990" w:type="dxa"/>
          </w:tcPr>
          <w:p>
            <w:pPr>
              <w:pStyle w:val="0"/>
              <w:jc w:val="center"/>
            </w:pPr>
            <w:r>
              <w:rPr>
                <w:sz w:val="20"/>
              </w:rPr>
              <w:t xml:space="preserve">40</w:t>
            </w:r>
          </w:p>
        </w:tc>
        <w:tc>
          <w:tcPr>
            <w:tcW w:w="990" w:type="dxa"/>
          </w:tcPr>
          <w:p>
            <w:pPr>
              <w:pStyle w:val="0"/>
              <w:jc w:val="center"/>
            </w:pPr>
            <w:hyperlink w:history="0" w:anchor="P2433" w:tooltip="3. Знак &quot;**&quot; обозначает, что расстояние принимается по СП 8.13130.">
              <w:r>
                <w:rPr>
                  <w:sz w:val="20"/>
                  <w:color w:val="0000ff"/>
                </w:rPr>
                <w:t xml:space="preserve">**</w:t>
              </w:r>
            </w:hyperlink>
          </w:p>
        </w:tc>
        <w:tc>
          <w:tcPr>
            <w:tcW w:w="990" w:type="dxa"/>
          </w:tcPr>
          <w:p>
            <w:pPr>
              <w:pStyle w:val="0"/>
              <w:jc w:val="center"/>
            </w:pPr>
            <w:hyperlink w:history="0" w:anchor="P2433" w:tooltip="3. Знак &quot;**&quot; обозначает, что расстояние принимается по СП 8.13130.">
              <w:r>
                <w:rPr>
                  <w:sz w:val="20"/>
                  <w:color w:val="0000ff"/>
                </w:rPr>
                <w:t xml:space="preserve">**</w:t>
              </w:r>
            </w:hyperlink>
          </w:p>
        </w:tc>
        <w:tc>
          <w:tcPr>
            <w:tcW w:w="990" w:type="dxa"/>
          </w:tcPr>
          <w:p>
            <w:pPr>
              <w:pStyle w:val="0"/>
              <w:jc w:val="center"/>
            </w:pPr>
            <w:hyperlink w:history="0" w:anchor="P2432" w:tooltip="2. Знак &quot;*&quot; обозначает, что расстояние принимается по разделу 6.1 (для надземных резервуаров от края наружной подошвы обвалования или защитной стенки).">
              <w:r>
                <w:rPr>
                  <w:sz w:val="20"/>
                  <w:color w:val="0000ff"/>
                </w:rPr>
                <w:t xml:space="preserve">*</w:t>
              </w:r>
            </w:hyperlink>
          </w:p>
        </w:tc>
        <w:tc>
          <w:tcPr>
            <w:tcW w:w="990" w:type="dxa"/>
          </w:tcPr>
          <w:p>
            <w:pPr>
              <w:pStyle w:val="0"/>
              <w:jc w:val="center"/>
            </w:pPr>
            <w:hyperlink w:history="0" w:anchor="P2432" w:tooltip="2. Знак &quot;*&quot; обозначает, что расстояние принимается по разделу 6.1 (для надземных резервуаров от края наружной подошвы обвалования или защитной стенки).">
              <w:r>
                <w:rPr>
                  <w:sz w:val="20"/>
                  <w:color w:val="0000ff"/>
                </w:rPr>
                <w:t xml:space="preserve">*</w:t>
              </w:r>
            </w:hyperlink>
          </w:p>
        </w:tc>
        <w:tc>
          <w:tcPr>
            <w:tcW w:w="990" w:type="dxa"/>
          </w:tcPr>
          <w:p>
            <w:pPr>
              <w:pStyle w:val="0"/>
              <w:jc w:val="center"/>
            </w:pPr>
            <w:hyperlink w:history="0" w:anchor="P2431" w:tooltip="1. Знак &quot;-&quot; обозначает, что расстояние не нормируется.">
              <w:r>
                <w:rPr>
                  <w:sz w:val="20"/>
                  <w:color w:val="0000ff"/>
                </w:rPr>
                <w:t xml:space="preserve">-</w:t>
              </w:r>
            </w:hyperlink>
          </w:p>
        </w:tc>
        <w:tc>
          <w:tcPr>
            <w:tcW w:w="990" w:type="dxa"/>
          </w:tcPr>
          <w:p>
            <w:pPr>
              <w:pStyle w:val="0"/>
              <w:jc w:val="center"/>
            </w:pPr>
            <w:hyperlink w:history="0" w:anchor="P2433" w:tooltip="3. Знак &quot;**&quot; обозначает, что расстояние принимается по СП 8.13130.">
              <w:r>
                <w:rPr>
                  <w:sz w:val="20"/>
                  <w:color w:val="0000ff"/>
                </w:rPr>
                <w:t xml:space="preserve">**</w:t>
              </w:r>
            </w:hyperlink>
          </w:p>
        </w:tc>
      </w:tr>
      <w:tr>
        <w:tc>
          <w:tcPr>
            <w:tcW w:w="825" w:type="dxa"/>
          </w:tcPr>
          <w:p>
            <w:pPr>
              <w:pStyle w:val="0"/>
              <w:jc w:val="center"/>
            </w:pPr>
            <w:r>
              <w:rPr>
                <w:sz w:val="20"/>
              </w:rPr>
              <w:t xml:space="preserve">12</w:t>
            </w:r>
          </w:p>
        </w:tc>
        <w:tc>
          <w:tcPr>
            <w:tcW w:w="3135" w:type="dxa"/>
          </w:tcPr>
          <w:p>
            <w:pPr>
              <w:pStyle w:val="0"/>
              <w:jc w:val="both"/>
            </w:pPr>
            <w:r>
              <w:rPr>
                <w:sz w:val="20"/>
              </w:rPr>
              <w:t xml:space="preserve">Открытая стоянка для автомашин (бензин, СУГ)</w:t>
            </w:r>
          </w:p>
        </w:tc>
        <w:tc>
          <w:tcPr>
            <w:tcW w:w="1320" w:type="dxa"/>
          </w:tcPr>
          <w:p>
            <w:pPr>
              <w:pStyle w:val="0"/>
              <w:jc w:val="center"/>
            </w:pPr>
            <w:r>
              <w:rPr>
                <w:sz w:val="20"/>
              </w:rPr>
              <w:t xml:space="preserve">40</w:t>
            </w:r>
          </w:p>
        </w:tc>
        <w:tc>
          <w:tcPr>
            <w:tcW w:w="1650" w:type="dxa"/>
          </w:tcPr>
          <w:p>
            <w:pPr>
              <w:pStyle w:val="0"/>
              <w:jc w:val="center"/>
            </w:pPr>
            <w:r>
              <w:rPr>
                <w:sz w:val="20"/>
              </w:rPr>
              <w:t xml:space="preserve">30</w:t>
            </w:r>
          </w:p>
        </w:tc>
        <w:tc>
          <w:tcPr>
            <w:tcW w:w="990" w:type="dxa"/>
          </w:tcPr>
          <w:p>
            <w:pPr>
              <w:pStyle w:val="0"/>
              <w:jc w:val="center"/>
            </w:pPr>
            <w:r>
              <w:rPr>
                <w:sz w:val="20"/>
              </w:rPr>
              <w:t xml:space="preserve">40</w:t>
            </w:r>
          </w:p>
        </w:tc>
        <w:tc>
          <w:tcPr>
            <w:tcW w:w="825" w:type="dxa"/>
          </w:tcPr>
          <w:p>
            <w:pPr>
              <w:pStyle w:val="0"/>
              <w:jc w:val="center"/>
            </w:pPr>
            <w:r>
              <w:rPr>
                <w:sz w:val="20"/>
              </w:rPr>
              <w:t xml:space="preserve">30</w:t>
            </w:r>
          </w:p>
        </w:tc>
        <w:tc>
          <w:tcPr>
            <w:tcW w:w="990" w:type="dxa"/>
          </w:tcPr>
          <w:p>
            <w:pPr>
              <w:pStyle w:val="0"/>
              <w:jc w:val="center"/>
            </w:pPr>
            <w:hyperlink w:history="0" w:anchor="P2432" w:tooltip="2. Знак &quot;*&quot; обозначает, что расстояние принимается по разделу 6.1 (для надземных резервуаров от края наружной подошвы обвалования или защитной стенки).">
              <w:r>
                <w:rPr>
                  <w:sz w:val="20"/>
                  <w:color w:val="0000ff"/>
                </w:rPr>
                <w:t xml:space="preserve">*</w:t>
              </w:r>
            </w:hyperlink>
          </w:p>
        </w:tc>
        <w:tc>
          <w:tcPr>
            <w:tcW w:w="990" w:type="dxa"/>
          </w:tcPr>
          <w:p>
            <w:pPr>
              <w:pStyle w:val="0"/>
              <w:jc w:val="center"/>
            </w:pPr>
            <w:hyperlink w:history="0" w:anchor="P2434" w:tooltip="4. Знак &quot;***&quot; обозначает, что расстояние принимается не менее указанного в подразделе 6.11.">
              <w:r>
                <w:rPr>
                  <w:sz w:val="20"/>
                  <w:color w:val="0000ff"/>
                </w:rPr>
                <w:t xml:space="preserve">***</w:t>
              </w:r>
            </w:hyperlink>
          </w:p>
        </w:tc>
        <w:tc>
          <w:tcPr>
            <w:tcW w:w="990" w:type="dxa"/>
          </w:tcPr>
          <w:p>
            <w:pPr>
              <w:pStyle w:val="0"/>
              <w:jc w:val="center"/>
            </w:pPr>
            <w:hyperlink w:history="0" w:anchor="P2432" w:tooltip="2. Знак &quot;*&quot; обозначает, что расстояние принимается по разделу 6.1 (для надземных резервуаров от края наружной подошвы обвалования или защитной стенки).">
              <w:r>
                <w:rPr>
                  <w:sz w:val="20"/>
                  <w:color w:val="0000ff"/>
                </w:rPr>
                <w:t xml:space="preserve">*</w:t>
              </w:r>
            </w:hyperlink>
          </w:p>
        </w:tc>
        <w:tc>
          <w:tcPr>
            <w:tcW w:w="990" w:type="dxa"/>
          </w:tcPr>
          <w:p>
            <w:pPr>
              <w:pStyle w:val="0"/>
              <w:jc w:val="center"/>
            </w:pPr>
            <w:hyperlink w:history="0" w:anchor="P2432" w:tooltip="2. Знак &quot;*&quot; обозначает, что расстояние принимается по разделу 6.1 (для надземных резервуаров от края наружной подошвы обвалования или защитной стенки).">
              <w:r>
                <w:rPr>
                  <w:sz w:val="20"/>
                  <w:color w:val="0000ff"/>
                </w:rPr>
                <w:t xml:space="preserve">*</w:t>
              </w:r>
            </w:hyperlink>
          </w:p>
        </w:tc>
        <w:tc>
          <w:tcPr>
            <w:tcW w:w="990" w:type="dxa"/>
          </w:tcPr>
          <w:p>
            <w:pPr>
              <w:pStyle w:val="0"/>
              <w:jc w:val="center"/>
            </w:pPr>
            <w:hyperlink w:history="0" w:anchor="P2431" w:tooltip="1. Знак &quot;-&quot; обозначает, что расстояние не нормируется.">
              <w:r>
                <w:rPr>
                  <w:sz w:val="20"/>
                  <w:color w:val="0000ff"/>
                </w:rPr>
                <w:t xml:space="preserve">-</w:t>
              </w:r>
            </w:hyperlink>
          </w:p>
        </w:tc>
        <w:tc>
          <w:tcPr>
            <w:tcW w:w="990" w:type="dxa"/>
          </w:tcPr>
          <w:p>
            <w:pPr>
              <w:pStyle w:val="0"/>
              <w:jc w:val="center"/>
            </w:pPr>
            <w:r>
              <w:rPr>
                <w:sz w:val="20"/>
              </w:rPr>
              <w:t xml:space="preserve">10</w:t>
            </w:r>
          </w:p>
        </w:tc>
        <w:tc>
          <w:tcPr>
            <w:tcW w:w="990" w:type="dxa"/>
          </w:tcPr>
          <w:p>
            <w:pPr>
              <w:pStyle w:val="0"/>
              <w:jc w:val="center"/>
            </w:pPr>
            <w:hyperlink w:history="0" w:anchor="P2433" w:tooltip="3. Знак &quot;**&quot; обозначает, что расстояние принимается по СП 8.13130.">
              <w:r>
                <w:rPr>
                  <w:sz w:val="20"/>
                  <w:color w:val="0000ff"/>
                </w:rPr>
                <w:t xml:space="preserve">**</w:t>
              </w:r>
            </w:hyperlink>
          </w:p>
        </w:tc>
        <w:tc>
          <w:tcPr>
            <w:tcW w:w="990" w:type="dxa"/>
          </w:tcPr>
          <w:p>
            <w:pPr>
              <w:pStyle w:val="0"/>
              <w:jc w:val="center"/>
            </w:pPr>
            <w:hyperlink w:history="0" w:anchor="P2431" w:tooltip="1. Знак &quot;-&quot; обозначает, что расстояние не нормируется.">
              <w:r>
                <w:rPr>
                  <w:sz w:val="20"/>
                  <w:color w:val="0000ff"/>
                </w:rPr>
                <w:t xml:space="preserve">-</w:t>
              </w:r>
            </w:hyperlink>
          </w:p>
        </w:tc>
      </w:tr>
    </w:tbl>
    <w:p>
      <w:pPr>
        <w:sectPr>
          <w:headerReference w:type="default" r:id="rId212"/>
          <w:headerReference w:type="first" r:id="rId212"/>
          <w:footerReference w:type="default" r:id="rId213"/>
          <w:footerReference w:type="first" r:id="rId213"/>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Примечания.</w:t>
      </w:r>
    </w:p>
    <w:bookmarkStart w:id="2431" w:name="P2431"/>
    <w:bookmarkEnd w:id="2431"/>
    <w:p>
      <w:pPr>
        <w:pStyle w:val="0"/>
        <w:spacing w:before="200" w:line-rule="auto"/>
        <w:ind w:firstLine="540"/>
        <w:jc w:val="both"/>
      </w:pPr>
      <w:r>
        <w:rPr>
          <w:sz w:val="20"/>
        </w:rPr>
        <w:t xml:space="preserve">1. Знак "-" обозначает, что расстояние не нормируется.</w:t>
      </w:r>
    </w:p>
    <w:bookmarkStart w:id="2432" w:name="P2432"/>
    <w:bookmarkEnd w:id="2432"/>
    <w:p>
      <w:pPr>
        <w:pStyle w:val="0"/>
        <w:spacing w:before="200" w:line-rule="auto"/>
        <w:ind w:firstLine="540"/>
        <w:jc w:val="both"/>
      </w:pPr>
      <w:r>
        <w:rPr>
          <w:sz w:val="20"/>
        </w:rPr>
        <w:t xml:space="preserve">2. Знак "*" обозначает, что расстояние принимается по </w:t>
      </w:r>
      <w:hyperlink w:history="0" w:anchor="P570" w:tooltip="6.1. Общие требования к объектам класса функциональной пожарной опасности Ф5">
        <w:r>
          <w:rPr>
            <w:sz w:val="20"/>
            <w:color w:val="0000ff"/>
          </w:rPr>
          <w:t xml:space="preserve">разделу 6.1</w:t>
        </w:r>
      </w:hyperlink>
      <w:r>
        <w:rPr>
          <w:sz w:val="20"/>
        </w:rPr>
        <w:t xml:space="preserve"> (для надземных резервуаров от края наружной подошвы обвалования или защитной стенки).</w:t>
      </w:r>
    </w:p>
    <w:bookmarkStart w:id="2433" w:name="P2433"/>
    <w:bookmarkEnd w:id="2433"/>
    <w:p>
      <w:pPr>
        <w:pStyle w:val="0"/>
        <w:spacing w:before="200" w:line-rule="auto"/>
        <w:ind w:firstLine="540"/>
        <w:jc w:val="both"/>
      </w:pPr>
      <w:r>
        <w:rPr>
          <w:sz w:val="20"/>
        </w:rPr>
        <w:t xml:space="preserve">3. Знак "**" обозначает, что расстояние принимается по </w:t>
      </w:r>
      <w:hyperlink w:history="0" r:id="rId342" w:tooltip="&quot;СП 8.13130.2009. Свод правил. Системы противопожарной защиты. Источники наружного противопожарного водоснабжения. Требования пожарной безопасности&quot; (утв. Приказом МЧС России от 25.03.2009 N 178) (ред. от 09.12.2010) ------------ Утратил силу или отменен {КонсультантПлюс}">
        <w:r>
          <w:rPr>
            <w:sz w:val="20"/>
            <w:color w:val="0000ff"/>
          </w:rPr>
          <w:t xml:space="preserve">СП 8.13130</w:t>
        </w:r>
      </w:hyperlink>
      <w:r>
        <w:rPr>
          <w:sz w:val="20"/>
        </w:rPr>
        <w:t xml:space="preserve">.</w:t>
      </w:r>
    </w:p>
    <w:bookmarkStart w:id="2434" w:name="P2434"/>
    <w:bookmarkEnd w:id="2434"/>
    <w:p>
      <w:pPr>
        <w:pStyle w:val="0"/>
        <w:spacing w:before="200" w:line-rule="auto"/>
        <w:ind w:firstLine="540"/>
        <w:jc w:val="both"/>
      </w:pPr>
      <w:r>
        <w:rPr>
          <w:sz w:val="20"/>
        </w:rPr>
        <w:t xml:space="preserve">4. Знак "***" обозначает, что расстояние принимается не менее указанного в </w:t>
      </w:r>
      <w:hyperlink w:history="0" w:anchor="P3610" w:tooltip="6.11. Требования к автомобильным стоянкам">
        <w:r>
          <w:rPr>
            <w:sz w:val="20"/>
            <w:color w:val="0000ff"/>
          </w:rPr>
          <w:t xml:space="preserve">подразделе 6.11</w:t>
        </w:r>
      </w:hyperlink>
      <w:r>
        <w:rPr>
          <w:sz w:val="20"/>
        </w:rPr>
        <w:t xml:space="preserve">.</w:t>
      </w:r>
    </w:p>
    <w:p>
      <w:pPr>
        <w:pStyle w:val="0"/>
        <w:spacing w:before="200" w:line-rule="auto"/>
        <w:ind w:firstLine="540"/>
        <w:jc w:val="both"/>
      </w:pPr>
      <w:r>
        <w:rPr>
          <w:sz w:val="20"/>
        </w:rPr>
        <w:t xml:space="preserve">5. Расстояние от электрораспределительных устройств, размещенных непосредственно в производственных невзрывопожароопасных помещениях, определяется по данной таблице как для вспомогательных зданий без применения открытого огня.</w:t>
      </w:r>
    </w:p>
    <w:p>
      <w:pPr>
        <w:pStyle w:val="0"/>
        <w:ind w:firstLine="540"/>
        <w:jc w:val="both"/>
      </w:pPr>
      <w:r>
        <w:rPr>
          <w:sz w:val="20"/>
        </w:rPr>
      </w:r>
    </w:p>
    <w:p>
      <w:pPr>
        <w:pStyle w:val="0"/>
        <w:ind w:firstLine="540"/>
        <w:jc w:val="both"/>
      </w:pPr>
      <w:r>
        <w:rPr>
          <w:sz w:val="20"/>
        </w:rPr>
        <w:t xml:space="preserve">Минимальные расстояния от склада и погрузочно-разгрузочных площадок баллонов (для сжиженных газов) до зданий и сооружений различного назначения принимаются по </w:t>
      </w:r>
      <w:hyperlink w:history="0" w:anchor="P2097" w:tooltip="Таблица 32">
        <w:r>
          <w:rPr>
            <w:sz w:val="20"/>
            <w:color w:val="0000ff"/>
          </w:rPr>
          <w:t xml:space="preserve">таблицам 32</w:t>
        </w:r>
      </w:hyperlink>
      <w:r>
        <w:rPr>
          <w:sz w:val="20"/>
        </w:rPr>
        <w:t xml:space="preserve"> и </w:t>
      </w:r>
      <w:hyperlink w:history="0" w:anchor="P2242" w:tooltip="Таблица 33">
        <w:r>
          <w:rPr>
            <w:sz w:val="20"/>
            <w:color w:val="0000ff"/>
          </w:rPr>
          <w:t xml:space="preserve">33</w:t>
        </w:r>
      </w:hyperlink>
      <w:r>
        <w:rPr>
          <w:sz w:val="20"/>
        </w:rPr>
        <w:t xml:space="preserve"> настоящего свода правил.</w:t>
      </w:r>
    </w:p>
    <w:p>
      <w:pPr>
        <w:pStyle w:val="0"/>
        <w:spacing w:before="200" w:line-rule="auto"/>
        <w:ind w:firstLine="540"/>
        <w:jc w:val="both"/>
      </w:pPr>
      <w:r>
        <w:rPr>
          <w:sz w:val="20"/>
        </w:rPr>
        <w:t xml:space="preserve">Размещение складов с баллонами для сжиженных газов на территории промышленных предприятий предусматривается в соответствии с требованиями </w:t>
      </w:r>
      <w:hyperlink w:history="0" w:anchor="P570" w:tooltip="6.1. Общие требования к объектам класса функциональной пожарной опасности Ф5">
        <w:r>
          <w:rPr>
            <w:sz w:val="20"/>
            <w:color w:val="0000ff"/>
          </w:rPr>
          <w:t xml:space="preserve">подраздела 6.1</w:t>
        </w:r>
      </w:hyperlink>
      <w:r>
        <w:rPr>
          <w:sz w:val="20"/>
        </w:rPr>
        <w:t xml:space="preserve"> настоящего свода правил.</w:t>
      </w:r>
    </w:p>
    <w:p>
      <w:pPr>
        <w:pStyle w:val="0"/>
        <w:spacing w:before="200" w:line-rule="auto"/>
        <w:ind w:firstLine="540"/>
        <w:jc w:val="both"/>
      </w:pPr>
      <w:r>
        <w:rPr>
          <w:sz w:val="20"/>
        </w:rPr>
        <w:t xml:space="preserve">6.7.31. Расстояния в свету между отдельными подземными резервуарами должны быть равны половине диаметра большего смежного резервуара, но не менее 1 м.</w:t>
      </w:r>
    </w:p>
    <w:p>
      <w:pPr>
        <w:pStyle w:val="0"/>
        <w:spacing w:before="200" w:line-rule="auto"/>
        <w:ind w:firstLine="540"/>
        <w:jc w:val="both"/>
      </w:pPr>
      <w:r>
        <w:rPr>
          <w:sz w:val="20"/>
        </w:rPr>
        <w:t xml:space="preserve">6.7.32. Внутри группы расстояния в свету между надземными резервуарами должны быть не менее диаметра наибольшего из рядом стоящих резервуаров, а при диаметре резервуаров до 2 м - не менее 2 м.</w:t>
      </w:r>
    </w:p>
    <w:p>
      <w:pPr>
        <w:pStyle w:val="0"/>
        <w:spacing w:before="200" w:line-rule="auto"/>
        <w:ind w:firstLine="540"/>
        <w:jc w:val="both"/>
      </w:pPr>
      <w:r>
        <w:rPr>
          <w:sz w:val="20"/>
        </w:rPr>
        <w:t xml:space="preserve">Расстояние между рядами надземных резервуаров, размещаемых в два ряда и более, принимается равным длине наибольшего резервуара, но не менее 10 м.</w:t>
      </w:r>
    </w:p>
    <w:p>
      <w:pPr>
        <w:pStyle w:val="0"/>
        <w:spacing w:before="200" w:line-rule="auto"/>
        <w:ind w:firstLine="540"/>
        <w:jc w:val="both"/>
      </w:pPr>
      <w:r>
        <w:rPr>
          <w:sz w:val="20"/>
        </w:rPr>
        <w:t xml:space="preserve">6.7.33. Ограждение резервуаров посредством обвалования или ограждающих стен должно отвечать требованиям </w:t>
      </w:r>
      <w:hyperlink w:history="0" r:id="rId343" w:tooltip="&quot;ГОСТ Р 53324-2009. Национальный стандарт Российской Федерации. Ограждения резервуаров. Требования пожарной безопасности&quot; (утв. Приказом Ростехрегулирования от 18.02.2009 N 100-ст) {КонсультантПлюс}">
        <w:r>
          <w:rPr>
            <w:sz w:val="20"/>
            <w:color w:val="0000ff"/>
          </w:rPr>
          <w:t xml:space="preserve">ГОСТ Р 53324</w:t>
        </w:r>
      </w:hyperlink>
      <w:r>
        <w:rPr>
          <w:sz w:val="20"/>
        </w:rPr>
        <w:t xml:space="preserve">.</w:t>
      </w:r>
    </w:p>
    <w:p>
      <w:pPr>
        <w:pStyle w:val="0"/>
        <w:spacing w:before="200" w:line-rule="auto"/>
        <w:ind w:firstLine="540"/>
        <w:jc w:val="both"/>
      </w:pPr>
      <w:r>
        <w:rPr>
          <w:sz w:val="20"/>
        </w:rPr>
        <w:t xml:space="preserve">6.7.34. Для слива газа из переполненных баллонов и неиспарившегося газа предусматриваются резервуары, размещаемые:</w:t>
      </w:r>
    </w:p>
    <w:p>
      <w:pPr>
        <w:pStyle w:val="0"/>
        <w:spacing w:before="200" w:line-rule="auto"/>
        <w:ind w:firstLine="540"/>
        <w:jc w:val="both"/>
      </w:pPr>
      <w:r>
        <w:rPr>
          <w:sz w:val="20"/>
        </w:rPr>
        <w:t xml:space="preserve">- в пределах базы хранения - при общей вместимости резервуаров свыше 10 м</w:t>
      </w:r>
      <w:r>
        <w:rPr>
          <w:sz w:val="20"/>
          <w:vertAlign w:val="superscript"/>
        </w:rPr>
        <w:t xml:space="preserve">3</w:t>
      </w:r>
      <w:r>
        <w:rPr>
          <w:sz w:val="20"/>
        </w:rPr>
        <w:t xml:space="preserve">;</w:t>
      </w:r>
    </w:p>
    <w:p>
      <w:pPr>
        <w:pStyle w:val="0"/>
        <w:spacing w:before="200" w:line-rule="auto"/>
        <w:ind w:firstLine="540"/>
        <w:jc w:val="both"/>
      </w:pPr>
      <w:r>
        <w:rPr>
          <w:sz w:val="20"/>
        </w:rPr>
        <w:t xml:space="preserve">- на расстоянии не менее 3 м от здания наполнительного цеха (на непроезжей территории) - при общей вместимости резервуаров до 10 м</w:t>
      </w:r>
      <w:r>
        <w:rPr>
          <w:sz w:val="20"/>
          <w:vertAlign w:val="superscript"/>
        </w:rPr>
        <w:t xml:space="preserve">3</w:t>
      </w:r>
      <w:r>
        <w:rPr>
          <w:sz w:val="20"/>
        </w:rPr>
        <w:t xml:space="preserve">.</w:t>
      </w:r>
    </w:p>
    <w:p>
      <w:pPr>
        <w:pStyle w:val="0"/>
        <w:spacing w:before="200" w:line-rule="auto"/>
        <w:ind w:firstLine="540"/>
        <w:jc w:val="both"/>
      </w:pPr>
      <w:r>
        <w:rPr>
          <w:sz w:val="20"/>
        </w:rPr>
        <w:t xml:space="preserve">6.7.35. На трубопроводах жидкой и паровой фаз к колонкам предусматриваются отключающие устройства на расстоянии не менее 10 м от колонок.</w:t>
      </w:r>
    </w:p>
    <w:p>
      <w:pPr>
        <w:pStyle w:val="0"/>
        <w:spacing w:before="200" w:line-rule="auto"/>
        <w:ind w:firstLine="540"/>
        <w:jc w:val="both"/>
      </w:pPr>
      <w:r>
        <w:rPr>
          <w:sz w:val="20"/>
        </w:rPr>
        <w:t xml:space="preserve">6.7.36. Испарительные установки, размещаемые в помещениях, устанавливаются в здании наполнительного цеха или в отдельном помещении того здания, где имеются газопотребляющие установки, или в отдельном здании, соответствующем требованиям, установленным для зданий категории А. При этом испарительные установки, располагаемые в помещениях ГНС без постоянного пребывания обслуживающего персонала, должны быть оборудованы дублирующими приборами контроля технологического процесса, размещаемыми в помещениях ГНС с обслуживающим персоналом.</w:t>
      </w:r>
    </w:p>
    <w:p>
      <w:pPr>
        <w:pStyle w:val="0"/>
        <w:spacing w:before="200" w:line-rule="auto"/>
        <w:ind w:firstLine="540"/>
        <w:jc w:val="both"/>
      </w:pPr>
      <w:r>
        <w:rPr>
          <w:sz w:val="20"/>
        </w:rPr>
        <w:t xml:space="preserve">6.7.37. Не допускается предусматривать в производственной зоне ГНС испарительные установки с применением открытого огня.</w:t>
      </w:r>
    </w:p>
    <w:p>
      <w:pPr>
        <w:pStyle w:val="0"/>
        <w:spacing w:before="200" w:line-rule="auto"/>
        <w:ind w:firstLine="540"/>
        <w:jc w:val="both"/>
      </w:pPr>
      <w:r>
        <w:rPr>
          <w:sz w:val="20"/>
        </w:rPr>
        <w:t xml:space="preserve">6.7.38. На водопроводных и канализационных колодцах, располагаемых в зоне радиусом 50 м от зданий категории А и наружных установок категории АН, необходимо предусматривать по две крышки. Пространство между крышками должно быть уплотнено материалом, исключающим проникновение газа в колодцы в случае его утечки.</w:t>
      </w:r>
    </w:p>
    <w:p>
      <w:pPr>
        <w:pStyle w:val="0"/>
        <w:spacing w:before="200" w:line-rule="auto"/>
        <w:ind w:firstLine="540"/>
        <w:jc w:val="both"/>
      </w:pPr>
      <w:r>
        <w:rPr>
          <w:sz w:val="20"/>
        </w:rPr>
        <w:t xml:space="preserve">6.7.39. На ГНС с надземными резервуарами хранения СУГ при общей вместимости резервуаров более 200 м</w:t>
      </w:r>
      <w:r>
        <w:rPr>
          <w:sz w:val="20"/>
          <w:vertAlign w:val="superscript"/>
        </w:rPr>
        <w:t xml:space="preserve">3</w:t>
      </w:r>
      <w:r>
        <w:rPr>
          <w:sz w:val="20"/>
        </w:rPr>
        <w:t xml:space="preserve"> надлежит предусматривать стационарную автоматическую систему водяного охлаждения резервуаров, которая должна обеспечивать орошение в течение 75 мин. всех боковых и торцевых поверхностей резервуаров с интенсивностью 0,1 л/(с·м</w:t>
      </w:r>
      <w:r>
        <w:rPr>
          <w:sz w:val="20"/>
          <w:vertAlign w:val="superscript"/>
        </w:rPr>
        <w:t xml:space="preserve">2</w:t>
      </w:r>
      <w:r>
        <w:rPr>
          <w:sz w:val="20"/>
        </w:rPr>
        <w:t xml:space="preserve">) и 0,5 л/(с·м</w:t>
      </w:r>
      <w:r>
        <w:rPr>
          <w:sz w:val="20"/>
          <w:vertAlign w:val="superscript"/>
        </w:rPr>
        <w:t xml:space="preserve">2</w:t>
      </w:r>
      <w:r>
        <w:rPr>
          <w:sz w:val="20"/>
        </w:rPr>
        <w:t xml:space="preserve">) для торцевых стенок, имеющих арматуру.</w:t>
      </w:r>
    </w:p>
    <w:p>
      <w:pPr>
        <w:pStyle w:val="0"/>
        <w:spacing w:before="200" w:line-rule="auto"/>
        <w:ind w:firstLine="540"/>
        <w:jc w:val="both"/>
      </w:pPr>
      <w:r>
        <w:rPr>
          <w:sz w:val="20"/>
        </w:rPr>
        <w:t xml:space="preserve">Установки водяного охлаждения резервуаров должны быть оборудованы устройствами для подключения передвижной пожарной техники.</w:t>
      </w:r>
    </w:p>
    <w:p>
      <w:pPr>
        <w:pStyle w:val="0"/>
        <w:spacing w:before="200" w:line-rule="auto"/>
        <w:ind w:firstLine="540"/>
        <w:jc w:val="both"/>
      </w:pPr>
      <w:r>
        <w:rPr>
          <w:sz w:val="20"/>
        </w:rPr>
        <w:t xml:space="preserve">Расход воды принимается из расчета одновременного орошения не менее трех резервуаров при однорядном расположении резервуаров в группе и шести резервуаров при двухрядном расположении в одной группе и учитывать дополнительно к расходу воды, принимаемому по </w:t>
      </w:r>
      <w:hyperlink w:history="0" r:id="rId344" w:tooltip="&quot;СП 8.13130.2009. Свод правил. Системы противопожарной защиты. Источники наружного противопожарного водоснабжения. Требования пожарной безопасности&quot; (утв. Приказом МЧС России от 25.03.2009 N 178) (ред. от 09.12.2010) ------------ Утратил силу или отменен {КонсультантПлюс}">
        <w:r>
          <w:rPr>
            <w:sz w:val="20"/>
            <w:color w:val="0000ff"/>
          </w:rPr>
          <w:t xml:space="preserve">СП 8.13130</w:t>
        </w:r>
      </w:hyperlink>
      <w:r>
        <w:rPr>
          <w:sz w:val="20"/>
        </w:rPr>
        <w:t xml:space="preserve">.</w:t>
      </w:r>
    </w:p>
    <w:p>
      <w:pPr>
        <w:pStyle w:val="0"/>
        <w:spacing w:before="200" w:line-rule="auto"/>
        <w:ind w:firstLine="540"/>
        <w:jc w:val="both"/>
      </w:pPr>
      <w:r>
        <w:rPr>
          <w:sz w:val="20"/>
        </w:rPr>
        <w:t xml:space="preserve">При определении общего расхода воды на наружное пожаротушение и орошение резервуаров учитывается расход воды из гидрантов в количестве 25% расхода по </w:t>
      </w:r>
      <w:hyperlink w:history="0" r:id="rId345" w:tooltip="&quot;СП 8.13130.2009. Свод правил. Системы противопожарной защиты. Источники наружного противопожарного водоснабжения. Требования пожарной безопасности&quot; (утв. Приказом МЧС России от 25.03.2009 N 178) (ред. от 09.12.2010) ------------ Утратил силу или отменен {КонсультантПлюс}">
        <w:r>
          <w:rPr>
            <w:sz w:val="20"/>
            <w:color w:val="0000ff"/>
          </w:rPr>
          <w:t xml:space="preserve">СП 8.13130</w:t>
        </w:r>
      </w:hyperlink>
      <w:r>
        <w:rPr>
          <w:sz w:val="20"/>
        </w:rPr>
        <w:t xml:space="preserve">.</w:t>
      </w:r>
    </w:p>
    <w:p>
      <w:pPr>
        <w:pStyle w:val="0"/>
        <w:spacing w:before="200" w:line-rule="auto"/>
        <w:ind w:firstLine="540"/>
        <w:jc w:val="both"/>
      </w:pPr>
      <w:r>
        <w:rPr>
          <w:sz w:val="20"/>
        </w:rPr>
        <w:t xml:space="preserve">6.7.40. Пожаротушение сливной эстакады необходимо предусматривать передвижной пожарной техникой от принятой для ГНС системы противопожарного водоснабжения.</w:t>
      </w:r>
    </w:p>
    <w:p>
      <w:pPr>
        <w:pStyle w:val="0"/>
        <w:spacing w:before="200" w:line-rule="auto"/>
        <w:ind w:firstLine="540"/>
        <w:jc w:val="both"/>
      </w:pPr>
      <w:r>
        <w:rPr>
          <w:sz w:val="20"/>
        </w:rPr>
        <w:t xml:space="preserve">6.7.41. Электроприводы насосов, компрессоров и другого оборудования, установленных в помещениях категории А, надлежит блокировать с вентиляторами вытяжных систем таким образом, чтобы они не могли работать при отключении вентиляции.</w:t>
      </w:r>
    </w:p>
    <w:p>
      <w:pPr>
        <w:pStyle w:val="0"/>
        <w:spacing w:before="200" w:line-rule="auto"/>
        <w:ind w:firstLine="540"/>
        <w:jc w:val="both"/>
      </w:pPr>
      <w:r>
        <w:rPr>
          <w:sz w:val="20"/>
        </w:rPr>
        <w:t xml:space="preserve">6.7.42. Утратил силу. - </w:t>
      </w:r>
      <w:hyperlink w:history="0" r:id="rId346"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w:t>
        </w:r>
      </w:hyperlink>
      <w:r>
        <w:rPr>
          <w:sz w:val="20"/>
        </w:rPr>
        <w:t xml:space="preserve"> МЧС России от 14.02.2020 N 89.</w:t>
      </w:r>
    </w:p>
    <w:bookmarkStart w:id="2457" w:name="P2457"/>
    <w:bookmarkEnd w:id="2457"/>
    <w:p>
      <w:pPr>
        <w:pStyle w:val="0"/>
        <w:spacing w:before="200" w:line-rule="auto"/>
        <w:ind w:firstLine="540"/>
        <w:jc w:val="both"/>
      </w:pPr>
      <w:r>
        <w:rPr>
          <w:sz w:val="20"/>
        </w:rPr>
        <w:t xml:space="preserve">6.7.43. Электроприемники зданий и сооружений ГНС (ГНП) в отношении обеспечения надежности электроснабжения надлежит относить к III категории за исключением электроприемников противопожарной насосной станции, аварийной вентиляции и сигнализаторов довзрывоопасных концентраций, которые следует относить к I категории.</w:t>
      </w:r>
    </w:p>
    <w:p>
      <w:pPr>
        <w:pStyle w:val="0"/>
        <w:spacing w:before="200" w:line-rule="auto"/>
        <w:ind w:firstLine="540"/>
        <w:jc w:val="both"/>
      </w:pPr>
      <w:r>
        <w:rPr>
          <w:sz w:val="20"/>
        </w:rPr>
        <w:t xml:space="preserve">При невозможности питания пожарных насосов от двух независимых источников электроснабжения допускается предусматривать их подключение в соответствии с требованиями </w:t>
      </w:r>
      <w:hyperlink w:history="0" r:id="rId347" w:tooltip="&quot;СП 10.13130.2009. Свод правил. Системы противопожарной защиты. Внутренний противопожарный водопровод. Требования пожарной безопасности&quot; (утв. Приказом МЧС РФ от 25.03.2009 N 180) (ред. от 09.12.2010) ------------ Утратил силу или отменен {КонсультантПлюс}">
        <w:r>
          <w:rPr>
            <w:sz w:val="20"/>
            <w:color w:val="0000ff"/>
          </w:rPr>
          <w:t xml:space="preserve">СП 10.13130</w:t>
        </w:r>
      </w:hyperlink>
      <w:r>
        <w:rPr>
          <w:sz w:val="20"/>
        </w:rPr>
        <w:t xml:space="preserve"> или предусматривать установку резервного насоса с дизельным приводом.</w:t>
      </w:r>
    </w:p>
    <w:bookmarkStart w:id="2459" w:name="P2459"/>
    <w:bookmarkEnd w:id="2459"/>
    <w:p>
      <w:pPr>
        <w:pStyle w:val="0"/>
        <w:spacing w:before="200" w:line-rule="auto"/>
        <w:ind w:firstLine="540"/>
        <w:jc w:val="both"/>
      </w:pPr>
      <w:r>
        <w:rPr>
          <w:sz w:val="20"/>
        </w:rPr>
        <w:t xml:space="preserve">6.7.44 - 6.7.45. Утратили силу. - </w:t>
      </w:r>
      <w:hyperlink w:history="0" r:id="rId348"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w:t>
        </w:r>
      </w:hyperlink>
      <w:r>
        <w:rPr>
          <w:sz w:val="20"/>
        </w:rPr>
        <w:t xml:space="preserve"> МЧС России от 14.02.2020 N 89.</w:t>
      </w:r>
    </w:p>
    <w:p>
      <w:pPr>
        <w:pStyle w:val="0"/>
        <w:ind w:firstLine="540"/>
        <w:jc w:val="both"/>
      </w:pPr>
      <w:r>
        <w:rPr>
          <w:sz w:val="20"/>
        </w:rPr>
      </w:r>
    </w:p>
    <w:p>
      <w:pPr>
        <w:pStyle w:val="2"/>
        <w:outlineLvl w:val="2"/>
        <w:ind w:firstLine="540"/>
        <w:jc w:val="both"/>
      </w:pPr>
      <w:r>
        <w:rPr>
          <w:sz w:val="20"/>
        </w:rPr>
        <w:t xml:space="preserve">6.8 Требования к складам лесных материалов</w:t>
      </w:r>
    </w:p>
    <w:p>
      <w:pPr>
        <w:pStyle w:val="0"/>
        <w:ind w:firstLine="540"/>
        <w:jc w:val="both"/>
      </w:pPr>
      <w:r>
        <w:rPr>
          <w:sz w:val="20"/>
        </w:rPr>
      </w:r>
    </w:p>
    <w:p>
      <w:pPr>
        <w:pStyle w:val="0"/>
        <w:ind w:firstLine="540"/>
        <w:jc w:val="both"/>
      </w:pPr>
      <w:r>
        <w:rPr>
          <w:sz w:val="20"/>
        </w:rPr>
        <w:t xml:space="preserve">6.8.1. Здания складов пиломатериалов должны быть предусмотрены одноэтажными.</w:t>
      </w:r>
    </w:p>
    <w:p>
      <w:pPr>
        <w:pStyle w:val="0"/>
        <w:jc w:val="both"/>
      </w:pPr>
      <w:r>
        <w:rPr>
          <w:sz w:val="20"/>
        </w:rPr>
        <w:t xml:space="preserve">(п. 6.8.1 в ред. </w:t>
      </w:r>
      <w:hyperlink w:history="0" r:id="rId349"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6.8.2. Площадь группы штабелей пиломатериалов в зданиях следует принимать не более 180 м</w:t>
      </w:r>
      <w:r>
        <w:rPr>
          <w:sz w:val="20"/>
          <w:vertAlign w:val="superscript"/>
        </w:rPr>
        <w:t xml:space="preserve">2</w:t>
      </w:r>
      <w:r>
        <w:rPr>
          <w:sz w:val="20"/>
        </w:rPr>
        <w:t xml:space="preserve"> при высоте штабелей не более 5,5 м.</w:t>
      </w:r>
    </w:p>
    <w:p>
      <w:pPr>
        <w:pStyle w:val="0"/>
        <w:spacing w:before="200" w:line-rule="auto"/>
        <w:ind w:firstLine="540"/>
        <w:jc w:val="both"/>
      </w:pPr>
      <w:r>
        <w:rPr>
          <w:sz w:val="20"/>
        </w:rPr>
        <w:t xml:space="preserve">Группы штабелей отделяются между собой продольными и поперечными разрывами шириной не менее 5 м.</w:t>
      </w:r>
    </w:p>
    <w:p>
      <w:pPr>
        <w:pStyle w:val="0"/>
        <w:spacing w:before="200" w:line-rule="auto"/>
        <w:ind w:firstLine="540"/>
        <w:jc w:val="both"/>
      </w:pPr>
      <w:r>
        <w:rPr>
          <w:sz w:val="20"/>
        </w:rPr>
        <w:t xml:space="preserve">6.8.3. Здания складов пиломатериалов размещаются на отдельных площадках. Допускается размещать здания складов и навесы на территории открытого хранения штабелей пиломатериалов, при этом здания должны быть не ниже IV степени огнестойкости и классов конструктивной пожарной опасности С2, С3. Противопожарные расстояния от зданий и навесов до штабелей пиломатериалов открытого хранения принимается не менее 30 м.</w:t>
      </w:r>
    </w:p>
    <w:bookmarkStart w:id="2468" w:name="P2468"/>
    <w:bookmarkEnd w:id="2468"/>
    <w:p>
      <w:pPr>
        <w:pStyle w:val="0"/>
        <w:spacing w:before="200" w:line-rule="auto"/>
        <w:ind w:firstLine="540"/>
        <w:jc w:val="both"/>
      </w:pPr>
      <w:r>
        <w:rPr>
          <w:sz w:val="20"/>
        </w:rPr>
        <w:t xml:space="preserve">6.8.4. В каждой группе должно быть не более 10 зданий и навесов склада пиломатериалов. При суммарной площади зданий и навесов более 4,5 га следует предусматривать противопожарные зоны шириной не менее 50 м, разделяющие склад на кварталы площадью не более 4,5 га.</w:t>
      </w:r>
    </w:p>
    <w:p>
      <w:pPr>
        <w:pStyle w:val="0"/>
        <w:spacing w:before="200" w:line-rule="auto"/>
        <w:ind w:firstLine="540"/>
        <w:jc w:val="both"/>
      </w:pPr>
      <w:r>
        <w:rPr>
          <w:sz w:val="20"/>
        </w:rPr>
        <w:t xml:space="preserve">6.8.5. Расстояния между зданиями и навесами складов пиломатериалов до других зданий предприятия принимается не менее величин, указанных в </w:t>
      </w:r>
      <w:hyperlink w:history="0" w:anchor="P2471" w:tooltip="Таблица 34">
        <w:r>
          <w:rPr>
            <w:sz w:val="20"/>
            <w:color w:val="0000ff"/>
          </w:rPr>
          <w:t xml:space="preserve">таблице 34</w:t>
        </w:r>
      </w:hyperlink>
      <w:r>
        <w:rPr>
          <w:sz w:val="20"/>
        </w:rPr>
        <w:t xml:space="preserve">.</w:t>
      </w:r>
    </w:p>
    <w:p>
      <w:pPr>
        <w:pStyle w:val="0"/>
        <w:ind w:firstLine="540"/>
        <w:jc w:val="both"/>
      </w:pPr>
      <w:r>
        <w:rPr>
          <w:sz w:val="20"/>
        </w:rPr>
      </w:r>
    </w:p>
    <w:bookmarkStart w:id="2471" w:name="P2471"/>
    <w:bookmarkEnd w:id="2471"/>
    <w:p>
      <w:pPr>
        <w:pStyle w:val="0"/>
        <w:outlineLvl w:val="3"/>
      </w:pPr>
      <w:r>
        <w:rPr>
          <w:sz w:val="20"/>
        </w:rPr>
        <w:t xml:space="preserve">Таблица 34</w:t>
      </w:r>
    </w:p>
    <w:p>
      <w:pPr>
        <w:pStyle w:val="0"/>
        <w:jc w:val="center"/>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55"/>
        <w:gridCol w:w="1650"/>
        <w:gridCol w:w="1980"/>
        <w:gridCol w:w="1320"/>
        <w:gridCol w:w="1815"/>
        <w:gridCol w:w="1650"/>
        <w:gridCol w:w="1320"/>
        <w:gridCol w:w="1320"/>
      </w:tblGrid>
      <w:tr>
        <w:tc>
          <w:tcPr>
            <w:tcW w:w="1155" w:type="dxa"/>
            <w:vMerge w:val="restart"/>
          </w:tcPr>
          <w:p>
            <w:pPr>
              <w:pStyle w:val="0"/>
              <w:jc w:val="center"/>
            </w:pPr>
            <w:r>
              <w:rPr>
                <w:sz w:val="20"/>
              </w:rPr>
              <w:t xml:space="preserve">Категория здания</w:t>
            </w:r>
          </w:p>
        </w:tc>
        <w:tc>
          <w:tcPr>
            <w:tcW w:w="1650" w:type="dxa"/>
            <w:vMerge w:val="restart"/>
          </w:tcPr>
          <w:p>
            <w:pPr>
              <w:pStyle w:val="0"/>
              <w:jc w:val="center"/>
            </w:pPr>
            <w:r>
              <w:rPr>
                <w:sz w:val="20"/>
              </w:rPr>
              <w:t xml:space="preserve">Степень огнестойкости здания</w:t>
            </w:r>
          </w:p>
        </w:tc>
        <w:tc>
          <w:tcPr>
            <w:tcW w:w="1980" w:type="dxa"/>
            <w:vMerge w:val="restart"/>
          </w:tcPr>
          <w:p>
            <w:pPr>
              <w:pStyle w:val="0"/>
              <w:jc w:val="center"/>
            </w:pPr>
            <w:r>
              <w:rPr>
                <w:sz w:val="20"/>
              </w:rPr>
              <w:t xml:space="preserve">Класс конструктивной пожарной опасности</w:t>
            </w:r>
          </w:p>
        </w:tc>
        <w:tc>
          <w:tcPr>
            <w:tcW w:w="1320" w:type="dxa"/>
            <w:vMerge w:val="restart"/>
          </w:tcPr>
          <w:p>
            <w:pPr>
              <w:pStyle w:val="0"/>
              <w:jc w:val="center"/>
            </w:pPr>
            <w:r>
              <w:rPr>
                <w:sz w:val="20"/>
              </w:rPr>
              <w:t xml:space="preserve">Площадь этажа, м</w:t>
            </w:r>
            <w:r>
              <w:rPr>
                <w:sz w:val="20"/>
                <w:vertAlign w:val="superscript"/>
              </w:rPr>
              <w:t xml:space="preserve">2</w:t>
            </w:r>
            <w:r>
              <w:rPr>
                <w:sz w:val="20"/>
              </w:rPr>
              <w:t xml:space="preserve">, в пределах пожарного отсека</w:t>
            </w:r>
          </w:p>
        </w:tc>
        <w:tc>
          <w:tcPr>
            <w:gridSpan w:val="4"/>
            <w:tcW w:w="6105" w:type="dxa"/>
          </w:tcPr>
          <w:p>
            <w:pPr>
              <w:pStyle w:val="0"/>
              <w:jc w:val="center"/>
            </w:pPr>
            <w:r>
              <w:rPr>
                <w:sz w:val="20"/>
              </w:rPr>
              <w:t xml:space="preserve">Расстояния, м, между зданиями и навесами складов пиломатериалов, а также от зданий и навесов до других зданий предприятия при степени огнестойкости и конструктивной пожарной опасности зданий</w:t>
            </w:r>
          </w:p>
        </w:tc>
      </w:tr>
      <w:tr>
        <w:tc>
          <w:tcPr>
            <w:vMerge w:val="continue"/>
          </w:tcPr>
          <w:p/>
        </w:tc>
        <w:tc>
          <w:tcPr>
            <w:vMerge w:val="continue"/>
          </w:tcPr>
          <w:p/>
        </w:tc>
        <w:tc>
          <w:tcPr>
            <w:vMerge w:val="continue"/>
          </w:tcPr>
          <w:p/>
        </w:tc>
        <w:tc>
          <w:tcPr>
            <w:vMerge w:val="continue"/>
          </w:tcPr>
          <w:p/>
        </w:tc>
        <w:tc>
          <w:tcPr>
            <w:tcW w:w="1815" w:type="dxa"/>
          </w:tcPr>
          <w:p>
            <w:pPr>
              <w:pStyle w:val="0"/>
              <w:jc w:val="center"/>
            </w:pPr>
            <w:r>
              <w:rPr>
                <w:sz w:val="20"/>
              </w:rPr>
              <w:t xml:space="preserve">I, II, III; С0</w:t>
            </w:r>
          </w:p>
        </w:tc>
        <w:tc>
          <w:tcPr>
            <w:tcW w:w="1650" w:type="dxa"/>
          </w:tcPr>
          <w:p>
            <w:pPr>
              <w:pStyle w:val="0"/>
              <w:jc w:val="center"/>
            </w:pPr>
            <w:r>
              <w:rPr>
                <w:sz w:val="20"/>
              </w:rPr>
              <w:t xml:space="preserve">IV, С0, С1</w:t>
            </w:r>
          </w:p>
        </w:tc>
        <w:tc>
          <w:tcPr>
            <w:tcW w:w="1320" w:type="dxa"/>
          </w:tcPr>
          <w:p>
            <w:pPr>
              <w:pStyle w:val="0"/>
              <w:jc w:val="center"/>
            </w:pPr>
            <w:r>
              <w:rPr>
                <w:sz w:val="20"/>
              </w:rPr>
              <w:t xml:space="preserve">IV, С2, С3</w:t>
            </w:r>
          </w:p>
        </w:tc>
        <w:tc>
          <w:tcPr>
            <w:tcW w:w="1320" w:type="dxa"/>
          </w:tcPr>
          <w:p>
            <w:pPr>
              <w:pStyle w:val="0"/>
              <w:jc w:val="center"/>
            </w:pPr>
            <w:r>
              <w:rPr>
                <w:sz w:val="20"/>
              </w:rPr>
              <w:t xml:space="preserve">V</w:t>
            </w:r>
          </w:p>
        </w:tc>
      </w:tr>
      <w:tr>
        <w:tc>
          <w:tcPr>
            <w:tcW w:w="1155" w:type="dxa"/>
            <w:vMerge w:val="restart"/>
          </w:tcPr>
          <w:p>
            <w:pPr>
              <w:pStyle w:val="0"/>
              <w:jc w:val="center"/>
            </w:pPr>
            <w:r>
              <w:rPr>
                <w:sz w:val="20"/>
              </w:rPr>
              <w:t xml:space="preserve">В</w:t>
            </w:r>
          </w:p>
        </w:tc>
        <w:tc>
          <w:tcPr>
            <w:tcW w:w="1650" w:type="dxa"/>
          </w:tcPr>
          <w:p>
            <w:pPr>
              <w:pStyle w:val="0"/>
              <w:jc w:val="center"/>
            </w:pPr>
            <w:r>
              <w:rPr>
                <w:sz w:val="20"/>
              </w:rPr>
              <w:t xml:space="preserve">I, II, III</w:t>
            </w:r>
          </w:p>
        </w:tc>
        <w:tc>
          <w:tcPr>
            <w:tcW w:w="1980" w:type="dxa"/>
          </w:tcPr>
          <w:p>
            <w:pPr>
              <w:pStyle w:val="0"/>
              <w:jc w:val="center"/>
            </w:pPr>
            <w:r>
              <w:rPr>
                <w:sz w:val="20"/>
              </w:rPr>
              <w:t xml:space="preserve">С0</w:t>
            </w:r>
          </w:p>
        </w:tc>
        <w:tc>
          <w:tcPr>
            <w:tcW w:w="1320" w:type="dxa"/>
          </w:tcPr>
          <w:p>
            <w:pPr>
              <w:pStyle w:val="0"/>
              <w:jc w:val="center"/>
            </w:pPr>
            <w:r>
              <w:rPr>
                <w:sz w:val="20"/>
              </w:rPr>
              <w:t xml:space="preserve">9600</w:t>
            </w:r>
          </w:p>
        </w:tc>
        <w:tc>
          <w:tcPr>
            <w:tcW w:w="1815" w:type="dxa"/>
          </w:tcPr>
          <w:p>
            <w:pPr>
              <w:pStyle w:val="0"/>
              <w:jc w:val="center"/>
            </w:pPr>
            <w:r>
              <w:rPr>
                <w:sz w:val="20"/>
              </w:rPr>
              <w:t xml:space="preserve">10</w:t>
            </w:r>
          </w:p>
        </w:tc>
        <w:tc>
          <w:tcPr>
            <w:tcW w:w="1650" w:type="dxa"/>
          </w:tcPr>
          <w:p>
            <w:pPr>
              <w:pStyle w:val="0"/>
              <w:jc w:val="center"/>
            </w:pPr>
            <w:r>
              <w:rPr>
                <w:sz w:val="20"/>
              </w:rPr>
              <w:t xml:space="preserve">12</w:t>
            </w:r>
          </w:p>
        </w:tc>
        <w:tc>
          <w:tcPr>
            <w:tcW w:w="1320" w:type="dxa"/>
          </w:tcPr>
          <w:p>
            <w:pPr>
              <w:pStyle w:val="0"/>
              <w:jc w:val="center"/>
            </w:pPr>
            <w:r>
              <w:rPr>
                <w:sz w:val="20"/>
              </w:rPr>
              <w:t xml:space="preserve">15</w:t>
            </w:r>
          </w:p>
        </w:tc>
        <w:tc>
          <w:tcPr>
            <w:tcW w:w="1320" w:type="dxa"/>
          </w:tcPr>
          <w:p>
            <w:pPr>
              <w:pStyle w:val="0"/>
              <w:jc w:val="center"/>
            </w:pPr>
            <w:r>
              <w:rPr>
                <w:sz w:val="20"/>
              </w:rPr>
              <w:t xml:space="preserve">20</w:t>
            </w:r>
          </w:p>
        </w:tc>
      </w:tr>
      <w:tr>
        <w:tc>
          <w:tcPr>
            <w:vMerge w:val="continue"/>
          </w:tcPr>
          <w:p/>
        </w:tc>
        <w:tc>
          <w:tcPr>
            <w:tcW w:w="1650" w:type="dxa"/>
          </w:tcPr>
          <w:p>
            <w:pPr>
              <w:pStyle w:val="0"/>
              <w:jc w:val="center"/>
            </w:pPr>
            <w:r>
              <w:rPr>
                <w:sz w:val="20"/>
              </w:rPr>
              <w:t xml:space="preserve">IV</w:t>
            </w:r>
          </w:p>
        </w:tc>
        <w:tc>
          <w:tcPr>
            <w:tcW w:w="1980" w:type="dxa"/>
          </w:tcPr>
          <w:p>
            <w:pPr>
              <w:pStyle w:val="0"/>
              <w:jc w:val="center"/>
            </w:pPr>
            <w:r>
              <w:rPr>
                <w:sz w:val="20"/>
              </w:rPr>
              <w:t xml:space="preserve">С0, С1</w:t>
            </w:r>
          </w:p>
        </w:tc>
        <w:tc>
          <w:tcPr>
            <w:tcW w:w="1320" w:type="dxa"/>
          </w:tcPr>
          <w:p>
            <w:pPr>
              <w:pStyle w:val="0"/>
              <w:jc w:val="center"/>
            </w:pPr>
            <w:r>
              <w:rPr>
                <w:sz w:val="20"/>
              </w:rPr>
              <w:t xml:space="preserve">4800</w:t>
            </w:r>
          </w:p>
        </w:tc>
        <w:tc>
          <w:tcPr>
            <w:tcW w:w="1815" w:type="dxa"/>
          </w:tcPr>
          <w:p>
            <w:pPr>
              <w:pStyle w:val="0"/>
              <w:jc w:val="center"/>
            </w:pPr>
            <w:r>
              <w:rPr>
                <w:sz w:val="20"/>
              </w:rPr>
              <w:t xml:space="preserve">12</w:t>
            </w:r>
          </w:p>
        </w:tc>
        <w:tc>
          <w:tcPr>
            <w:tcW w:w="1650" w:type="dxa"/>
          </w:tcPr>
          <w:p>
            <w:pPr>
              <w:pStyle w:val="0"/>
              <w:jc w:val="center"/>
            </w:pPr>
            <w:r>
              <w:rPr>
                <w:sz w:val="20"/>
              </w:rPr>
              <w:t xml:space="preserve">15</w:t>
            </w:r>
          </w:p>
        </w:tc>
        <w:tc>
          <w:tcPr>
            <w:tcW w:w="1320" w:type="dxa"/>
          </w:tcPr>
          <w:p>
            <w:pPr>
              <w:pStyle w:val="0"/>
              <w:jc w:val="center"/>
            </w:pPr>
            <w:r>
              <w:rPr>
                <w:sz w:val="20"/>
              </w:rPr>
              <w:t xml:space="preserve">20</w:t>
            </w:r>
          </w:p>
        </w:tc>
        <w:tc>
          <w:tcPr>
            <w:tcW w:w="1320" w:type="dxa"/>
          </w:tcPr>
          <w:p>
            <w:pPr>
              <w:pStyle w:val="0"/>
              <w:jc w:val="center"/>
            </w:pPr>
            <w:r>
              <w:rPr>
                <w:sz w:val="20"/>
              </w:rPr>
              <w:t xml:space="preserve">25</w:t>
            </w:r>
          </w:p>
        </w:tc>
      </w:tr>
      <w:tr>
        <w:tc>
          <w:tcPr>
            <w:vMerge w:val="continue"/>
          </w:tcPr>
          <w:p/>
        </w:tc>
        <w:tc>
          <w:tcPr>
            <w:tcW w:w="1650" w:type="dxa"/>
          </w:tcPr>
          <w:p>
            <w:pPr>
              <w:pStyle w:val="0"/>
              <w:jc w:val="center"/>
            </w:pPr>
            <w:r>
              <w:rPr>
                <w:sz w:val="20"/>
              </w:rPr>
              <w:t xml:space="preserve">IV</w:t>
            </w:r>
          </w:p>
        </w:tc>
        <w:tc>
          <w:tcPr>
            <w:tcW w:w="1980" w:type="dxa"/>
          </w:tcPr>
          <w:p>
            <w:pPr>
              <w:pStyle w:val="0"/>
              <w:jc w:val="center"/>
            </w:pPr>
            <w:r>
              <w:rPr>
                <w:sz w:val="20"/>
              </w:rPr>
              <w:t xml:space="preserve">С2, С3</w:t>
            </w:r>
          </w:p>
        </w:tc>
        <w:tc>
          <w:tcPr>
            <w:tcW w:w="1320" w:type="dxa"/>
          </w:tcPr>
          <w:p>
            <w:pPr>
              <w:pStyle w:val="0"/>
              <w:jc w:val="center"/>
            </w:pPr>
            <w:r>
              <w:rPr>
                <w:sz w:val="20"/>
              </w:rPr>
              <w:t xml:space="preserve">2400</w:t>
            </w:r>
          </w:p>
        </w:tc>
        <w:tc>
          <w:tcPr>
            <w:tcW w:w="1815" w:type="dxa"/>
          </w:tcPr>
          <w:p>
            <w:pPr>
              <w:pStyle w:val="0"/>
              <w:jc w:val="center"/>
            </w:pPr>
            <w:r>
              <w:rPr>
                <w:sz w:val="20"/>
              </w:rPr>
              <w:t xml:space="preserve">15</w:t>
            </w:r>
          </w:p>
        </w:tc>
        <w:tc>
          <w:tcPr>
            <w:tcW w:w="1650" w:type="dxa"/>
          </w:tcPr>
          <w:p>
            <w:pPr>
              <w:pStyle w:val="0"/>
              <w:jc w:val="center"/>
            </w:pPr>
            <w:r>
              <w:rPr>
                <w:sz w:val="20"/>
              </w:rPr>
              <w:t xml:space="preserve">20</w:t>
            </w:r>
          </w:p>
        </w:tc>
        <w:tc>
          <w:tcPr>
            <w:tcW w:w="1320" w:type="dxa"/>
          </w:tcPr>
          <w:p>
            <w:pPr>
              <w:pStyle w:val="0"/>
              <w:jc w:val="center"/>
            </w:pPr>
            <w:r>
              <w:rPr>
                <w:sz w:val="20"/>
              </w:rPr>
              <w:t xml:space="preserve">25</w:t>
            </w:r>
          </w:p>
        </w:tc>
        <w:tc>
          <w:tcPr>
            <w:tcW w:w="1320" w:type="dxa"/>
          </w:tcPr>
          <w:p>
            <w:pPr>
              <w:pStyle w:val="0"/>
              <w:jc w:val="center"/>
            </w:pPr>
            <w:r>
              <w:rPr>
                <w:sz w:val="20"/>
              </w:rPr>
              <w:t xml:space="preserve">30</w:t>
            </w:r>
          </w:p>
        </w:tc>
      </w:tr>
      <w:tr>
        <w:tc>
          <w:tcPr>
            <w:vMerge w:val="continue"/>
          </w:tcPr>
          <w:p/>
        </w:tc>
        <w:tc>
          <w:tcPr>
            <w:tcW w:w="1650" w:type="dxa"/>
          </w:tcPr>
          <w:p>
            <w:pPr>
              <w:pStyle w:val="0"/>
              <w:jc w:val="center"/>
            </w:pPr>
            <w:r>
              <w:rPr>
                <w:sz w:val="20"/>
              </w:rPr>
              <w:t xml:space="preserve">V</w:t>
            </w:r>
          </w:p>
        </w:tc>
        <w:tc>
          <w:tcPr>
            <w:tcW w:w="1980" w:type="dxa"/>
          </w:tcPr>
          <w:p>
            <w:pPr>
              <w:pStyle w:val="0"/>
              <w:jc w:val="center"/>
            </w:pPr>
            <w:r>
              <w:rPr>
                <w:sz w:val="20"/>
              </w:rPr>
              <w:t xml:space="preserve">Не норм.</w:t>
            </w:r>
          </w:p>
        </w:tc>
        <w:tc>
          <w:tcPr>
            <w:tcW w:w="1320" w:type="dxa"/>
          </w:tcPr>
          <w:p>
            <w:pPr>
              <w:pStyle w:val="0"/>
              <w:jc w:val="center"/>
            </w:pPr>
            <w:r>
              <w:rPr>
                <w:sz w:val="20"/>
              </w:rPr>
              <w:t xml:space="preserve">1200</w:t>
            </w:r>
          </w:p>
        </w:tc>
        <w:tc>
          <w:tcPr>
            <w:tcW w:w="1815" w:type="dxa"/>
          </w:tcPr>
          <w:p>
            <w:pPr>
              <w:pStyle w:val="0"/>
              <w:jc w:val="center"/>
            </w:pPr>
            <w:r>
              <w:rPr>
                <w:sz w:val="20"/>
              </w:rPr>
              <w:t xml:space="preserve">20</w:t>
            </w:r>
          </w:p>
        </w:tc>
        <w:tc>
          <w:tcPr>
            <w:tcW w:w="1650" w:type="dxa"/>
          </w:tcPr>
          <w:p>
            <w:pPr>
              <w:pStyle w:val="0"/>
              <w:jc w:val="center"/>
            </w:pPr>
            <w:r>
              <w:rPr>
                <w:sz w:val="20"/>
              </w:rPr>
              <w:t xml:space="preserve">25</w:t>
            </w:r>
          </w:p>
        </w:tc>
        <w:tc>
          <w:tcPr>
            <w:tcW w:w="1320" w:type="dxa"/>
          </w:tcPr>
          <w:p>
            <w:pPr>
              <w:pStyle w:val="0"/>
              <w:jc w:val="center"/>
            </w:pPr>
            <w:r>
              <w:rPr>
                <w:sz w:val="20"/>
              </w:rPr>
              <w:t xml:space="preserve">30</w:t>
            </w:r>
          </w:p>
        </w:tc>
        <w:tc>
          <w:tcPr>
            <w:tcW w:w="1320" w:type="dxa"/>
          </w:tcPr>
          <w:p>
            <w:pPr>
              <w:pStyle w:val="0"/>
              <w:jc w:val="center"/>
            </w:pPr>
            <w:r>
              <w:rPr>
                <w:sz w:val="20"/>
              </w:rPr>
              <w:t xml:space="preserve">35</w:t>
            </w:r>
          </w:p>
        </w:tc>
      </w:tr>
    </w:tbl>
    <w:p>
      <w:pPr>
        <w:sectPr>
          <w:headerReference w:type="default" r:id="rId212"/>
          <w:headerReference w:type="first" r:id="rId212"/>
          <w:footerReference w:type="default" r:id="rId213"/>
          <w:footerReference w:type="first" r:id="rId213"/>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При оборудовании зданий и навесов складов лесоматериалов автоматическими установками пожаротушения указанные в </w:t>
      </w:r>
      <w:hyperlink w:history="0" w:anchor="P2471" w:tooltip="Таблица 34">
        <w:r>
          <w:rPr>
            <w:sz w:val="20"/>
            <w:color w:val="0000ff"/>
          </w:rPr>
          <w:t xml:space="preserve">таблице</w:t>
        </w:r>
      </w:hyperlink>
      <w:r>
        <w:rPr>
          <w:sz w:val="20"/>
        </w:rPr>
        <w:t xml:space="preserve"> площади этажа в пределах пожарного отсека допускается увеличивать на 100%, за исключением зданий и навесов IV степени огнестойкости всех классов конструктивной пожарной опасности, а также зданий и навесов V степени огнестойкости.</w:t>
      </w:r>
    </w:p>
    <w:p>
      <w:pPr>
        <w:pStyle w:val="0"/>
        <w:spacing w:before="200" w:line-rule="auto"/>
        <w:ind w:firstLine="540"/>
        <w:jc w:val="both"/>
      </w:pPr>
      <w:r>
        <w:rPr>
          <w:sz w:val="20"/>
        </w:rPr>
        <w:t xml:space="preserve">6.8.6. Расстояние от ограждения склада до штабелей и куч открытого хранения лесоматериалов должно быть не менее их расчетной высоты, но не менее 15 м, закрытого склада лесоматериалов - не менее 20 м.</w:t>
      </w:r>
    </w:p>
    <w:p>
      <w:pPr>
        <w:pStyle w:val="0"/>
        <w:spacing w:before="200" w:line-rule="auto"/>
        <w:ind w:firstLine="540"/>
        <w:jc w:val="both"/>
      </w:pPr>
      <w:r>
        <w:rPr>
          <w:sz w:val="20"/>
        </w:rPr>
        <w:t xml:space="preserve">При расположении складов лесоматериалов на огражденных охраняемых территориях промышленных предприятий ограждение складов лесоматериалов не требуется.</w:t>
      </w:r>
    </w:p>
    <w:p>
      <w:pPr>
        <w:pStyle w:val="0"/>
        <w:spacing w:before="200" w:line-rule="auto"/>
        <w:ind w:firstLine="540"/>
        <w:jc w:val="both"/>
      </w:pPr>
      <w:r>
        <w:rPr>
          <w:sz w:val="20"/>
        </w:rPr>
        <w:t xml:space="preserve">6.8.7. Площадь группы штабелей пиломатериалов открытого хранения должна быть не более 1200 м</w:t>
      </w:r>
      <w:r>
        <w:rPr>
          <w:sz w:val="20"/>
          <w:vertAlign w:val="superscript"/>
        </w:rPr>
        <w:t xml:space="preserve">2</w:t>
      </w:r>
      <w:r>
        <w:rPr>
          <w:sz w:val="20"/>
        </w:rPr>
        <w:t xml:space="preserve">.</w:t>
      </w:r>
    </w:p>
    <w:p>
      <w:pPr>
        <w:pStyle w:val="0"/>
        <w:spacing w:before="200" w:line-rule="auto"/>
        <w:ind w:firstLine="540"/>
        <w:jc w:val="both"/>
      </w:pPr>
      <w:r>
        <w:rPr>
          <w:sz w:val="20"/>
        </w:rPr>
        <w:t xml:space="preserve">Группы штабелей отделяются между собой продольными и поперечными разрывами. Ширина продольных разрывов должна быть не менее полуторной высоты, поперечных - не менее одной высоты штабелей.</w:t>
      </w:r>
    </w:p>
    <w:p>
      <w:pPr>
        <w:pStyle w:val="0"/>
        <w:spacing w:before="200" w:line-rule="auto"/>
        <w:ind w:firstLine="540"/>
        <w:jc w:val="both"/>
      </w:pPr>
      <w:r>
        <w:rPr>
          <w:sz w:val="20"/>
        </w:rPr>
        <w:t xml:space="preserve">По продольным разрывам предусматривается твердое покрытие шириной не менее 3 м для проезда пожарных машин.</w:t>
      </w:r>
    </w:p>
    <w:p>
      <w:pPr>
        <w:pStyle w:val="0"/>
        <w:spacing w:before="200" w:line-rule="auto"/>
        <w:ind w:firstLine="540"/>
        <w:jc w:val="both"/>
      </w:pPr>
      <w:r>
        <w:rPr>
          <w:sz w:val="20"/>
        </w:rPr>
        <w:t xml:space="preserve">6.8.8. Площадь квартала групп штабелей принимается не более 4,5 га, ширину - не более 100 м. В квартале допускается размещать закрытые склады пиломатериалов с учетом требований </w:t>
      </w:r>
      <w:hyperlink w:history="0" w:anchor="P2468" w:tooltip="6.8.4. В каждой группе должно быть не более 10 зданий и навесов склада пиломатериалов. При суммарной площади зданий и навесов более 4,5 га следует предусматривать противопожарные зоны шириной не менее 50 м, разделяющие склад на кварталы площадью не более 4,5 га.">
        <w:r>
          <w:rPr>
            <w:sz w:val="20"/>
            <w:color w:val="0000ff"/>
          </w:rPr>
          <w:t xml:space="preserve">пункта 6.8.4</w:t>
        </w:r>
      </w:hyperlink>
      <w:r>
        <w:rPr>
          <w:sz w:val="20"/>
        </w:rPr>
        <w:t xml:space="preserve">.</w:t>
      </w:r>
    </w:p>
    <w:p>
      <w:pPr>
        <w:pStyle w:val="0"/>
        <w:spacing w:before="200" w:line-rule="auto"/>
        <w:ind w:firstLine="540"/>
        <w:jc w:val="both"/>
      </w:pPr>
      <w:r>
        <w:rPr>
          <w:sz w:val="20"/>
        </w:rPr>
        <w:t xml:space="preserve">6.8.10. Противопожарные расстояния между кварталами склада пиломатериалов должны приниматься не менее:</w:t>
      </w:r>
    </w:p>
    <w:p>
      <w:pPr>
        <w:pStyle w:val="0"/>
        <w:spacing w:before="200" w:line-rule="auto"/>
        <w:ind w:firstLine="540"/>
        <w:jc w:val="both"/>
      </w:pPr>
      <w:r>
        <w:rPr>
          <w:sz w:val="20"/>
        </w:rPr>
        <w:t xml:space="preserve">40 м - при высоте штабелей до 7 м;</w:t>
      </w:r>
    </w:p>
    <w:p>
      <w:pPr>
        <w:pStyle w:val="0"/>
        <w:spacing w:before="200" w:line-rule="auto"/>
        <w:ind w:firstLine="540"/>
        <w:jc w:val="both"/>
      </w:pPr>
      <w:r>
        <w:rPr>
          <w:sz w:val="20"/>
        </w:rPr>
        <w:t xml:space="preserve">50 м - при высоте штабелей от 7 до 10 м;</w:t>
      </w:r>
    </w:p>
    <w:p>
      <w:pPr>
        <w:pStyle w:val="0"/>
        <w:spacing w:before="200" w:line-rule="auto"/>
        <w:ind w:firstLine="540"/>
        <w:jc w:val="both"/>
      </w:pPr>
      <w:r>
        <w:rPr>
          <w:sz w:val="20"/>
        </w:rPr>
        <w:t xml:space="preserve">60 м - при высоте штабелей от 10 до 12 м.</w:t>
      </w:r>
    </w:p>
    <w:p>
      <w:pPr>
        <w:pStyle w:val="0"/>
        <w:spacing w:before="200" w:line-rule="auto"/>
        <w:ind w:firstLine="540"/>
        <w:jc w:val="both"/>
      </w:pPr>
      <w:r>
        <w:rPr>
          <w:sz w:val="20"/>
        </w:rPr>
        <w:t xml:space="preserve">6.8.11. При суммарной площади кварталов склада пиломатериалов свыше 9 га предусматриваются противопожарные зоны шириной не менее 100 м, разделяющие склад на участки с суммарной площадью кварталов не более 9 га.</w:t>
      </w:r>
    </w:p>
    <w:p>
      <w:pPr>
        <w:pStyle w:val="0"/>
        <w:spacing w:before="200" w:line-rule="auto"/>
        <w:ind w:firstLine="540"/>
        <w:jc w:val="both"/>
      </w:pPr>
      <w:r>
        <w:rPr>
          <w:sz w:val="20"/>
        </w:rPr>
        <w:t xml:space="preserve">6.8.12. По противопожарным разрывам и зонам между кварталами, участками и у внешних сторон кварталов и участков склада пиломатериалов предусматриваются дороги с твердым покрытием шириной не менее 3 м для проезда и маневрирования основных и специальных пожарных машин. Расстояния от штабелей пиломатериалов до середины указанных дорог следует принимать с учетом угла естественного рассыпания штабелей пиломатериалов при пожаре, но не менее 8 м и не более 30 м.</w:t>
      </w:r>
    </w:p>
    <w:p>
      <w:pPr>
        <w:pStyle w:val="0"/>
        <w:spacing w:before="200" w:line-rule="auto"/>
        <w:ind w:firstLine="540"/>
        <w:jc w:val="both"/>
      </w:pPr>
      <w:r>
        <w:rPr>
          <w:sz w:val="20"/>
        </w:rPr>
        <w:t xml:space="preserve">6.8.13. Площадь квартала групп штабелей круглых лесоматериалов открытых складов принимается не более 4,5 га. Ширина каждой группы штабелей в квартале должна быть не более 50 м, квартала - не более 100 м.</w:t>
      </w:r>
    </w:p>
    <w:p>
      <w:pPr>
        <w:pStyle w:val="0"/>
        <w:spacing w:before="200" w:line-rule="auto"/>
        <w:ind w:firstLine="540"/>
        <w:jc w:val="both"/>
      </w:pPr>
      <w:r>
        <w:rPr>
          <w:sz w:val="20"/>
        </w:rPr>
        <w:t xml:space="preserve">6.8.14. Группы штабелей круглых лесоматериалов в квартале открытых складов отделяются между собой продольными и поперечными разрывами. Ширина продольных разрывов должна быть не менее полуторной высоты, а поперечных - не менее одной высоты штабелей. По продольным разрывам предусматривается твердое покрытие шириной не менее 3 м для проезда пожарных машин.</w:t>
      </w:r>
    </w:p>
    <w:p>
      <w:pPr>
        <w:pStyle w:val="0"/>
        <w:spacing w:before="200" w:line-rule="auto"/>
        <w:ind w:firstLine="540"/>
        <w:jc w:val="both"/>
      </w:pPr>
      <w:r>
        <w:rPr>
          <w:sz w:val="20"/>
        </w:rPr>
        <w:t xml:space="preserve">6.8.15. Противопожарные расстояния между кварталами открытого склада круглых лесоматериалов должны приниматься не менее:</w:t>
      </w:r>
    </w:p>
    <w:p>
      <w:pPr>
        <w:pStyle w:val="0"/>
        <w:spacing w:before="200" w:line-rule="auto"/>
        <w:ind w:firstLine="540"/>
        <w:jc w:val="both"/>
      </w:pPr>
      <w:r>
        <w:rPr>
          <w:sz w:val="20"/>
        </w:rPr>
        <w:t xml:space="preserve">30 м - при высоте штабелей до 8 м;</w:t>
      </w:r>
    </w:p>
    <w:p>
      <w:pPr>
        <w:pStyle w:val="0"/>
        <w:spacing w:before="200" w:line-rule="auto"/>
        <w:ind w:firstLine="540"/>
        <w:jc w:val="both"/>
      </w:pPr>
      <w:r>
        <w:rPr>
          <w:sz w:val="20"/>
        </w:rPr>
        <w:t xml:space="preserve">40 м - при высоте штабелей от 8 до 10 м;</w:t>
      </w:r>
    </w:p>
    <w:p>
      <w:pPr>
        <w:pStyle w:val="0"/>
        <w:spacing w:before="200" w:line-rule="auto"/>
        <w:ind w:firstLine="540"/>
        <w:jc w:val="both"/>
      </w:pPr>
      <w:r>
        <w:rPr>
          <w:sz w:val="20"/>
        </w:rPr>
        <w:t xml:space="preserve">50 м - при высоте штабелей от 10 до 12 м.</w:t>
      </w:r>
    </w:p>
    <w:p>
      <w:pPr>
        <w:pStyle w:val="0"/>
        <w:spacing w:before="200" w:line-rule="auto"/>
        <w:ind w:firstLine="540"/>
        <w:jc w:val="both"/>
      </w:pPr>
      <w:r>
        <w:rPr>
          <w:sz w:val="20"/>
        </w:rPr>
        <w:t xml:space="preserve">6.8.16. При суммарной площади кварталов открытого склада круглых лесоматериалов свыше 18 га предусматриваются противопожарные зоны шириной не менее 70 м, разделяющие склад на участки с суммарной площадью не более 18 га.</w:t>
      </w:r>
    </w:p>
    <w:p>
      <w:pPr>
        <w:pStyle w:val="0"/>
        <w:spacing w:before="200" w:line-rule="auto"/>
        <w:ind w:firstLine="540"/>
        <w:jc w:val="both"/>
      </w:pPr>
      <w:r>
        <w:rPr>
          <w:sz w:val="20"/>
        </w:rPr>
        <w:t xml:space="preserve">6.8.17. Противопожарные расстояния между продольными и поперечными сторонами прямоугольных куч, балансовой древесины, осмола и дров, а также между круглыми и кольцеобразными кучами принимаются не менее величин, указанных в </w:t>
      </w:r>
      <w:hyperlink w:history="0" w:anchor="P2534" w:tooltip="Таблица 35">
        <w:r>
          <w:rPr>
            <w:sz w:val="20"/>
            <w:color w:val="0000ff"/>
          </w:rPr>
          <w:t xml:space="preserve">таблице 35</w:t>
        </w:r>
      </w:hyperlink>
      <w:r>
        <w:rPr>
          <w:sz w:val="20"/>
        </w:rPr>
        <w:t xml:space="preserve">.</w:t>
      </w:r>
    </w:p>
    <w:p>
      <w:pPr>
        <w:pStyle w:val="0"/>
        <w:ind w:firstLine="540"/>
        <w:jc w:val="both"/>
      </w:pPr>
      <w:r>
        <w:rPr>
          <w:sz w:val="20"/>
        </w:rPr>
      </w:r>
    </w:p>
    <w:bookmarkStart w:id="2534" w:name="P2534"/>
    <w:bookmarkEnd w:id="2534"/>
    <w:p>
      <w:pPr>
        <w:pStyle w:val="0"/>
        <w:outlineLvl w:val="3"/>
      </w:pPr>
      <w:r>
        <w:rPr>
          <w:sz w:val="20"/>
        </w:rPr>
        <w:t xml:space="preserve">Таблица 35</w:t>
      </w:r>
    </w:p>
    <w:p>
      <w:pPr>
        <w:pStyle w:val="0"/>
        <w:jc w:val="center"/>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45"/>
        <w:gridCol w:w="2805"/>
        <w:gridCol w:w="2805"/>
        <w:gridCol w:w="4455"/>
      </w:tblGrid>
      <w:tr>
        <w:tc>
          <w:tcPr>
            <w:tcW w:w="2145" w:type="dxa"/>
            <w:vMerge w:val="restart"/>
          </w:tcPr>
          <w:p>
            <w:pPr>
              <w:pStyle w:val="0"/>
              <w:jc w:val="center"/>
            </w:pPr>
            <w:r>
              <w:rPr>
                <w:sz w:val="20"/>
              </w:rPr>
              <w:t xml:space="preserve">Высота куч,</w:t>
            </w:r>
          </w:p>
          <w:p>
            <w:pPr>
              <w:pStyle w:val="0"/>
              <w:jc w:val="center"/>
            </w:pPr>
            <w:r>
              <w:rPr>
                <w:sz w:val="20"/>
              </w:rPr>
              <w:t xml:space="preserve">м</w:t>
            </w:r>
          </w:p>
        </w:tc>
        <w:tc>
          <w:tcPr>
            <w:gridSpan w:val="3"/>
            <w:tcW w:w="10065" w:type="dxa"/>
          </w:tcPr>
          <w:p>
            <w:pPr>
              <w:pStyle w:val="0"/>
              <w:jc w:val="center"/>
            </w:pPr>
            <w:r>
              <w:rPr>
                <w:sz w:val="20"/>
              </w:rPr>
              <w:t xml:space="preserve">Противопожарные расстояния между кучами, м</w:t>
            </w:r>
          </w:p>
        </w:tc>
      </w:tr>
      <w:tr>
        <w:tc>
          <w:tcPr>
            <w:vMerge w:val="continue"/>
          </w:tcPr>
          <w:p/>
        </w:tc>
        <w:tc>
          <w:tcPr>
            <w:gridSpan w:val="2"/>
            <w:tcW w:w="5610" w:type="dxa"/>
          </w:tcPr>
          <w:p>
            <w:pPr>
              <w:pStyle w:val="0"/>
              <w:jc w:val="center"/>
            </w:pPr>
            <w:r>
              <w:rPr>
                <w:sz w:val="20"/>
              </w:rPr>
              <w:t xml:space="preserve">Прямоугольные кучи</w:t>
            </w:r>
          </w:p>
        </w:tc>
        <w:tc>
          <w:tcPr>
            <w:tcW w:w="4455" w:type="dxa"/>
            <w:vMerge w:val="restart"/>
          </w:tcPr>
          <w:p>
            <w:pPr>
              <w:pStyle w:val="0"/>
              <w:jc w:val="center"/>
            </w:pPr>
            <w:r>
              <w:rPr>
                <w:sz w:val="20"/>
              </w:rPr>
              <w:t xml:space="preserve">Круглые и кольцеобразные кучи</w:t>
            </w:r>
          </w:p>
        </w:tc>
      </w:tr>
      <w:tr>
        <w:tc>
          <w:tcPr>
            <w:vMerge w:val="continue"/>
          </w:tcPr>
          <w:p/>
        </w:tc>
        <w:tc>
          <w:tcPr>
            <w:tcW w:w="2805" w:type="dxa"/>
          </w:tcPr>
          <w:p>
            <w:pPr>
              <w:pStyle w:val="0"/>
              <w:jc w:val="center"/>
            </w:pPr>
            <w:r>
              <w:rPr>
                <w:sz w:val="20"/>
              </w:rPr>
              <w:t xml:space="preserve">Продольные стороны</w:t>
            </w:r>
          </w:p>
        </w:tc>
        <w:tc>
          <w:tcPr>
            <w:tcW w:w="2805" w:type="dxa"/>
          </w:tcPr>
          <w:p>
            <w:pPr>
              <w:pStyle w:val="0"/>
              <w:jc w:val="center"/>
            </w:pPr>
            <w:r>
              <w:rPr>
                <w:sz w:val="20"/>
              </w:rPr>
              <w:t xml:space="preserve">Поперечные стороны</w:t>
            </w:r>
          </w:p>
        </w:tc>
        <w:tc>
          <w:tcPr>
            <w:vMerge w:val="continue"/>
          </w:tcPr>
          <w:p/>
        </w:tc>
      </w:tr>
      <w:tr>
        <w:tc>
          <w:tcPr>
            <w:tcW w:w="2145" w:type="dxa"/>
          </w:tcPr>
          <w:p>
            <w:pPr>
              <w:pStyle w:val="0"/>
              <w:jc w:val="center"/>
            </w:pPr>
            <w:r>
              <w:rPr>
                <w:sz w:val="20"/>
              </w:rPr>
              <w:t xml:space="preserve">До 10</w:t>
            </w:r>
          </w:p>
        </w:tc>
        <w:tc>
          <w:tcPr>
            <w:tcW w:w="2805" w:type="dxa"/>
          </w:tcPr>
          <w:p>
            <w:pPr>
              <w:pStyle w:val="0"/>
              <w:jc w:val="center"/>
            </w:pPr>
            <w:r>
              <w:rPr>
                <w:sz w:val="20"/>
              </w:rPr>
              <w:t xml:space="preserve">15</w:t>
            </w:r>
          </w:p>
        </w:tc>
        <w:tc>
          <w:tcPr>
            <w:tcW w:w="2805" w:type="dxa"/>
          </w:tcPr>
          <w:p>
            <w:pPr>
              <w:pStyle w:val="0"/>
              <w:jc w:val="center"/>
            </w:pPr>
            <w:r>
              <w:rPr>
                <w:sz w:val="20"/>
              </w:rPr>
              <w:t xml:space="preserve">10</w:t>
            </w:r>
          </w:p>
        </w:tc>
        <w:tc>
          <w:tcPr>
            <w:tcW w:w="4455" w:type="dxa"/>
          </w:tcPr>
          <w:p>
            <w:pPr>
              <w:pStyle w:val="0"/>
              <w:jc w:val="center"/>
            </w:pPr>
            <w:r>
              <w:rPr>
                <w:sz w:val="20"/>
              </w:rPr>
              <w:t xml:space="preserve">10</w:t>
            </w:r>
          </w:p>
        </w:tc>
      </w:tr>
      <w:tr>
        <w:tc>
          <w:tcPr>
            <w:tcW w:w="2145" w:type="dxa"/>
          </w:tcPr>
          <w:p>
            <w:pPr>
              <w:pStyle w:val="0"/>
              <w:jc w:val="center"/>
            </w:pPr>
            <w:r>
              <w:rPr>
                <w:sz w:val="20"/>
              </w:rPr>
              <w:t xml:space="preserve">От 10 до 20</w:t>
            </w:r>
          </w:p>
        </w:tc>
        <w:tc>
          <w:tcPr>
            <w:tcW w:w="2805" w:type="dxa"/>
          </w:tcPr>
          <w:p>
            <w:pPr>
              <w:pStyle w:val="0"/>
              <w:jc w:val="center"/>
            </w:pPr>
            <w:r>
              <w:rPr>
                <w:sz w:val="20"/>
              </w:rPr>
              <w:t xml:space="preserve">25</w:t>
            </w:r>
          </w:p>
        </w:tc>
        <w:tc>
          <w:tcPr>
            <w:tcW w:w="2805" w:type="dxa"/>
          </w:tcPr>
          <w:p>
            <w:pPr>
              <w:pStyle w:val="0"/>
              <w:jc w:val="center"/>
            </w:pPr>
            <w:r>
              <w:rPr>
                <w:sz w:val="20"/>
              </w:rPr>
              <w:t xml:space="preserve">20</w:t>
            </w:r>
          </w:p>
        </w:tc>
        <w:tc>
          <w:tcPr>
            <w:tcW w:w="4455" w:type="dxa"/>
          </w:tcPr>
          <w:p>
            <w:pPr>
              <w:pStyle w:val="0"/>
              <w:jc w:val="center"/>
            </w:pPr>
            <w:r>
              <w:rPr>
                <w:sz w:val="20"/>
              </w:rPr>
              <w:t xml:space="preserve">20</w:t>
            </w:r>
          </w:p>
        </w:tc>
      </w:tr>
      <w:tr>
        <w:tc>
          <w:tcPr>
            <w:tcW w:w="2145" w:type="dxa"/>
          </w:tcPr>
          <w:p>
            <w:pPr>
              <w:pStyle w:val="0"/>
              <w:jc w:val="center"/>
            </w:pPr>
            <w:r>
              <w:rPr>
                <w:sz w:val="20"/>
              </w:rPr>
              <w:t xml:space="preserve">От 20 до 30</w:t>
            </w:r>
          </w:p>
        </w:tc>
        <w:tc>
          <w:tcPr>
            <w:tcW w:w="2805" w:type="dxa"/>
          </w:tcPr>
          <w:p>
            <w:pPr>
              <w:pStyle w:val="0"/>
              <w:jc w:val="center"/>
            </w:pPr>
            <w:r>
              <w:rPr>
                <w:sz w:val="20"/>
              </w:rPr>
              <w:t xml:space="preserve">35</w:t>
            </w:r>
          </w:p>
        </w:tc>
        <w:tc>
          <w:tcPr>
            <w:tcW w:w="2805" w:type="dxa"/>
          </w:tcPr>
          <w:p>
            <w:pPr>
              <w:pStyle w:val="0"/>
              <w:jc w:val="center"/>
            </w:pPr>
            <w:r>
              <w:rPr>
                <w:sz w:val="20"/>
              </w:rPr>
              <w:t xml:space="preserve">30</w:t>
            </w:r>
          </w:p>
        </w:tc>
        <w:tc>
          <w:tcPr>
            <w:tcW w:w="4455" w:type="dxa"/>
          </w:tcPr>
          <w:p>
            <w:pPr>
              <w:pStyle w:val="0"/>
              <w:jc w:val="center"/>
            </w:pPr>
            <w:r>
              <w:rPr>
                <w:sz w:val="20"/>
              </w:rPr>
              <w:t xml:space="preserve">30</w:t>
            </w:r>
          </w:p>
        </w:tc>
      </w:tr>
    </w:tbl>
    <w:p>
      <w:pPr>
        <w:pStyle w:val="0"/>
        <w:ind w:firstLine="540"/>
        <w:jc w:val="both"/>
      </w:pPr>
      <w:r>
        <w:rPr>
          <w:sz w:val="20"/>
        </w:rPr>
      </w:r>
    </w:p>
    <w:p>
      <w:pPr>
        <w:pStyle w:val="0"/>
        <w:ind w:firstLine="540"/>
        <w:jc w:val="both"/>
      </w:pPr>
      <w:r>
        <w:rPr>
          <w:sz w:val="20"/>
        </w:rPr>
        <w:t xml:space="preserve">6.8.18. Площадь квартала групп куч балансовой древесины, осмола и дров принимается не более 4,5 га.</w:t>
      </w:r>
    </w:p>
    <w:p>
      <w:pPr>
        <w:pStyle w:val="0"/>
        <w:spacing w:before="200" w:line-rule="auto"/>
        <w:ind w:firstLine="540"/>
        <w:jc w:val="both"/>
      </w:pPr>
      <w:r>
        <w:rPr>
          <w:sz w:val="20"/>
        </w:rPr>
        <w:t xml:space="preserve">6.8.19. Противопожарные расстояния между кварталами куч балансовой древесины, осмола и дров принимаются не менее:</w:t>
      </w:r>
    </w:p>
    <w:p>
      <w:pPr>
        <w:pStyle w:val="0"/>
        <w:spacing w:before="200" w:line-rule="auto"/>
        <w:ind w:firstLine="540"/>
        <w:jc w:val="both"/>
      </w:pPr>
      <w:r>
        <w:rPr>
          <w:sz w:val="20"/>
        </w:rPr>
        <w:t xml:space="preserve">30 м - при высоте куч до 10 м;</w:t>
      </w:r>
    </w:p>
    <w:p>
      <w:pPr>
        <w:pStyle w:val="0"/>
        <w:spacing w:before="200" w:line-rule="auto"/>
        <w:ind w:firstLine="540"/>
        <w:jc w:val="both"/>
      </w:pPr>
      <w:r>
        <w:rPr>
          <w:sz w:val="20"/>
        </w:rPr>
        <w:t xml:space="preserve">40 м - при высоте куч св. 10 до 20 м;</w:t>
      </w:r>
    </w:p>
    <w:p>
      <w:pPr>
        <w:pStyle w:val="0"/>
        <w:spacing w:before="200" w:line-rule="auto"/>
        <w:ind w:firstLine="540"/>
        <w:jc w:val="both"/>
      </w:pPr>
      <w:r>
        <w:rPr>
          <w:sz w:val="20"/>
        </w:rPr>
        <w:t xml:space="preserve">50 м - при высоте куч св. 20 до 30 м.</w:t>
      </w:r>
    </w:p>
    <w:p>
      <w:pPr>
        <w:pStyle w:val="0"/>
        <w:spacing w:before="200" w:line-rule="auto"/>
        <w:ind w:firstLine="540"/>
        <w:jc w:val="both"/>
      </w:pPr>
      <w:r>
        <w:rPr>
          <w:sz w:val="20"/>
        </w:rPr>
        <w:t xml:space="preserve">6.8.20. При суммарной площади склада балансовой древесины, осмола и дров свыше 18 га предусматриваются противопожарные зоны шириной не менее 100 м, разделяющие склад на участки суммарной площадью не более 18 га.</w:t>
      </w:r>
    </w:p>
    <w:p>
      <w:pPr>
        <w:pStyle w:val="0"/>
        <w:spacing w:before="200" w:line-rule="auto"/>
        <w:ind w:firstLine="540"/>
        <w:jc w:val="both"/>
      </w:pPr>
      <w:r>
        <w:rPr>
          <w:sz w:val="20"/>
        </w:rPr>
        <w:t xml:space="preserve">6.8.21. Противопожарные расстояния между продольными и поперечными сторонами прямоугольных куч, а также между круглыми и кольцеобразными кучами принимаются не менее величин, указанных в </w:t>
      </w:r>
      <w:hyperlink w:history="0" w:anchor="P2564" w:tooltip="Таблица 36">
        <w:r>
          <w:rPr>
            <w:sz w:val="20"/>
            <w:color w:val="0000ff"/>
          </w:rPr>
          <w:t xml:space="preserve">таблице 36</w:t>
        </w:r>
      </w:hyperlink>
      <w:r>
        <w:rPr>
          <w:sz w:val="20"/>
        </w:rPr>
        <w:t xml:space="preserve">.</w:t>
      </w:r>
    </w:p>
    <w:p>
      <w:pPr>
        <w:pStyle w:val="0"/>
        <w:ind w:firstLine="540"/>
        <w:jc w:val="both"/>
      </w:pPr>
      <w:r>
        <w:rPr>
          <w:sz w:val="20"/>
        </w:rPr>
      </w:r>
    </w:p>
    <w:bookmarkStart w:id="2564" w:name="P2564"/>
    <w:bookmarkEnd w:id="2564"/>
    <w:p>
      <w:pPr>
        <w:pStyle w:val="0"/>
        <w:outlineLvl w:val="3"/>
      </w:pPr>
      <w:r>
        <w:rPr>
          <w:sz w:val="20"/>
        </w:rPr>
        <w:t xml:space="preserve">Таблица 36</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40"/>
        <w:gridCol w:w="1980"/>
        <w:gridCol w:w="1980"/>
        <w:gridCol w:w="5610"/>
      </w:tblGrid>
      <w:tr>
        <w:tc>
          <w:tcPr>
            <w:tcW w:w="2640" w:type="dxa"/>
            <w:vMerge w:val="restart"/>
          </w:tcPr>
          <w:p>
            <w:pPr>
              <w:pStyle w:val="0"/>
              <w:jc w:val="center"/>
            </w:pPr>
            <w:r>
              <w:rPr>
                <w:sz w:val="20"/>
              </w:rPr>
              <w:t xml:space="preserve">Высота куч, м</w:t>
            </w:r>
          </w:p>
        </w:tc>
        <w:tc>
          <w:tcPr>
            <w:gridSpan w:val="3"/>
            <w:tcW w:w="9570" w:type="dxa"/>
          </w:tcPr>
          <w:p>
            <w:pPr>
              <w:pStyle w:val="0"/>
              <w:jc w:val="center"/>
            </w:pPr>
            <w:r>
              <w:rPr>
                <w:sz w:val="20"/>
              </w:rPr>
              <w:t xml:space="preserve">Противопожарные расстояния между кучами, м</w:t>
            </w:r>
          </w:p>
        </w:tc>
      </w:tr>
      <w:tr>
        <w:tc>
          <w:tcPr>
            <w:vMerge w:val="continue"/>
          </w:tcPr>
          <w:p/>
        </w:tc>
        <w:tc>
          <w:tcPr>
            <w:gridSpan w:val="2"/>
            <w:tcW w:w="3960" w:type="dxa"/>
          </w:tcPr>
          <w:p>
            <w:pPr>
              <w:pStyle w:val="0"/>
              <w:jc w:val="center"/>
            </w:pPr>
            <w:r>
              <w:rPr>
                <w:sz w:val="20"/>
              </w:rPr>
              <w:t xml:space="preserve">Прямоугольные кучи</w:t>
            </w:r>
          </w:p>
        </w:tc>
        <w:tc>
          <w:tcPr>
            <w:tcW w:w="5610" w:type="dxa"/>
            <w:vMerge w:val="restart"/>
          </w:tcPr>
          <w:p>
            <w:pPr>
              <w:pStyle w:val="0"/>
              <w:jc w:val="center"/>
            </w:pPr>
            <w:r>
              <w:rPr>
                <w:sz w:val="20"/>
              </w:rPr>
              <w:t xml:space="preserve">Круглые и кольцеобразные кучи</w:t>
            </w:r>
          </w:p>
        </w:tc>
      </w:tr>
      <w:tr>
        <w:tc>
          <w:tcPr>
            <w:vMerge w:val="continue"/>
          </w:tcPr>
          <w:p/>
        </w:tc>
        <w:tc>
          <w:tcPr>
            <w:tcW w:w="1980" w:type="dxa"/>
          </w:tcPr>
          <w:p>
            <w:pPr>
              <w:pStyle w:val="0"/>
              <w:jc w:val="center"/>
            </w:pPr>
            <w:r>
              <w:rPr>
                <w:sz w:val="20"/>
              </w:rPr>
              <w:t xml:space="preserve">Продольные стороны</w:t>
            </w:r>
          </w:p>
        </w:tc>
        <w:tc>
          <w:tcPr>
            <w:tcW w:w="1980" w:type="dxa"/>
          </w:tcPr>
          <w:p>
            <w:pPr>
              <w:pStyle w:val="0"/>
              <w:jc w:val="center"/>
            </w:pPr>
            <w:r>
              <w:rPr>
                <w:sz w:val="20"/>
              </w:rPr>
              <w:t xml:space="preserve">Поперечные стороны</w:t>
            </w:r>
          </w:p>
        </w:tc>
        <w:tc>
          <w:tcPr>
            <w:vMerge w:val="continue"/>
          </w:tcPr>
          <w:p/>
        </w:tc>
      </w:tr>
      <w:tr>
        <w:tc>
          <w:tcPr>
            <w:tcW w:w="2640" w:type="dxa"/>
          </w:tcPr>
          <w:p>
            <w:pPr>
              <w:pStyle w:val="0"/>
              <w:jc w:val="center"/>
            </w:pPr>
            <w:r>
              <w:rPr>
                <w:sz w:val="20"/>
              </w:rPr>
              <w:t xml:space="preserve">До 10</w:t>
            </w:r>
          </w:p>
        </w:tc>
        <w:tc>
          <w:tcPr>
            <w:tcW w:w="1980" w:type="dxa"/>
          </w:tcPr>
          <w:p>
            <w:pPr>
              <w:pStyle w:val="0"/>
              <w:jc w:val="center"/>
            </w:pPr>
            <w:r>
              <w:rPr>
                <w:sz w:val="20"/>
              </w:rPr>
              <w:t xml:space="preserve">15</w:t>
            </w:r>
          </w:p>
        </w:tc>
        <w:tc>
          <w:tcPr>
            <w:tcW w:w="1980" w:type="dxa"/>
          </w:tcPr>
          <w:p>
            <w:pPr>
              <w:pStyle w:val="0"/>
              <w:jc w:val="center"/>
            </w:pPr>
            <w:r>
              <w:rPr>
                <w:sz w:val="20"/>
              </w:rPr>
              <w:t xml:space="preserve">10</w:t>
            </w:r>
          </w:p>
        </w:tc>
        <w:tc>
          <w:tcPr>
            <w:tcW w:w="5610" w:type="dxa"/>
          </w:tcPr>
          <w:p>
            <w:pPr>
              <w:pStyle w:val="0"/>
              <w:jc w:val="center"/>
            </w:pPr>
            <w:r>
              <w:rPr>
                <w:sz w:val="20"/>
              </w:rPr>
              <w:t xml:space="preserve">15</w:t>
            </w:r>
          </w:p>
        </w:tc>
      </w:tr>
      <w:tr>
        <w:tc>
          <w:tcPr>
            <w:tcW w:w="2640" w:type="dxa"/>
          </w:tcPr>
          <w:p>
            <w:pPr>
              <w:pStyle w:val="0"/>
              <w:jc w:val="center"/>
            </w:pPr>
            <w:r>
              <w:rPr>
                <w:sz w:val="20"/>
              </w:rPr>
              <w:t xml:space="preserve">От 10 до 20</w:t>
            </w:r>
          </w:p>
        </w:tc>
        <w:tc>
          <w:tcPr>
            <w:tcW w:w="1980" w:type="dxa"/>
          </w:tcPr>
          <w:p>
            <w:pPr>
              <w:pStyle w:val="0"/>
              <w:jc w:val="center"/>
            </w:pPr>
            <w:r>
              <w:rPr>
                <w:sz w:val="20"/>
              </w:rPr>
              <w:t xml:space="preserve">25</w:t>
            </w:r>
          </w:p>
        </w:tc>
        <w:tc>
          <w:tcPr>
            <w:tcW w:w="1980" w:type="dxa"/>
          </w:tcPr>
          <w:p>
            <w:pPr>
              <w:pStyle w:val="0"/>
              <w:jc w:val="center"/>
            </w:pPr>
            <w:r>
              <w:rPr>
                <w:sz w:val="20"/>
              </w:rPr>
              <w:t xml:space="preserve">15</w:t>
            </w:r>
          </w:p>
        </w:tc>
        <w:tc>
          <w:tcPr>
            <w:tcW w:w="5610" w:type="dxa"/>
          </w:tcPr>
          <w:p>
            <w:pPr>
              <w:pStyle w:val="0"/>
              <w:jc w:val="center"/>
            </w:pPr>
            <w:r>
              <w:rPr>
                <w:sz w:val="20"/>
              </w:rPr>
              <w:t xml:space="preserve">20</w:t>
            </w:r>
          </w:p>
        </w:tc>
      </w:tr>
      <w:tr>
        <w:tc>
          <w:tcPr>
            <w:tcW w:w="2640" w:type="dxa"/>
          </w:tcPr>
          <w:p>
            <w:pPr>
              <w:pStyle w:val="0"/>
              <w:jc w:val="center"/>
            </w:pPr>
            <w:r>
              <w:rPr>
                <w:sz w:val="20"/>
              </w:rPr>
              <w:t xml:space="preserve">От 20 до 30</w:t>
            </w:r>
          </w:p>
        </w:tc>
        <w:tc>
          <w:tcPr>
            <w:tcW w:w="1980" w:type="dxa"/>
          </w:tcPr>
          <w:p>
            <w:pPr>
              <w:pStyle w:val="0"/>
              <w:jc w:val="center"/>
            </w:pPr>
            <w:r>
              <w:rPr>
                <w:sz w:val="20"/>
              </w:rPr>
              <w:t xml:space="preserve">35</w:t>
            </w:r>
          </w:p>
        </w:tc>
        <w:tc>
          <w:tcPr>
            <w:tcW w:w="1980" w:type="dxa"/>
          </w:tcPr>
          <w:p>
            <w:pPr>
              <w:pStyle w:val="0"/>
              <w:jc w:val="center"/>
            </w:pPr>
            <w:r>
              <w:rPr>
                <w:sz w:val="20"/>
              </w:rPr>
              <w:t xml:space="preserve">20</w:t>
            </w:r>
          </w:p>
        </w:tc>
        <w:tc>
          <w:tcPr>
            <w:tcW w:w="5610" w:type="dxa"/>
          </w:tcPr>
          <w:p>
            <w:pPr>
              <w:pStyle w:val="0"/>
              <w:jc w:val="center"/>
            </w:pPr>
            <w:r>
              <w:rPr>
                <w:sz w:val="20"/>
              </w:rPr>
              <w:t xml:space="preserve">25</w:t>
            </w:r>
          </w:p>
        </w:tc>
      </w:tr>
    </w:tbl>
    <w:p>
      <w:pPr>
        <w:sectPr>
          <w:headerReference w:type="default" r:id="rId212"/>
          <w:headerReference w:type="first" r:id="rId212"/>
          <w:footerReference w:type="default" r:id="rId213"/>
          <w:footerReference w:type="first" r:id="rId213"/>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6.8.22. Площадь квартала групп куч щепы и опилок принимается не более 4,5 га.</w:t>
      </w:r>
    </w:p>
    <w:p>
      <w:pPr>
        <w:pStyle w:val="0"/>
        <w:spacing w:before="200" w:line-rule="auto"/>
        <w:ind w:firstLine="540"/>
        <w:jc w:val="both"/>
      </w:pPr>
      <w:r>
        <w:rPr>
          <w:sz w:val="20"/>
        </w:rPr>
        <w:t xml:space="preserve">Противопожарные расстояния между кварталами куч щепы и опилок принимаются не менее:</w:t>
      </w:r>
    </w:p>
    <w:p>
      <w:pPr>
        <w:pStyle w:val="0"/>
        <w:spacing w:before="200" w:line-rule="auto"/>
        <w:ind w:firstLine="540"/>
        <w:jc w:val="both"/>
      </w:pPr>
      <w:r>
        <w:rPr>
          <w:sz w:val="20"/>
        </w:rPr>
        <w:t xml:space="preserve">20 м - при высоте куч до 10 м;</w:t>
      </w:r>
    </w:p>
    <w:p>
      <w:pPr>
        <w:pStyle w:val="0"/>
        <w:spacing w:before="200" w:line-rule="auto"/>
        <w:ind w:firstLine="540"/>
        <w:jc w:val="both"/>
      </w:pPr>
      <w:r>
        <w:rPr>
          <w:sz w:val="20"/>
        </w:rPr>
        <w:t xml:space="preserve">30 м - при высоте куч св. 10 до 20 м;</w:t>
      </w:r>
    </w:p>
    <w:p>
      <w:pPr>
        <w:pStyle w:val="0"/>
        <w:spacing w:before="200" w:line-rule="auto"/>
        <w:ind w:firstLine="540"/>
        <w:jc w:val="both"/>
      </w:pPr>
      <w:r>
        <w:rPr>
          <w:sz w:val="20"/>
        </w:rPr>
        <w:t xml:space="preserve">40 м - при высоте куч св. 20 до 30 м.</w:t>
      </w:r>
    </w:p>
    <w:p>
      <w:pPr>
        <w:pStyle w:val="0"/>
        <w:spacing w:before="200" w:line-rule="auto"/>
        <w:ind w:firstLine="540"/>
        <w:jc w:val="both"/>
      </w:pPr>
      <w:r>
        <w:rPr>
          <w:sz w:val="20"/>
        </w:rPr>
        <w:t xml:space="preserve">6.8.23. При суммарной площади склада щепы и опилок свыше 18 га предусматриваются противопожарные зоны шириной не менее 70 м, разделяющие склад на участки суммарной площадью не более 18 га.</w:t>
      </w:r>
    </w:p>
    <w:p>
      <w:pPr>
        <w:pStyle w:val="0"/>
        <w:spacing w:before="200" w:line-rule="auto"/>
        <w:ind w:firstLine="540"/>
        <w:jc w:val="both"/>
      </w:pPr>
      <w:r>
        <w:rPr>
          <w:sz w:val="20"/>
        </w:rPr>
        <w:t xml:space="preserve">6.8.24. Сооружения конвейерного транспорта (галереи, эстакады, погрузочные, разгрузочные и перегрузочные узлы), предназначенные для перемещения лесоматериалов, предусматриваются не ниже IV степени огнестойкости, с классами конструктивной пожарной опасности С0, С1.</w:t>
      </w:r>
    </w:p>
    <w:p>
      <w:pPr>
        <w:pStyle w:val="0"/>
        <w:spacing w:before="200" w:line-rule="auto"/>
        <w:ind w:firstLine="540"/>
        <w:jc w:val="both"/>
      </w:pPr>
      <w:r>
        <w:rPr>
          <w:sz w:val="20"/>
        </w:rPr>
        <w:t xml:space="preserve">6.8.25. Приводные станции конвейерного транспорта предусматриваются в зданиях не ниже IV степени огнестойкости, с классами конструктивной пожарной опасности С0, С1.</w:t>
      </w:r>
    </w:p>
    <w:p>
      <w:pPr>
        <w:pStyle w:val="0"/>
        <w:spacing w:before="200" w:line-rule="auto"/>
        <w:ind w:firstLine="540"/>
        <w:jc w:val="both"/>
      </w:pPr>
      <w:r>
        <w:rPr>
          <w:sz w:val="20"/>
        </w:rPr>
        <w:t xml:space="preserve">6.8.26. Противопожарные расстояния от границ складов лесоматериалов до границ объектов различного назначения и между складами принимаются по </w:t>
      </w:r>
      <w:hyperlink w:history="0" w:anchor="P2595" w:tooltip="Таблица 37">
        <w:r>
          <w:rPr>
            <w:sz w:val="20"/>
            <w:color w:val="0000ff"/>
          </w:rPr>
          <w:t xml:space="preserve">таблице 37</w:t>
        </w:r>
      </w:hyperlink>
      <w:r>
        <w:rPr>
          <w:sz w:val="20"/>
        </w:rPr>
        <w:t xml:space="preserve">.</w:t>
      </w:r>
    </w:p>
    <w:p>
      <w:pPr>
        <w:pStyle w:val="0"/>
        <w:ind w:firstLine="540"/>
        <w:jc w:val="both"/>
      </w:pPr>
      <w:r>
        <w:rPr>
          <w:sz w:val="20"/>
        </w:rPr>
      </w:r>
    </w:p>
    <w:bookmarkStart w:id="2595" w:name="P2595"/>
    <w:bookmarkEnd w:id="2595"/>
    <w:p>
      <w:pPr>
        <w:pStyle w:val="0"/>
        <w:outlineLvl w:val="3"/>
      </w:pPr>
      <w:r>
        <w:rPr>
          <w:sz w:val="20"/>
        </w:rPr>
        <w:t xml:space="preserve">Таблица 37</w:t>
      </w:r>
    </w:p>
    <w:p>
      <w:pPr>
        <w:pStyle w:val="0"/>
        <w:jc w:val="center"/>
      </w:pPr>
      <w:r>
        <w:rPr>
          <w:sz w:val="20"/>
        </w:rPr>
      </w:r>
    </w:p>
    <w:p>
      <w:pPr>
        <w:pStyle w:val="3"/>
        <w:jc w:val="both"/>
      </w:pPr>
      <w:r>
        <w:rPr>
          <w:sz w:val="12"/>
        </w:rPr>
        <w:t xml:space="preserve">┌───────────────────────┬──────────────────────────────────────────────────────────────────────────────────────────────────────┐</w:t>
      </w:r>
    </w:p>
    <w:p>
      <w:pPr>
        <w:pStyle w:val="3"/>
        <w:jc w:val="both"/>
      </w:pPr>
      <w:r>
        <w:rPr>
          <w:sz w:val="12"/>
        </w:rPr>
        <w:t xml:space="preserve">│ Наименование объектов │ Противопожарные расстояния, м, от границ открытых складов лесоматериалов до границ объектов и между  │</w:t>
      </w:r>
    </w:p>
    <w:p>
      <w:pPr>
        <w:pStyle w:val="3"/>
        <w:jc w:val="both"/>
      </w:pPr>
      <w:r>
        <w:rPr>
          <w:sz w:val="12"/>
        </w:rPr>
        <w:t xml:space="preserve">│                       │                                               складами                                               │</w:t>
      </w:r>
    </w:p>
    <w:p>
      <w:pPr>
        <w:pStyle w:val="3"/>
        <w:jc w:val="both"/>
      </w:pPr>
      <w:r>
        <w:rPr>
          <w:sz w:val="12"/>
        </w:rPr>
        <w:t xml:space="preserve">│                       ├────────────────────────┬─────────────────────────┬─────────────────────────┬─────────────────────────┤</w:t>
      </w:r>
    </w:p>
    <w:p>
      <w:pPr>
        <w:pStyle w:val="3"/>
        <w:jc w:val="both"/>
      </w:pPr>
      <w:r>
        <w:rPr>
          <w:sz w:val="12"/>
        </w:rPr>
        <w:t xml:space="preserve">│                       │ Круглых лесоматериалов │     Пиломатериалов      │  Балансовой древесины,  │      Щепы и опилок      │</w:t>
      </w:r>
    </w:p>
    <w:p>
      <w:pPr>
        <w:pStyle w:val="3"/>
        <w:jc w:val="both"/>
      </w:pPr>
      <w:r>
        <w:rPr>
          <w:sz w:val="12"/>
        </w:rPr>
        <w:t xml:space="preserve">│                       │вместимостью, плотных м3│вместимостью, плотных м3,│      осмола и дров      │вместимостью, плотных м3 │</w:t>
      </w:r>
    </w:p>
    <w:p>
      <w:pPr>
        <w:pStyle w:val="3"/>
        <w:jc w:val="both"/>
      </w:pPr>
      <w:r>
        <w:rPr>
          <w:sz w:val="12"/>
        </w:rPr>
        <w:t xml:space="preserve">│                       │                        │      открытых скл.      │вместимостью, плотных м3 │                         │</w:t>
      </w:r>
    </w:p>
    <w:p>
      <w:pPr>
        <w:pStyle w:val="3"/>
        <w:jc w:val="both"/>
      </w:pPr>
      <w:r>
        <w:rPr>
          <w:sz w:val="12"/>
        </w:rPr>
        <w:t xml:space="preserve">│                       │                        │      закрытых скл.      │                         │                         │</w:t>
      </w:r>
    </w:p>
    <w:p>
      <w:pPr>
        <w:pStyle w:val="3"/>
        <w:jc w:val="both"/>
      </w:pPr>
      <w:r>
        <w:rPr>
          <w:sz w:val="12"/>
        </w:rPr>
        <w:t xml:space="preserve">│                       ├──────┬────────┬────────┼──────┬───────────┬──────┼───────┬──────────┬──────┼───────┬────────┬────────┤</w:t>
      </w:r>
    </w:p>
    <w:p>
      <w:pPr>
        <w:pStyle w:val="3"/>
        <w:jc w:val="both"/>
      </w:pPr>
      <w:r>
        <w:rPr>
          <w:sz w:val="12"/>
        </w:rPr>
        <w:t xml:space="preserve">│                       │  до  │  св.   │  св.   │  до  │   св.     │ св.  │  до   │   св.    │ св.  │  до   │  св.   │  св.   │</w:t>
      </w:r>
    </w:p>
    <w:p>
      <w:pPr>
        <w:pStyle w:val="3"/>
        <w:jc w:val="both"/>
      </w:pPr>
      <w:r>
        <w:rPr>
          <w:sz w:val="12"/>
        </w:rPr>
        <w:t xml:space="preserve">│                       │10000 │ 10000  │ 500000 │10000 │  10000    │100000│ 10000 │  10000   │500000│ 10000 │ 10000  │ 500000 │</w:t>
      </w:r>
    </w:p>
    <w:p>
      <w:pPr>
        <w:pStyle w:val="3"/>
        <w:jc w:val="both"/>
      </w:pPr>
      <w:r>
        <w:rPr>
          <w:sz w:val="12"/>
        </w:rPr>
        <w:t xml:space="preserve">│                       │      │   до   │        │      │ до 100000 │      │       │   до     │      │       │   до   │        │</w:t>
      </w:r>
    </w:p>
    <w:p>
      <w:pPr>
        <w:pStyle w:val="3"/>
        <w:jc w:val="both"/>
      </w:pPr>
      <w:r>
        <w:rPr>
          <w:sz w:val="12"/>
        </w:rPr>
        <w:t xml:space="preserve">│                       │      │ 500000 │        │      │           │      │       │  500000  │      │       │ 500000 │        │</w:t>
      </w:r>
    </w:p>
    <w:p>
      <w:pPr>
        <w:pStyle w:val="3"/>
        <w:jc w:val="both"/>
      </w:pPr>
      <w:r>
        <w:rPr>
          <w:sz w:val="12"/>
        </w:rPr>
        <w:t xml:space="preserve">├───────────────────────┼──────┼────────┼────────┼──────┼───────────┼──────┼───────┼──────────┼──────┼───────┼────────┼────────┤</w:t>
      </w:r>
    </w:p>
    <w:p>
      <w:pPr>
        <w:pStyle w:val="3"/>
        <w:jc w:val="both"/>
      </w:pPr>
      <w:r>
        <w:rPr>
          <w:sz w:val="12"/>
        </w:rPr>
        <w:t xml:space="preserve">│1. Лес хвойных и       │  40  │   50   │   75   │  60  │    120    │ 180  │  60   │   120    │ 180  │  50   │   75   │  100   │</w:t>
      </w:r>
    </w:p>
    <w:p>
      <w:pPr>
        <w:pStyle w:val="3"/>
        <w:jc w:val="both"/>
      </w:pPr>
      <w:r>
        <w:rPr>
          <w:sz w:val="12"/>
        </w:rPr>
        <w:t xml:space="preserve">│смешанных пород        │      │        │        │  --  │    ---    │ ---  │       │          │      │       │        │        │</w:t>
      </w:r>
    </w:p>
    <w:p>
      <w:pPr>
        <w:pStyle w:val="3"/>
        <w:jc w:val="both"/>
      </w:pPr>
      <w:r>
        <w:rPr>
          <w:sz w:val="12"/>
        </w:rPr>
        <w:t xml:space="preserve">│                       │      │        │        │  50  │    100    │ 150  │       │          │      │       │        │        │</w:t>
      </w:r>
    </w:p>
    <w:p>
      <w:pPr>
        <w:pStyle w:val="3"/>
        <w:jc w:val="both"/>
      </w:pPr>
      <w:r>
        <w:rPr>
          <w:sz w:val="12"/>
        </w:rPr>
        <w:t xml:space="preserve">├───────────────────────┼──────┼────────┼────────┼──────┼───────────┼──────┼───────┼──────────┼──────┼───────┼────────┼────────┤</w:t>
      </w:r>
    </w:p>
    <w:p>
      <w:pPr>
        <w:pStyle w:val="3"/>
        <w:jc w:val="both"/>
      </w:pPr>
      <w:r>
        <w:rPr>
          <w:sz w:val="12"/>
        </w:rPr>
        <w:t xml:space="preserve">│2. Жилые и общественные│  40  │   60   │   80   │  50  │    100    │ 150  │  50   │   100    │ 150  │  50   │   75   │  100   │</w:t>
      </w:r>
    </w:p>
    <w:p>
      <w:pPr>
        <w:pStyle w:val="3"/>
        <w:jc w:val="both"/>
      </w:pPr>
      <w:r>
        <w:rPr>
          <w:sz w:val="12"/>
        </w:rPr>
        <w:t xml:space="preserve">│здания населенных      │      │        │        │  --  │    ---    │ ---  │       │          │      │       │        │        │</w:t>
      </w:r>
    </w:p>
    <w:p>
      <w:pPr>
        <w:pStyle w:val="3"/>
        <w:jc w:val="both"/>
      </w:pPr>
      <w:r>
        <w:rPr>
          <w:sz w:val="12"/>
        </w:rPr>
        <w:t xml:space="preserve">│пунктов                │      │        │        │  40  │    80     │ 120  │       │          │      │       │        │        │</w:t>
      </w:r>
    </w:p>
    <w:p>
      <w:pPr>
        <w:pStyle w:val="3"/>
        <w:jc w:val="both"/>
      </w:pPr>
      <w:r>
        <w:rPr>
          <w:sz w:val="12"/>
        </w:rPr>
        <w:t xml:space="preserve">├───────────────────────┼──────┼────────┼────────┼──────┼───────────┼──────┼───────┼──────────┼──────┼───────┼────────┼────────┤</w:t>
      </w:r>
    </w:p>
    <w:p>
      <w:pPr>
        <w:pStyle w:val="3"/>
        <w:jc w:val="both"/>
      </w:pPr>
      <w:r>
        <w:rPr>
          <w:sz w:val="12"/>
        </w:rPr>
        <w:t xml:space="preserve">│3. Здания категорий А и│      │        │        │      │           │      │       │          │      │       │        │        │</w:t>
      </w:r>
    </w:p>
    <w:p>
      <w:pPr>
        <w:pStyle w:val="3"/>
        <w:jc w:val="both"/>
      </w:pPr>
      <w:r>
        <w:rPr>
          <w:sz w:val="12"/>
        </w:rPr>
        <w:t xml:space="preserve">│Б:                     │      │        │        │      │           │      │       │          │      │       │        │        │</w:t>
      </w:r>
    </w:p>
    <w:p>
      <w:pPr>
        <w:pStyle w:val="3"/>
        <w:jc w:val="both"/>
      </w:pPr>
      <w:r>
        <w:rPr>
          <w:sz w:val="12"/>
        </w:rPr>
        <w:t xml:space="preserve">│                       │      │        │        │      │           │      │       │          │      │       │        │        │</w:t>
      </w:r>
    </w:p>
    <w:p>
      <w:pPr>
        <w:pStyle w:val="3"/>
        <w:jc w:val="both"/>
      </w:pPr>
      <w:r>
        <w:rPr>
          <w:sz w:val="12"/>
        </w:rPr>
        <w:t xml:space="preserve">│соседнего предприятия  │  40  │   50   │   75   │  60  │    100    │ 120  │  60   │   100    │ 120  │  40   │   50   │   60   │</w:t>
      </w:r>
    </w:p>
    <w:p>
      <w:pPr>
        <w:pStyle w:val="3"/>
        <w:jc w:val="both"/>
      </w:pPr>
      <w:r>
        <w:rPr>
          <w:sz w:val="12"/>
        </w:rPr>
        <w:t xml:space="preserve">│                       │      │        │        │  --  │    ---    │ ---  │       │          │      │       │        │        │</w:t>
      </w:r>
    </w:p>
    <w:p>
      <w:pPr>
        <w:pStyle w:val="3"/>
        <w:jc w:val="both"/>
      </w:pPr>
      <w:r>
        <w:rPr>
          <w:sz w:val="12"/>
        </w:rPr>
        <w:t xml:space="preserve">│                       │      │        │        │  50  │    75     │ 100  │       │          │      │       │        │        │</w:t>
      </w:r>
    </w:p>
    <w:p>
      <w:pPr>
        <w:pStyle w:val="3"/>
        <w:jc w:val="both"/>
      </w:pPr>
      <w:r>
        <w:rPr>
          <w:sz w:val="12"/>
        </w:rPr>
        <w:t xml:space="preserve">│                       │      │        │        │      │           │      │       │          │      │       │        │        │</w:t>
      </w:r>
    </w:p>
    <w:p>
      <w:pPr>
        <w:pStyle w:val="3"/>
        <w:jc w:val="both"/>
      </w:pPr>
      <w:r>
        <w:rPr>
          <w:sz w:val="12"/>
        </w:rPr>
        <w:t xml:space="preserve">│собственного           │  30  │   40   │   50   │  50  │    75     │ 100  │  50   │    75    │ 100  │  30   │   40   │   50   │</w:t>
      </w:r>
    </w:p>
    <w:p>
      <w:pPr>
        <w:pStyle w:val="3"/>
        <w:jc w:val="both"/>
      </w:pPr>
      <w:r>
        <w:rPr>
          <w:sz w:val="12"/>
        </w:rPr>
        <w:t xml:space="preserve">│предприятия            │      │        │        │  --  │    --     │ ---  │       │          │      │       │        │        │</w:t>
      </w:r>
    </w:p>
    <w:p>
      <w:pPr>
        <w:pStyle w:val="3"/>
        <w:jc w:val="both"/>
      </w:pPr>
      <w:r>
        <w:rPr>
          <w:sz w:val="12"/>
        </w:rPr>
        <w:t xml:space="preserve">│                       │      │        │        │  40  │    60     │  80  │       │          │      │       │        │        │</w:t>
      </w:r>
    </w:p>
    <w:p>
      <w:pPr>
        <w:pStyle w:val="3"/>
        <w:jc w:val="both"/>
      </w:pPr>
      <w:r>
        <w:rPr>
          <w:sz w:val="12"/>
        </w:rPr>
        <w:t xml:space="preserve">├───────────────────────┼──────┼────────┼────────┼──────┼───────────┼──────┼───────┼──────────┼──────┼───────┼────────┼────────┤</w:t>
      </w:r>
    </w:p>
    <w:p>
      <w:pPr>
        <w:pStyle w:val="3"/>
        <w:jc w:val="both"/>
      </w:pPr>
      <w:r>
        <w:rPr>
          <w:sz w:val="12"/>
        </w:rPr>
        <w:t xml:space="preserve">│4. Здания категорий В1 │      │        │        │      │           │      │       │          │      │       │        │        │</w:t>
      </w:r>
    </w:p>
    <w:p>
      <w:pPr>
        <w:pStyle w:val="3"/>
        <w:jc w:val="both"/>
      </w:pPr>
      <w:r>
        <w:rPr>
          <w:sz w:val="12"/>
        </w:rPr>
        <w:t xml:space="preserve">│- В3 соседнего или     │      │        │        │      │           │      │       │          │      │       │        │        │</w:t>
      </w:r>
    </w:p>
    <w:p>
      <w:pPr>
        <w:pStyle w:val="3"/>
        <w:jc w:val="both"/>
      </w:pPr>
      <w:r>
        <w:rPr>
          <w:sz w:val="12"/>
        </w:rPr>
        <w:t xml:space="preserve">│собственного           │      │        │        │      │           │      │       │          │      │       │        │        │</w:t>
      </w:r>
    </w:p>
    <w:p>
      <w:pPr>
        <w:pStyle w:val="3"/>
        <w:jc w:val="both"/>
      </w:pPr>
      <w:r>
        <w:rPr>
          <w:sz w:val="12"/>
        </w:rPr>
        <w:t xml:space="preserve">│предприятия, не        │      │        │        │      │           │      │       │          │      │       │        │        │</w:t>
      </w:r>
    </w:p>
    <w:p>
      <w:pPr>
        <w:pStyle w:val="3"/>
        <w:jc w:val="both"/>
      </w:pPr>
      <w:r>
        <w:rPr>
          <w:sz w:val="12"/>
        </w:rPr>
        <w:t xml:space="preserve">│связанные с            │      │        │        │      │           │      │       │          │      │       │        │        │</w:t>
      </w:r>
    </w:p>
    <w:p>
      <w:pPr>
        <w:pStyle w:val="3"/>
        <w:jc w:val="both"/>
      </w:pPr>
      <w:r>
        <w:rPr>
          <w:sz w:val="12"/>
        </w:rPr>
        <w:t xml:space="preserve">│производственным       │      │        │        │      │           │      │       │          │      │       │        │        │</w:t>
      </w:r>
    </w:p>
    <w:p>
      <w:pPr>
        <w:pStyle w:val="3"/>
        <w:jc w:val="both"/>
      </w:pPr>
      <w:r>
        <w:rPr>
          <w:sz w:val="12"/>
        </w:rPr>
        <w:t xml:space="preserve">│процессом на складе,   │      │        │        │      │           │      │       │          │      │       │        │        │</w:t>
      </w:r>
    </w:p>
    <w:p>
      <w:pPr>
        <w:pStyle w:val="3"/>
        <w:jc w:val="both"/>
      </w:pPr>
      <w:r>
        <w:rPr>
          <w:sz w:val="12"/>
        </w:rPr>
        <w:t xml:space="preserve">│степеней огнестойкости │      │        │        │      │           │      │       │          │      │       │        │        │</w:t>
      </w:r>
    </w:p>
    <w:p>
      <w:pPr>
        <w:pStyle w:val="3"/>
        <w:jc w:val="both"/>
      </w:pPr>
      <w:r>
        <w:rPr>
          <w:sz w:val="12"/>
        </w:rPr>
        <w:t xml:space="preserve">│и классов              │      │        │        │      │           │      │       │          │      │       │        │        │</w:t>
      </w:r>
    </w:p>
    <w:p>
      <w:pPr>
        <w:pStyle w:val="3"/>
        <w:jc w:val="both"/>
      </w:pPr>
      <w:r>
        <w:rPr>
          <w:sz w:val="12"/>
        </w:rPr>
        <w:t xml:space="preserve">│конструктивной         │      │        │        │      │           │      │       │          │      │       │        │        │</w:t>
      </w:r>
    </w:p>
    <w:p>
      <w:pPr>
        <w:pStyle w:val="3"/>
        <w:jc w:val="both"/>
      </w:pPr>
      <w:r>
        <w:rPr>
          <w:sz w:val="12"/>
        </w:rPr>
        <w:t xml:space="preserve">│пожарной опасности:    │      │        │        │      │           │      │       │          │      │       │        │        │</w:t>
      </w:r>
    </w:p>
    <w:p>
      <w:pPr>
        <w:pStyle w:val="3"/>
        <w:jc w:val="both"/>
      </w:pPr>
      <w:r>
        <w:rPr>
          <w:sz w:val="12"/>
        </w:rPr>
        <w:t xml:space="preserve">├───────────────────────┤      │        │        │      │           │      │       │          │      │       │        │        │</w:t>
      </w:r>
    </w:p>
    <w:p>
      <w:pPr>
        <w:pStyle w:val="3"/>
        <w:jc w:val="both"/>
      </w:pPr>
      <w:r>
        <w:rPr>
          <w:sz w:val="12"/>
        </w:rPr>
        <w:t xml:space="preserve">│I, II, III и С0        │  20  │   25   │   30   │  30  │    40     │  50  │  30   │    40    │  50  │  20   │   25   │   30   │</w:t>
      </w:r>
    </w:p>
    <w:p>
      <w:pPr>
        <w:pStyle w:val="3"/>
        <w:jc w:val="both"/>
      </w:pPr>
      <w:r>
        <w:rPr>
          <w:sz w:val="12"/>
        </w:rPr>
        <w:t xml:space="preserve">│                       │      │        │        │  --  │    --     │  --  │       │          │      │       │        │        │</w:t>
      </w:r>
    </w:p>
    <w:p>
      <w:pPr>
        <w:pStyle w:val="3"/>
        <w:jc w:val="both"/>
      </w:pPr>
      <w:r>
        <w:rPr>
          <w:sz w:val="12"/>
        </w:rPr>
        <w:t xml:space="preserve">│                       │      │        │        │  25  │    30     │  35  │       │          │      │       │        │        │</w:t>
      </w:r>
    </w:p>
    <w:p>
      <w:pPr>
        <w:pStyle w:val="3"/>
        <w:jc w:val="both"/>
      </w:pPr>
      <w:r>
        <w:rPr>
          <w:sz w:val="12"/>
        </w:rPr>
        <w:t xml:space="preserve">├───────────────────────┤      │        │        │      │           │      │       │          │      │       │        │        │</w:t>
      </w:r>
    </w:p>
    <w:p>
      <w:pPr>
        <w:pStyle w:val="3"/>
        <w:jc w:val="both"/>
      </w:pPr>
      <w:r>
        <w:rPr>
          <w:sz w:val="12"/>
        </w:rPr>
        <w:t xml:space="preserve">│IV и С0, С1            │  25  │   30   │   35   │  40  │    50     │  60  │  40   │    50    │  60  │  25   │   30   │   35   │</w:t>
      </w:r>
    </w:p>
    <w:p>
      <w:pPr>
        <w:pStyle w:val="3"/>
        <w:jc w:val="both"/>
      </w:pPr>
      <w:r>
        <w:rPr>
          <w:sz w:val="12"/>
        </w:rPr>
        <w:t xml:space="preserve">│                       │      │        │        │  --  │    --     │  --  │       │          │      │       │        │        │</w:t>
      </w:r>
    </w:p>
    <w:p>
      <w:pPr>
        <w:pStyle w:val="3"/>
        <w:jc w:val="both"/>
      </w:pPr>
      <w:r>
        <w:rPr>
          <w:sz w:val="12"/>
        </w:rPr>
        <w:t xml:space="preserve">│                       │      │        │        │  30  │    40     │  50  │       │          │      │       │        │        │</w:t>
      </w:r>
    </w:p>
    <w:p>
      <w:pPr>
        <w:pStyle w:val="3"/>
        <w:jc w:val="both"/>
      </w:pPr>
      <w:r>
        <w:rPr>
          <w:sz w:val="12"/>
        </w:rPr>
        <w:t xml:space="preserve">├───────────────────────┤      │        │        │      │           │      │       │          │      │       │        │        │</w:t>
      </w:r>
    </w:p>
    <w:p>
      <w:pPr>
        <w:pStyle w:val="3"/>
        <w:jc w:val="both"/>
      </w:pPr>
      <w:r>
        <w:rPr>
          <w:sz w:val="12"/>
        </w:rPr>
        <w:t xml:space="preserve">│IV и С2, С3            │  30  │   35   │   40   │  50  │    60     │  70  │  50   │    60    │  70  │  30   │   35   │   40   │</w:t>
      </w:r>
    </w:p>
    <w:p>
      <w:pPr>
        <w:pStyle w:val="3"/>
        <w:jc w:val="both"/>
      </w:pPr>
      <w:r>
        <w:rPr>
          <w:sz w:val="12"/>
        </w:rPr>
        <w:t xml:space="preserve">│                       │      │        │        │  --  │    --     │  --  │       │          │      │       │        │        │</w:t>
      </w:r>
    </w:p>
    <w:p>
      <w:pPr>
        <w:pStyle w:val="3"/>
        <w:jc w:val="both"/>
      </w:pPr>
      <w:r>
        <w:rPr>
          <w:sz w:val="12"/>
        </w:rPr>
        <w:t xml:space="preserve">│                       │      │        │        │  40  │    50     │  60  │       │          │      │       │        │        │</w:t>
      </w:r>
    </w:p>
    <w:p>
      <w:pPr>
        <w:pStyle w:val="3"/>
        <w:jc w:val="both"/>
      </w:pPr>
      <w:r>
        <w:rPr>
          <w:sz w:val="12"/>
        </w:rPr>
        <w:t xml:space="preserve">├───────────────────────┤      │        │        │      │           │      │       │          │      │       │        │        │</w:t>
      </w:r>
    </w:p>
    <w:p>
      <w:pPr>
        <w:pStyle w:val="3"/>
        <w:jc w:val="both"/>
      </w:pPr>
      <w:r>
        <w:rPr>
          <w:sz w:val="12"/>
        </w:rPr>
        <w:t xml:space="preserve">│V; не норм.            │  35  │   40   │   45   │  60  │    70     │  80  │  60   │    70    │  80  │  35   │   40   │   45   │</w:t>
      </w:r>
    </w:p>
    <w:p>
      <w:pPr>
        <w:pStyle w:val="3"/>
        <w:jc w:val="both"/>
      </w:pPr>
      <w:r>
        <w:rPr>
          <w:sz w:val="12"/>
        </w:rPr>
        <w:t xml:space="preserve">│                       │      │        │        │  --  │    --     │  --  │       │          │      │       │        │        │</w:t>
      </w:r>
    </w:p>
    <w:p>
      <w:pPr>
        <w:pStyle w:val="3"/>
        <w:jc w:val="both"/>
      </w:pPr>
      <w:r>
        <w:rPr>
          <w:sz w:val="12"/>
        </w:rPr>
        <w:t xml:space="preserve">│                       │      │        │        │  50  │    60     │  70  │       │          │      │       │        │        │</w:t>
      </w:r>
    </w:p>
    <w:p>
      <w:pPr>
        <w:pStyle w:val="3"/>
        <w:jc w:val="both"/>
      </w:pPr>
      <w:r>
        <w:rPr>
          <w:sz w:val="12"/>
        </w:rPr>
        <w:t xml:space="preserve">├───────────────────────┼──────┼────────┼────────┼──────┼───────────┼──────┼───────┼──────────┼──────┼───────┼────────┼────────┤</w:t>
      </w:r>
    </w:p>
    <w:p>
      <w:pPr>
        <w:pStyle w:val="3"/>
        <w:jc w:val="both"/>
      </w:pPr>
      <w:r>
        <w:rPr>
          <w:sz w:val="12"/>
        </w:rPr>
        <w:t xml:space="preserve">│5. Здания категорий В4,│      │        │        │      │           │      │       │          │      │       │        │        │</w:t>
      </w:r>
    </w:p>
    <w:p>
      <w:pPr>
        <w:pStyle w:val="3"/>
        <w:jc w:val="both"/>
      </w:pPr>
      <w:r>
        <w:rPr>
          <w:sz w:val="12"/>
        </w:rPr>
        <w:t xml:space="preserve">│Г и Д соседнего или    │      │        │        │      │           │      │       │          │      │       │        │        │</w:t>
      </w:r>
    </w:p>
    <w:p>
      <w:pPr>
        <w:pStyle w:val="3"/>
        <w:jc w:val="both"/>
      </w:pPr>
      <w:r>
        <w:rPr>
          <w:sz w:val="12"/>
        </w:rPr>
        <w:t xml:space="preserve">│собственного           │      │        │        │      │           │      │       │          │      │       │        │        │</w:t>
      </w:r>
    </w:p>
    <w:p>
      <w:pPr>
        <w:pStyle w:val="3"/>
        <w:jc w:val="both"/>
      </w:pPr>
      <w:r>
        <w:rPr>
          <w:sz w:val="12"/>
        </w:rPr>
        <w:t xml:space="preserve">│предприятия, не        │      │        │        │      │           │      │       │          │      │       │        │        │</w:t>
      </w:r>
    </w:p>
    <w:p>
      <w:pPr>
        <w:pStyle w:val="3"/>
        <w:jc w:val="both"/>
      </w:pPr>
      <w:r>
        <w:rPr>
          <w:sz w:val="12"/>
        </w:rPr>
        <w:t xml:space="preserve">│связанные с            │      │        │        │      │           │      │       │          │      │       │        │        │</w:t>
      </w:r>
    </w:p>
    <w:p>
      <w:pPr>
        <w:pStyle w:val="3"/>
        <w:jc w:val="both"/>
      </w:pPr>
      <w:r>
        <w:rPr>
          <w:sz w:val="12"/>
        </w:rPr>
        <w:t xml:space="preserve">│производственным       │      │        │        │      │           │      │       │          │      │       │        │        │</w:t>
      </w:r>
    </w:p>
    <w:p>
      <w:pPr>
        <w:pStyle w:val="3"/>
        <w:jc w:val="both"/>
      </w:pPr>
      <w:r>
        <w:rPr>
          <w:sz w:val="12"/>
        </w:rPr>
        <w:t xml:space="preserve">│процессом на складе,   │      │        │        │      │           │      │       │          │      │       │        │        │</w:t>
      </w:r>
    </w:p>
    <w:p>
      <w:pPr>
        <w:pStyle w:val="3"/>
        <w:jc w:val="both"/>
      </w:pPr>
      <w:r>
        <w:rPr>
          <w:sz w:val="12"/>
        </w:rPr>
        <w:t xml:space="preserve">│степеней огнестойкости │      │        │        │      │           │      │       │          │      │       │        │        │</w:t>
      </w:r>
    </w:p>
    <w:p>
      <w:pPr>
        <w:pStyle w:val="3"/>
        <w:jc w:val="both"/>
      </w:pPr>
      <w:r>
        <w:rPr>
          <w:sz w:val="12"/>
        </w:rPr>
        <w:t xml:space="preserve">│и классов              │      │        │        │      │           │      │       │          │      │       │        │        │</w:t>
      </w:r>
    </w:p>
    <w:p>
      <w:pPr>
        <w:pStyle w:val="3"/>
        <w:jc w:val="both"/>
      </w:pPr>
      <w:r>
        <w:rPr>
          <w:sz w:val="12"/>
        </w:rPr>
        <w:t xml:space="preserve">│конструктивной         │      │        │        │      │           │      │       │          │      │       │        │        │</w:t>
      </w:r>
    </w:p>
    <w:p>
      <w:pPr>
        <w:pStyle w:val="3"/>
        <w:jc w:val="both"/>
      </w:pPr>
      <w:r>
        <w:rPr>
          <w:sz w:val="12"/>
        </w:rPr>
        <w:t xml:space="preserve">│пожарной опасности:    │      │        │        │      │           │      │       │          │      │       │        │        │</w:t>
      </w:r>
    </w:p>
    <w:p>
      <w:pPr>
        <w:pStyle w:val="3"/>
        <w:jc w:val="both"/>
      </w:pPr>
      <w:r>
        <w:rPr>
          <w:sz w:val="12"/>
        </w:rPr>
        <w:t xml:space="preserve">├───────────────────────┼──────┼────────┼────────┼──────┼───────────┼──────┼───────┼──────────┼──────┼───────┼────────┼────────┤</w:t>
      </w:r>
    </w:p>
    <w:p>
      <w:pPr>
        <w:pStyle w:val="3"/>
        <w:jc w:val="both"/>
      </w:pPr>
      <w:r>
        <w:rPr>
          <w:sz w:val="12"/>
        </w:rPr>
        <w:t xml:space="preserve">│I, II, III и С0        │  20  │   25   │   30   │  30  │    40     │  50  │  30   │    40    │  50  │  20   │   25   │   30   │</w:t>
      </w:r>
    </w:p>
    <w:p>
      <w:pPr>
        <w:pStyle w:val="3"/>
        <w:jc w:val="both"/>
      </w:pPr>
      <w:r>
        <w:rPr>
          <w:sz w:val="12"/>
        </w:rPr>
        <w:t xml:space="preserve">│                       │      │        │        │  --  │    --     │  --  │       │          │      │       │        │        │</w:t>
      </w:r>
    </w:p>
    <w:p>
      <w:pPr>
        <w:pStyle w:val="3"/>
        <w:jc w:val="both"/>
      </w:pPr>
      <w:r>
        <w:rPr>
          <w:sz w:val="12"/>
        </w:rPr>
        <w:t xml:space="preserve">│                       │      │        │        │  25  │    30     │  35  │       │          │      │       │        │        │</w:t>
      </w:r>
    </w:p>
    <w:p>
      <w:pPr>
        <w:pStyle w:val="3"/>
        <w:jc w:val="both"/>
      </w:pPr>
      <w:r>
        <w:rPr>
          <w:sz w:val="12"/>
        </w:rPr>
        <w:t xml:space="preserve">│                       │      │        │        │      │           │      │       │          │      │       │        │        │</w:t>
      </w:r>
    </w:p>
    <w:p>
      <w:pPr>
        <w:pStyle w:val="3"/>
        <w:jc w:val="both"/>
      </w:pPr>
      <w:r>
        <w:rPr>
          <w:sz w:val="12"/>
        </w:rPr>
        <w:t xml:space="preserve">│IV и С0, С1            │  25  │   30   │   35   │  40  │    50     │  60  │  40   │    50    │  60  │  25   │   30   │   35   │</w:t>
      </w:r>
    </w:p>
    <w:p>
      <w:pPr>
        <w:pStyle w:val="3"/>
        <w:jc w:val="both"/>
      </w:pPr>
      <w:r>
        <w:rPr>
          <w:sz w:val="12"/>
        </w:rPr>
        <w:t xml:space="preserve">│                       │      │        │        │  --  │    --     │  --  │       │          │      │       │        │        │</w:t>
      </w:r>
    </w:p>
    <w:p>
      <w:pPr>
        <w:pStyle w:val="3"/>
        <w:jc w:val="both"/>
      </w:pPr>
      <w:r>
        <w:rPr>
          <w:sz w:val="12"/>
        </w:rPr>
        <w:t xml:space="preserve">│                       │      │        │        │  30  │    40     │  50  │       │          │      │       │        │        │</w:t>
      </w:r>
    </w:p>
    <w:p>
      <w:pPr>
        <w:pStyle w:val="3"/>
        <w:jc w:val="both"/>
      </w:pPr>
      <w:r>
        <w:rPr>
          <w:sz w:val="12"/>
        </w:rPr>
        <w:t xml:space="preserve">│                       │      │        │        │      │           │      │       │          │      │       │        │        │</w:t>
      </w:r>
    </w:p>
    <w:p>
      <w:pPr>
        <w:pStyle w:val="3"/>
        <w:jc w:val="both"/>
      </w:pPr>
      <w:r>
        <w:rPr>
          <w:sz w:val="12"/>
        </w:rPr>
        <w:t xml:space="preserve">│IV и С2, С3            │  30  │   40   │   50   │  50  │    60     │  70  │  50   │    60    │  70  │  30   │   35   │   40   │</w:t>
      </w:r>
    </w:p>
    <w:p>
      <w:pPr>
        <w:pStyle w:val="3"/>
        <w:jc w:val="both"/>
      </w:pPr>
      <w:r>
        <w:rPr>
          <w:sz w:val="12"/>
        </w:rPr>
        <w:t xml:space="preserve">│                       │      │        │        │  --  │    --     │  --  │       │          │      │       │        │        │</w:t>
      </w:r>
    </w:p>
    <w:p>
      <w:pPr>
        <w:pStyle w:val="3"/>
        <w:jc w:val="both"/>
      </w:pPr>
      <w:r>
        <w:rPr>
          <w:sz w:val="12"/>
        </w:rPr>
        <w:t xml:space="preserve">│                       │      │        │        │  40  │    50     │  60  │       │          │      │       │        │        │</w:t>
      </w:r>
    </w:p>
    <w:p>
      <w:pPr>
        <w:pStyle w:val="3"/>
        <w:jc w:val="both"/>
      </w:pPr>
      <w:r>
        <w:rPr>
          <w:sz w:val="12"/>
        </w:rPr>
        <w:t xml:space="preserve">│                       │      │        │        │      │           │      │       │          │      │       │        │        │</w:t>
      </w:r>
    </w:p>
    <w:p>
      <w:pPr>
        <w:pStyle w:val="3"/>
        <w:jc w:val="both"/>
      </w:pPr>
      <w:r>
        <w:rPr>
          <w:sz w:val="12"/>
        </w:rPr>
        <w:t xml:space="preserve">│V, не норм.            │  40  │   50   │   60   │  60  │    70     │  80  │  60   │    70    │  80  │  35   │   40   │   45   │</w:t>
      </w:r>
    </w:p>
    <w:p>
      <w:pPr>
        <w:pStyle w:val="3"/>
        <w:jc w:val="both"/>
      </w:pPr>
      <w:r>
        <w:rPr>
          <w:sz w:val="12"/>
        </w:rPr>
        <w:t xml:space="preserve">│                       │      │        │        │  --  │    --     │  --  │       │          │      │       │        │        │</w:t>
      </w:r>
    </w:p>
    <w:p>
      <w:pPr>
        <w:pStyle w:val="3"/>
        <w:jc w:val="both"/>
      </w:pPr>
      <w:r>
        <w:rPr>
          <w:sz w:val="12"/>
        </w:rPr>
        <w:t xml:space="preserve">│                       │      │        │        │  50  │    60     │  70  │       │          │      │       │        │        │</w:t>
      </w:r>
    </w:p>
    <w:p>
      <w:pPr>
        <w:pStyle w:val="3"/>
        <w:jc w:val="both"/>
      </w:pPr>
      <w:r>
        <w:rPr>
          <w:sz w:val="12"/>
        </w:rPr>
        <w:t xml:space="preserve">├───────────────────────┼──────┼────────┼────────┼──────┼───────────┼──────┼───────┼──────────┼──────┼───────┼────────┼────────┤</w:t>
      </w:r>
    </w:p>
    <w:p>
      <w:pPr>
        <w:pStyle w:val="3"/>
        <w:jc w:val="both"/>
      </w:pPr>
      <w:r>
        <w:rPr>
          <w:sz w:val="12"/>
        </w:rPr>
        <w:t xml:space="preserve">│6. Здания категорий В, │      │        │        │      │           │      │       │          │      │       │        │        │</w:t>
      </w:r>
    </w:p>
    <w:p>
      <w:pPr>
        <w:pStyle w:val="3"/>
        <w:jc w:val="both"/>
      </w:pPr>
      <w:r>
        <w:rPr>
          <w:sz w:val="12"/>
        </w:rPr>
        <w:t xml:space="preserve">│Г и Д, связанные с     │      │        │        │      │           │      │       │          │      │       │        │        │</w:t>
      </w:r>
    </w:p>
    <w:p>
      <w:pPr>
        <w:pStyle w:val="3"/>
        <w:jc w:val="both"/>
      </w:pPr>
      <w:r>
        <w:rPr>
          <w:sz w:val="12"/>
        </w:rPr>
        <w:t xml:space="preserve">│производственным       │      │        │        │      │           │      │       │          │      │       │        │        │</w:t>
      </w:r>
    </w:p>
    <w:p>
      <w:pPr>
        <w:pStyle w:val="3"/>
        <w:jc w:val="both"/>
      </w:pPr>
      <w:r>
        <w:rPr>
          <w:sz w:val="12"/>
        </w:rPr>
        <w:t xml:space="preserve">│процессом на складе,   │      │        │        │      │           │      │       │          │      │       │        │        │</w:t>
      </w:r>
    </w:p>
    <w:p>
      <w:pPr>
        <w:pStyle w:val="3"/>
        <w:jc w:val="both"/>
      </w:pPr>
      <w:r>
        <w:rPr>
          <w:sz w:val="12"/>
        </w:rPr>
        <w:t xml:space="preserve">│степеней огнестойкости │      │        │        │      │           │      │       │          │      │       │        │        │</w:t>
      </w:r>
    </w:p>
    <w:p>
      <w:pPr>
        <w:pStyle w:val="3"/>
        <w:jc w:val="both"/>
      </w:pPr>
      <w:r>
        <w:rPr>
          <w:sz w:val="12"/>
        </w:rPr>
        <w:t xml:space="preserve">│и классов              │      │        │        │      │           │      │       │          │      │       │        │        │</w:t>
      </w:r>
    </w:p>
    <w:p>
      <w:pPr>
        <w:pStyle w:val="3"/>
        <w:jc w:val="both"/>
      </w:pPr>
      <w:r>
        <w:rPr>
          <w:sz w:val="12"/>
        </w:rPr>
        <w:t xml:space="preserve">│конструктивной         │      │        │        │      │           │      │       │          │      │       │        │        │</w:t>
      </w:r>
    </w:p>
    <w:p>
      <w:pPr>
        <w:pStyle w:val="3"/>
        <w:jc w:val="both"/>
      </w:pPr>
      <w:r>
        <w:rPr>
          <w:sz w:val="12"/>
        </w:rPr>
        <w:t xml:space="preserve">│пожарной опасности:    │      │        │        │      │           │      │       │          │      │       │        │        │</w:t>
      </w:r>
    </w:p>
    <w:p>
      <w:pPr>
        <w:pStyle w:val="3"/>
        <w:jc w:val="both"/>
      </w:pPr>
      <w:r>
        <w:rPr>
          <w:sz w:val="12"/>
        </w:rPr>
        <w:t xml:space="preserve">│                       │      │        │        │      │           │      │       │          │      │       │        │        │</w:t>
      </w:r>
    </w:p>
    <w:p>
      <w:pPr>
        <w:pStyle w:val="3"/>
        <w:jc w:val="both"/>
      </w:pPr>
      <w:r>
        <w:rPr>
          <w:sz w:val="12"/>
        </w:rPr>
        <w:t xml:space="preserve">│I, II, III и С0        │  15  │   20   │   25   │  25  │    30     │  35  │  25   │    30    │  35  │  20   │   25   │   30   │</w:t>
      </w:r>
    </w:p>
    <w:p>
      <w:pPr>
        <w:pStyle w:val="3"/>
        <w:jc w:val="both"/>
      </w:pPr>
      <w:r>
        <w:rPr>
          <w:sz w:val="12"/>
        </w:rPr>
        <w:t xml:space="preserve">│                       │      │        │        │  --  │    --     │  --  │       │          │      │       │        │        │</w:t>
      </w:r>
    </w:p>
    <w:p>
      <w:pPr>
        <w:pStyle w:val="3"/>
        <w:jc w:val="both"/>
      </w:pPr>
      <w:r>
        <w:rPr>
          <w:sz w:val="12"/>
        </w:rPr>
        <w:t xml:space="preserve">│                       │      │        │        │  20  │    25     │  30  │       │          │      │       │        │        │</w:t>
      </w:r>
    </w:p>
    <w:p>
      <w:pPr>
        <w:pStyle w:val="3"/>
        <w:jc w:val="both"/>
      </w:pPr>
      <w:r>
        <w:rPr>
          <w:sz w:val="12"/>
        </w:rPr>
        <w:t xml:space="preserve">│                       │      │        │        │      │           │      │       │          │      │       │        │        │</w:t>
      </w:r>
    </w:p>
    <w:p>
      <w:pPr>
        <w:pStyle w:val="3"/>
        <w:jc w:val="both"/>
      </w:pPr>
      <w:r>
        <w:rPr>
          <w:sz w:val="12"/>
        </w:rPr>
        <w:t xml:space="preserve">│IV и С0, С1            │  20  │   25   │   30   │  30  │    35     │  40  │  30   │    35    │  40  │  25   │   30   │   35   │</w:t>
      </w:r>
    </w:p>
    <w:p>
      <w:pPr>
        <w:pStyle w:val="3"/>
        <w:jc w:val="both"/>
      </w:pPr>
      <w:r>
        <w:rPr>
          <w:sz w:val="12"/>
        </w:rPr>
        <w:t xml:space="preserve">│                       │      │        │        │  --  │    --     │  --  │       │          │      │       │        │        │</w:t>
      </w:r>
    </w:p>
    <w:p>
      <w:pPr>
        <w:pStyle w:val="3"/>
        <w:jc w:val="both"/>
      </w:pPr>
      <w:r>
        <w:rPr>
          <w:sz w:val="12"/>
        </w:rPr>
        <w:t xml:space="preserve">│                       │      │        │        │  25  │    30     │  35  │       │          │      │       │        │        │</w:t>
      </w:r>
    </w:p>
    <w:p>
      <w:pPr>
        <w:pStyle w:val="3"/>
        <w:jc w:val="both"/>
      </w:pPr>
      <w:r>
        <w:rPr>
          <w:sz w:val="12"/>
        </w:rPr>
        <w:t xml:space="preserve">│                       │      │        │        │      │           │      │       │          │      │       │        │        │</w:t>
      </w:r>
    </w:p>
    <w:p>
      <w:pPr>
        <w:pStyle w:val="3"/>
        <w:jc w:val="both"/>
      </w:pPr>
      <w:r>
        <w:rPr>
          <w:sz w:val="12"/>
        </w:rPr>
        <w:t xml:space="preserve">│IV и С2, С3            │  25  │   30   │   35   │  35  │    40     │  45  │  35   │    40    │  45  │  30   │   35   │   40   │</w:t>
      </w:r>
    </w:p>
    <w:p>
      <w:pPr>
        <w:pStyle w:val="3"/>
        <w:jc w:val="both"/>
      </w:pPr>
      <w:r>
        <w:rPr>
          <w:sz w:val="12"/>
        </w:rPr>
        <w:t xml:space="preserve">│                       │      │        │        │  --  │    --     │  --  │       │          │      │       │        │        │</w:t>
      </w:r>
    </w:p>
    <w:p>
      <w:pPr>
        <w:pStyle w:val="3"/>
        <w:jc w:val="both"/>
      </w:pPr>
      <w:r>
        <w:rPr>
          <w:sz w:val="12"/>
        </w:rPr>
        <w:t xml:space="preserve">│                       │      │        │        │  30  │    35     │  40  │       │          │      │       │        │        │</w:t>
      </w:r>
    </w:p>
    <w:p>
      <w:pPr>
        <w:pStyle w:val="3"/>
        <w:jc w:val="both"/>
      </w:pPr>
      <w:r>
        <w:rPr>
          <w:sz w:val="12"/>
        </w:rPr>
        <w:t xml:space="preserve">│                       │      │        │        │      │           │      │       │          │      │       │        │        │</w:t>
      </w:r>
    </w:p>
    <w:p>
      <w:pPr>
        <w:pStyle w:val="3"/>
        <w:jc w:val="both"/>
      </w:pPr>
      <w:r>
        <w:rPr>
          <w:sz w:val="12"/>
        </w:rPr>
        <w:t xml:space="preserve">│V, не норм.            │  30  │   35   │   40   │  40  │    45     │  50  │  40   │    45    │  50  │  35   │   40   │   45   │</w:t>
      </w:r>
    </w:p>
    <w:p>
      <w:pPr>
        <w:pStyle w:val="3"/>
        <w:jc w:val="both"/>
      </w:pPr>
      <w:r>
        <w:rPr>
          <w:sz w:val="12"/>
        </w:rPr>
        <w:t xml:space="preserve">│                       │      │        │        │  --  │    --     │  --  │       │          │      │       │        │        │</w:t>
      </w:r>
    </w:p>
    <w:p>
      <w:pPr>
        <w:pStyle w:val="3"/>
        <w:jc w:val="both"/>
      </w:pPr>
      <w:r>
        <w:rPr>
          <w:sz w:val="12"/>
        </w:rPr>
        <w:t xml:space="preserve">│                       │      │        │        │  35  │    40     │  45  │       │          │      │       │        │        │</w:t>
      </w:r>
    </w:p>
    <w:p>
      <w:pPr>
        <w:pStyle w:val="3"/>
        <w:jc w:val="both"/>
      </w:pPr>
      <w:r>
        <w:rPr>
          <w:sz w:val="12"/>
        </w:rPr>
        <w:t xml:space="preserve">├───────────────────────┼──────┼────────┼────────┼──────┼───────────┼──────┼───────┼──────────┼──────┼───────┼────────┼────────┤</w:t>
      </w:r>
    </w:p>
    <w:p>
      <w:pPr>
        <w:pStyle w:val="3"/>
        <w:jc w:val="both"/>
      </w:pPr>
      <w:r>
        <w:rPr>
          <w:sz w:val="12"/>
        </w:rPr>
        <w:t xml:space="preserve">│7. Погрузочно-         │  10  │   15   │   20   │      │           │      │       │          │      │       │        │        │</w:t>
      </w:r>
    </w:p>
    <w:p>
      <w:pPr>
        <w:pStyle w:val="3"/>
        <w:jc w:val="both"/>
      </w:pPr>
      <w:r>
        <w:rPr>
          <w:sz w:val="12"/>
        </w:rPr>
        <w:t xml:space="preserve">│разгрузочные площадки  │      │        │        │      │           │      │       │          │      │       │        │        │</w:t>
      </w:r>
    </w:p>
    <w:p>
      <w:pPr>
        <w:pStyle w:val="3"/>
        <w:jc w:val="both"/>
      </w:pPr>
      <w:r>
        <w:rPr>
          <w:sz w:val="12"/>
        </w:rPr>
        <w:t xml:space="preserve">│для лесоматериалов,    │      │        │        │      │           │      │       │          │      │       │        │        │</w:t>
      </w:r>
    </w:p>
    <w:p>
      <w:pPr>
        <w:pStyle w:val="3"/>
        <w:jc w:val="both"/>
      </w:pPr>
      <w:r>
        <w:rPr>
          <w:sz w:val="12"/>
        </w:rPr>
        <w:t xml:space="preserve">│расположенные на       │      │        │        │      │           │      │       │          │      │       │        │        │</w:t>
      </w:r>
    </w:p>
    <w:p>
      <w:pPr>
        <w:pStyle w:val="3"/>
        <w:jc w:val="both"/>
      </w:pPr>
      <w:r>
        <w:rPr>
          <w:sz w:val="12"/>
        </w:rPr>
        <w:t xml:space="preserve">│уровне железнодорожных │      │        │        │      │           │      │       │          │      │       │        │        │</w:t>
      </w:r>
    </w:p>
    <w:p>
      <w:pPr>
        <w:pStyle w:val="3"/>
        <w:jc w:val="both"/>
      </w:pPr>
      <w:r>
        <w:rPr>
          <w:sz w:val="12"/>
        </w:rPr>
        <w:t xml:space="preserve">│платформ, и            │      │        │        │      │           │      │       │          │      │       │        │        │</w:t>
      </w:r>
    </w:p>
    <w:p>
      <w:pPr>
        <w:pStyle w:val="3"/>
        <w:jc w:val="both"/>
      </w:pPr>
      <w:r>
        <w:rPr>
          <w:sz w:val="12"/>
        </w:rPr>
        <w:t xml:space="preserve">│разделочные эстакады   │      │        │        │      │           │      │       │          │      │       │        │        │</w:t>
      </w:r>
    </w:p>
    <w:p>
      <w:pPr>
        <w:pStyle w:val="3"/>
        <w:jc w:val="both"/>
      </w:pPr>
      <w:r>
        <w:rPr>
          <w:sz w:val="12"/>
        </w:rPr>
        <w:t xml:space="preserve">│лесозаготовительных    │      │        │        │      │           │      │       │          │      │       │        │        │</w:t>
      </w:r>
    </w:p>
    <w:p>
      <w:pPr>
        <w:pStyle w:val="3"/>
        <w:jc w:val="both"/>
      </w:pPr>
      <w:r>
        <w:rPr>
          <w:sz w:val="12"/>
        </w:rPr>
        <w:t xml:space="preserve">│предприятий            │      │        │        │      │           │      │       │          │      │       │        │        │</w:t>
      </w:r>
    </w:p>
    <w:p>
      <w:pPr>
        <w:pStyle w:val="3"/>
        <w:jc w:val="both"/>
      </w:pPr>
      <w:r>
        <w:rPr>
          <w:sz w:val="12"/>
        </w:rPr>
        <w:t xml:space="preserve">├───────────────────────┼──────┼────────┼────────┼──────┼───────────┼──────┼───────┼──────────┼──────┼───────┼────────┼────────┤</w:t>
      </w:r>
    </w:p>
    <w:p>
      <w:pPr>
        <w:pStyle w:val="3"/>
        <w:jc w:val="both"/>
      </w:pPr>
      <w:r>
        <w:rPr>
          <w:sz w:val="12"/>
        </w:rPr>
        <w:t xml:space="preserve">│8. Транспортерные      │      │        │        │      │           │      │       │          │      │       │        │        │</w:t>
      </w:r>
    </w:p>
    <w:p>
      <w:pPr>
        <w:pStyle w:val="3"/>
        <w:jc w:val="both"/>
      </w:pPr>
      <w:r>
        <w:rPr>
          <w:sz w:val="12"/>
        </w:rPr>
        <w:t xml:space="preserve">│эстакады и сооружения  │      │        │        │      │           │      │       │          │      │       │        │        │</w:t>
      </w:r>
    </w:p>
    <w:p>
      <w:pPr>
        <w:pStyle w:val="3"/>
        <w:jc w:val="both"/>
      </w:pPr>
      <w:r>
        <w:rPr>
          <w:sz w:val="12"/>
        </w:rPr>
        <w:t xml:space="preserve">│для наземных и         │      │        │        │      │           │      │       │          │      │       │        │        │</w:t>
      </w:r>
    </w:p>
    <w:p>
      <w:pPr>
        <w:pStyle w:val="3"/>
        <w:jc w:val="both"/>
      </w:pPr>
      <w:r>
        <w:rPr>
          <w:sz w:val="12"/>
        </w:rPr>
        <w:t xml:space="preserve">│надземных прокладок    │      │        │        │      │           │      │       │          │      │       │        │        │</w:t>
      </w:r>
    </w:p>
    <w:p>
      <w:pPr>
        <w:pStyle w:val="3"/>
        <w:jc w:val="both"/>
      </w:pPr>
      <w:r>
        <w:rPr>
          <w:sz w:val="12"/>
        </w:rPr>
        <w:t xml:space="preserve">│инженерных сетей, не   │      │        │        │      │           │      │       │          │      │       │        │        │</w:t>
      </w:r>
    </w:p>
    <w:p>
      <w:pPr>
        <w:pStyle w:val="3"/>
        <w:jc w:val="both"/>
      </w:pPr>
      <w:r>
        <w:rPr>
          <w:sz w:val="12"/>
        </w:rPr>
        <w:t xml:space="preserve">│связанные с            │      │        │        │      │           │      │       │          │      │       │        │        │</w:t>
      </w:r>
    </w:p>
    <w:p>
      <w:pPr>
        <w:pStyle w:val="3"/>
        <w:jc w:val="both"/>
      </w:pPr>
      <w:r>
        <w:rPr>
          <w:sz w:val="12"/>
        </w:rPr>
        <w:t xml:space="preserve">│производственным       │      │        │        │      │           │      │       │          │      │       │        │        │</w:t>
      </w:r>
    </w:p>
    <w:p>
      <w:pPr>
        <w:pStyle w:val="3"/>
        <w:jc w:val="both"/>
      </w:pPr>
      <w:r>
        <w:rPr>
          <w:sz w:val="12"/>
        </w:rPr>
        <w:t xml:space="preserve">│процессом на складе    │      │        │        │      │           │      │       │          │      │       │        │        │</w:t>
      </w:r>
    </w:p>
    <w:p>
      <w:pPr>
        <w:pStyle w:val="3"/>
        <w:jc w:val="both"/>
      </w:pPr>
      <w:r>
        <w:rPr>
          <w:sz w:val="12"/>
        </w:rPr>
        <w:t xml:space="preserve">│(проходящие рядом со   │      │        │        │      │           │      │       │          │      │       │        │        │</w:t>
      </w:r>
    </w:p>
    <w:p>
      <w:pPr>
        <w:pStyle w:val="3"/>
        <w:jc w:val="both"/>
      </w:pPr>
      <w:r>
        <w:rPr>
          <w:sz w:val="12"/>
        </w:rPr>
        <w:t xml:space="preserve">│складом), степеней     │      │        │        │      │           │      │       │          │      │       │        │        │</w:t>
      </w:r>
    </w:p>
    <w:p>
      <w:pPr>
        <w:pStyle w:val="3"/>
        <w:jc w:val="both"/>
      </w:pPr>
      <w:r>
        <w:rPr>
          <w:sz w:val="12"/>
        </w:rPr>
        <w:t xml:space="preserve">│огнестойкости и        │      │        │        │      │           │      │       │          │      │       │        │        │</w:t>
      </w:r>
    </w:p>
    <w:p>
      <w:pPr>
        <w:pStyle w:val="3"/>
        <w:jc w:val="both"/>
      </w:pPr>
      <w:r>
        <w:rPr>
          <w:sz w:val="12"/>
        </w:rPr>
        <w:t xml:space="preserve">│классов конструктивной │      │        │        │      │           │      │       │          │      │       │        │        │</w:t>
      </w:r>
    </w:p>
    <w:p>
      <w:pPr>
        <w:pStyle w:val="3"/>
        <w:jc w:val="both"/>
      </w:pPr>
      <w:r>
        <w:rPr>
          <w:sz w:val="12"/>
        </w:rPr>
        <w:t xml:space="preserve">│пожарной опасности:    │      │        │        │      │           │      │       │          │      │       │        │        │</w:t>
      </w:r>
    </w:p>
    <w:p>
      <w:pPr>
        <w:pStyle w:val="3"/>
        <w:jc w:val="both"/>
      </w:pPr>
      <w:r>
        <w:rPr>
          <w:sz w:val="12"/>
        </w:rPr>
        <w:t xml:space="preserve">│                       │      │        │        │      │           │      │       │          │      │       │        │        │</w:t>
      </w:r>
    </w:p>
    <w:p>
      <w:pPr>
        <w:pStyle w:val="3"/>
        <w:jc w:val="both"/>
      </w:pPr>
      <w:r>
        <w:rPr>
          <w:sz w:val="12"/>
        </w:rPr>
        <w:t xml:space="preserve">│I, II, III и С0        │  15  │   20   │   25   │  20  │    25     │  30  │  20   │    25    │  30  │  15   │   20   │   25   │</w:t>
      </w:r>
    </w:p>
    <w:p>
      <w:pPr>
        <w:pStyle w:val="3"/>
        <w:jc w:val="both"/>
      </w:pPr>
      <w:r>
        <w:rPr>
          <w:sz w:val="12"/>
        </w:rPr>
        <w:t xml:space="preserve">│                       │      │        │        │  --  │    --     │  --  │       │          │      │       │        │        │</w:t>
      </w:r>
    </w:p>
    <w:p>
      <w:pPr>
        <w:pStyle w:val="3"/>
        <w:jc w:val="both"/>
      </w:pPr>
      <w:r>
        <w:rPr>
          <w:sz w:val="12"/>
        </w:rPr>
        <w:t xml:space="preserve">│                       │      │        │        │  15  │    20     │  25  │       │          │      │       │        │        │</w:t>
      </w:r>
    </w:p>
    <w:p>
      <w:pPr>
        <w:pStyle w:val="3"/>
        <w:jc w:val="both"/>
      </w:pPr>
      <w:r>
        <w:rPr>
          <w:sz w:val="12"/>
        </w:rPr>
        <w:t xml:space="preserve">│                       │      │        │        │      │           │      │       │          │      │       │        │        │</w:t>
      </w:r>
    </w:p>
    <w:p>
      <w:pPr>
        <w:pStyle w:val="3"/>
        <w:jc w:val="both"/>
      </w:pPr>
      <w:r>
        <w:rPr>
          <w:sz w:val="12"/>
        </w:rPr>
        <w:t xml:space="preserve">│IV и С0, С1            │  20  │   25   │   30   │  25  │    30     │  35  │  25   │    30    │  35  │  20   │   25   │   30   │</w:t>
      </w:r>
    </w:p>
    <w:p>
      <w:pPr>
        <w:pStyle w:val="3"/>
        <w:jc w:val="both"/>
      </w:pPr>
      <w:r>
        <w:rPr>
          <w:sz w:val="12"/>
        </w:rPr>
        <w:t xml:space="preserve">│                       │      │        │        │  --  │    --     │  --  │       │          │      │       │        │        │</w:t>
      </w:r>
    </w:p>
    <w:p>
      <w:pPr>
        <w:pStyle w:val="3"/>
        <w:jc w:val="both"/>
      </w:pPr>
      <w:r>
        <w:rPr>
          <w:sz w:val="12"/>
        </w:rPr>
        <w:t xml:space="preserve">│                       │      │        │        │  20  │    25     │  30  │       │          │      │       │        │        │</w:t>
      </w:r>
    </w:p>
    <w:p>
      <w:pPr>
        <w:pStyle w:val="3"/>
        <w:jc w:val="both"/>
      </w:pPr>
      <w:r>
        <w:rPr>
          <w:sz w:val="12"/>
        </w:rPr>
        <w:t xml:space="preserve">│                       │      │        │        │      │           │      │       │          │      │       │        │        │</w:t>
      </w:r>
    </w:p>
    <w:p>
      <w:pPr>
        <w:pStyle w:val="3"/>
        <w:jc w:val="both"/>
      </w:pPr>
      <w:r>
        <w:rPr>
          <w:sz w:val="12"/>
        </w:rPr>
        <w:t xml:space="preserve">│IV и С2, С3            │  25  │   30   │   35   │  30  │    35     │  40  │  30   │    35    │  40  │  25   │   30   │   35   │</w:t>
      </w:r>
    </w:p>
    <w:p>
      <w:pPr>
        <w:pStyle w:val="3"/>
        <w:jc w:val="both"/>
      </w:pPr>
      <w:r>
        <w:rPr>
          <w:sz w:val="12"/>
        </w:rPr>
        <w:t xml:space="preserve">│                       │      │        │        │  --  │    --     │  --  │       │          │      │       │        │        │</w:t>
      </w:r>
    </w:p>
    <w:p>
      <w:pPr>
        <w:pStyle w:val="3"/>
        <w:jc w:val="both"/>
      </w:pPr>
      <w:r>
        <w:rPr>
          <w:sz w:val="12"/>
        </w:rPr>
        <w:t xml:space="preserve">│                       │      │        │        │  25  │    30     │  35  │       │          │      │       │        │        │</w:t>
      </w:r>
    </w:p>
    <w:p>
      <w:pPr>
        <w:pStyle w:val="3"/>
        <w:jc w:val="both"/>
      </w:pPr>
      <w:r>
        <w:rPr>
          <w:sz w:val="12"/>
        </w:rPr>
        <w:t xml:space="preserve">│                       │      │        │        │      │           │      │       │          │      │       │        │        │</w:t>
      </w:r>
    </w:p>
    <w:p>
      <w:pPr>
        <w:pStyle w:val="3"/>
        <w:jc w:val="both"/>
      </w:pPr>
      <w:r>
        <w:rPr>
          <w:sz w:val="12"/>
        </w:rPr>
        <w:t xml:space="preserve">│V, не норм.            │  30  │   35   │   40   │  35  │    40     │  45  │  35   │    40    │  45  │  30   │   35   │   40   │</w:t>
      </w:r>
    </w:p>
    <w:p>
      <w:pPr>
        <w:pStyle w:val="3"/>
        <w:jc w:val="both"/>
      </w:pPr>
      <w:r>
        <w:rPr>
          <w:sz w:val="12"/>
        </w:rPr>
        <w:t xml:space="preserve">│                       │      │        │        │  --  │    --     │  --  │       │          │      │       │        │        │</w:t>
      </w:r>
    </w:p>
    <w:p>
      <w:pPr>
        <w:pStyle w:val="3"/>
        <w:jc w:val="both"/>
      </w:pPr>
      <w:r>
        <w:rPr>
          <w:sz w:val="12"/>
        </w:rPr>
        <w:t xml:space="preserve">│                       │      │        │        │  30  │    35     │  40  │       │          │      │       │        │        │</w:t>
      </w:r>
    </w:p>
    <w:p>
      <w:pPr>
        <w:pStyle w:val="3"/>
        <w:jc w:val="both"/>
      </w:pPr>
      <w:r>
        <w:rPr>
          <w:sz w:val="12"/>
        </w:rPr>
        <w:t xml:space="preserve">├───────────────────────┼──────┴────────┴────────┴──────┴───────────┴──────┴───────┴──────────┴──────┴───────┴────────┴────────┤</w:t>
      </w:r>
    </w:p>
    <w:p>
      <w:pPr>
        <w:pStyle w:val="3"/>
        <w:jc w:val="both"/>
      </w:pPr>
      <w:r>
        <w:rPr>
          <w:sz w:val="12"/>
        </w:rPr>
        <w:t xml:space="preserve">│9. Воздушные линии     │Не менее полуторной высоты опоры воздушной линии электропередачи                                      │</w:t>
      </w:r>
    </w:p>
    <w:p>
      <w:pPr>
        <w:pStyle w:val="3"/>
        <w:jc w:val="both"/>
      </w:pPr>
      <w:r>
        <w:rPr>
          <w:sz w:val="12"/>
        </w:rPr>
        <w:t xml:space="preserve">│электропередачи        │                                                                                                      │</w:t>
      </w:r>
    </w:p>
    <w:p>
      <w:pPr>
        <w:pStyle w:val="3"/>
        <w:jc w:val="both"/>
      </w:pPr>
      <w:r>
        <w:rPr>
          <w:sz w:val="12"/>
        </w:rPr>
        <w:t xml:space="preserve">│напряжением свыше 1000 │                                                                                                      │</w:t>
      </w:r>
    </w:p>
    <w:p>
      <w:pPr>
        <w:pStyle w:val="3"/>
        <w:jc w:val="both"/>
      </w:pPr>
      <w:r>
        <w:rPr>
          <w:sz w:val="12"/>
        </w:rPr>
        <w:t xml:space="preserve">│В                      │                                                                                                      │</w:t>
      </w:r>
    </w:p>
    <w:p>
      <w:pPr>
        <w:pStyle w:val="3"/>
        <w:jc w:val="both"/>
      </w:pPr>
      <w:r>
        <w:rPr>
          <w:sz w:val="12"/>
        </w:rPr>
        <w:t xml:space="preserve">├───────────────────────┼──────┬────────┬────────┬──────┬─────────┬────────┬───────┬────────┬────────┬───────┬────────┬────────┤</w:t>
      </w:r>
    </w:p>
    <w:p>
      <w:pPr>
        <w:pStyle w:val="3"/>
        <w:jc w:val="both"/>
      </w:pPr>
      <w:r>
        <w:rPr>
          <w:sz w:val="12"/>
        </w:rPr>
        <w:t xml:space="preserve">│10. Железные дороги:   │      │        │        │      │         │        │       │        │        │       │        │        │</w:t>
      </w:r>
    </w:p>
    <w:p>
      <w:pPr>
        <w:pStyle w:val="3"/>
        <w:jc w:val="both"/>
      </w:pPr>
      <w:r>
        <w:rPr>
          <w:sz w:val="12"/>
        </w:rPr>
        <w:t xml:space="preserve">│                       │      │        │        │      │         │        │       │        │        │       │        │        │</w:t>
      </w:r>
    </w:p>
    <w:p>
      <w:pPr>
        <w:pStyle w:val="3"/>
        <w:jc w:val="both"/>
      </w:pPr>
      <w:r>
        <w:rPr>
          <w:sz w:val="12"/>
        </w:rPr>
        <w:t xml:space="preserve">│общей сети (до полосы  │  30  │   40   │   50   │  70  │   80    │  100   │  70   │   80   │  100   │  30   │   40   │   50   │</w:t>
      </w:r>
    </w:p>
    <w:p>
      <w:pPr>
        <w:pStyle w:val="3"/>
        <w:jc w:val="both"/>
      </w:pPr>
      <w:r>
        <w:rPr>
          <w:sz w:val="12"/>
        </w:rPr>
        <w:t xml:space="preserve">│отвода) на станциях    │      │        │        │  --  │   --    │  ---   │       │        │        │       │        │        │</w:t>
      </w:r>
    </w:p>
    <w:p>
      <w:pPr>
        <w:pStyle w:val="3"/>
        <w:jc w:val="both"/>
      </w:pPr>
      <w:r>
        <w:rPr>
          <w:sz w:val="12"/>
        </w:rPr>
        <w:t xml:space="preserve">│                       │      │        │        │  50  │   60    │   70   │       │        │        │       │        │        │</w:t>
      </w:r>
    </w:p>
    <w:p>
      <w:pPr>
        <w:pStyle w:val="3"/>
        <w:jc w:val="both"/>
      </w:pPr>
      <w:r>
        <w:rPr>
          <w:sz w:val="12"/>
        </w:rPr>
        <w:t xml:space="preserve">│                       │      │        │        │      │         │        │       │        │        │       │        │        │</w:t>
      </w:r>
    </w:p>
    <w:p>
      <w:pPr>
        <w:pStyle w:val="3"/>
        <w:jc w:val="both"/>
      </w:pPr>
      <w:r>
        <w:rPr>
          <w:sz w:val="12"/>
        </w:rPr>
        <w:t xml:space="preserve">│на разъездах и         │  20  │   25   │   30   │  50  │   70    │   80   │  50   │   70   │   80   │  20   │   25   │   30   │</w:t>
      </w:r>
    </w:p>
    <w:p>
      <w:pPr>
        <w:pStyle w:val="3"/>
        <w:jc w:val="both"/>
      </w:pPr>
      <w:r>
        <w:rPr>
          <w:sz w:val="12"/>
        </w:rPr>
        <w:t xml:space="preserve">│платформах             │      │        │        │  --  │   --    │   --   │       │        │        │       │        │        │</w:t>
      </w:r>
    </w:p>
    <w:p>
      <w:pPr>
        <w:pStyle w:val="3"/>
        <w:jc w:val="both"/>
      </w:pPr>
      <w:r>
        <w:rPr>
          <w:sz w:val="12"/>
        </w:rPr>
        <w:t xml:space="preserve">│                       │      │        │        │  40  │   50    │   60   │       │        │        │       │        │        │</w:t>
      </w:r>
    </w:p>
    <w:p>
      <w:pPr>
        <w:pStyle w:val="3"/>
        <w:jc w:val="both"/>
      </w:pPr>
      <w:r>
        <w:rPr>
          <w:sz w:val="12"/>
        </w:rPr>
        <w:t xml:space="preserve">│                       │                                                                                                      │</w:t>
      </w:r>
    </w:p>
    <w:p>
      <w:pPr>
        <w:pStyle w:val="3"/>
        <w:jc w:val="both"/>
      </w:pPr>
      <w:r>
        <w:rPr>
          <w:sz w:val="12"/>
        </w:rPr>
        <w:t xml:space="preserve">│на перегонах           │Не менее 10 м                                                                                         │</w:t>
      </w:r>
    </w:p>
    <w:p>
      <w:pPr>
        <w:pStyle w:val="3"/>
        <w:jc w:val="both"/>
      </w:pPr>
      <w:r>
        <w:rPr>
          <w:sz w:val="12"/>
        </w:rPr>
        <w:t xml:space="preserve">│собственные (до оси    │                                                                                                      │</w:t>
      </w:r>
    </w:p>
    <w:p>
      <w:pPr>
        <w:pStyle w:val="3"/>
        <w:jc w:val="both"/>
      </w:pPr>
      <w:r>
        <w:rPr>
          <w:sz w:val="12"/>
        </w:rPr>
        <w:t xml:space="preserve">│пути)                  │                                                                                                      │</w:t>
      </w:r>
    </w:p>
    <w:p>
      <w:pPr>
        <w:pStyle w:val="3"/>
        <w:jc w:val="both"/>
      </w:pPr>
      <w:r>
        <w:rPr>
          <w:sz w:val="12"/>
        </w:rPr>
        <w:t xml:space="preserve">├───────────────────────┼──────┬────────┬────────┬──────┬─────────┬────────┬───────┬────────┬────────┬───────┬────────┬────────┤</w:t>
      </w:r>
    </w:p>
    <w:p>
      <w:pPr>
        <w:pStyle w:val="3"/>
        <w:jc w:val="both"/>
      </w:pPr>
      <w:r>
        <w:rPr>
          <w:sz w:val="12"/>
        </w:rPr>
        <w:t xml:space="preserve">│11. Пристани и причалы │      │        │        │      │         │        │       │        │        │       │        │        │</w:t>
      </w:r>
    </w:p>
    <w:p>
      <w:pPr>
        <w:pStyle w:val="3"/>
        <w:jc w:val="both"/>
      </w:pPr>
      <w:r>
        <w:rPr>
          <w:sz w:val="12"/>
        </w:rPr>
        <w:t xml:space="preserve">│(до линии причала):    │      │        │        │      │         │        │       │        │        │       │        │        │</w:t>
      </w:r>
    </w:p>
    <w:p>
      <w:pPr>
        <w:pStyle w:val="3"/>
        <w:jc w:val="both"/>
      </w:pPr>
      <w:r>
        <w:rPr>
          <w:sz w:val="12"/>
        </w:rPr>
        <w:t xml:space="preserve">│                       │      │        │        │      │         │        │       │        │        │       │        │        │</w:t>
      </w:r>
    </w:p>
    <w:p>
      <w:pPr>
        <w:pStyle w:val="3"/>
        <w:jc w:val="both"/>
      </w:pPr>
      <w:r>
        <w:rPr>
          <w:sz w:val="12"/>
        </w:rPr>
        <w:t xml:space="preserve">│общего пользования,    │  30  │   40   │   50   │  50  │   75    │  100   │  50   │   75   │  100   │  30   │   40   │   50   │</w:t>
      </w:r>
    </w:p>
    <w:p>
      <w:pPr>
        <w:pStyle w:val="3"/>
        <w:jc w:val="both"/>
      </w:pPr>
      <w:r>
        <w:rPr>
          <w:sz w:val="12"/>
        </w:rPr>
        <w:t xml:space="preserve">│соседнего предприятия  │      │        │        │  --  │   --    │  ---   │       │        │        │       │        │        │</w:t>
      </w:r>
    </w:p>
    <w:p>
      <w:pPr>
        <w:pStyle w:val="3"/>
        <w:jc w:val="both"/>
      </w:pPr>
      <w:r>
        <w:rPr>
          <w:sz w:val="12"/>
        </w:rPr>
        <w:t xml:space="preserve">│                       │      │        │        │  40  │   60    │   80   │       │        │        │       │        │        │</w:t>
      </w:r>
    </w:p>
    <w:p>
      <w:pPr>
        <w:pStyle w:val="3"/>
        <w:jc w:val="both"/>
      </w:pPr>
      <w:r>
        <w:rPr>
          <w:sz w:val="12"/>
        </w:rPr>
        <w:t xml:space="preserve">│                       │                                                                                                      │</w:t>
      </w:r>
    </w:p>
    <w:p>
      <w:pPr>
        <w:pStyle w:val="3"/>
        <w:jc w:val="both"/>
      </w:pPr>
      <w:r>
        <w:rPr>
          <w:sz w:val="12"/>
        </w:rPr>
        <w:t xml:space="preserve">│собственные            │Не менее 20 м                                                                                         │</w:t>
      </w:r>
    </w:p>
    <w:p>
      <w:pPr>
        <w:pStyle w:val="3"/>
        <w:jc w:val="both"/>
      </w:pPr>
      <w:r>
        <w:rPr>
          <w:sz w:val="12"/>
        </w:rPr>
        <w:t xml:space="preserve">├───────────────────────┼──────┬────────┬────────┬──────┬─────────┬────────┬───────┬────────┬────────┬───────┬────────┬────────┤</w:t>
      </w:r>
    </w:p>
    <w:p>
      <w:pPr>
        <w:pStyle w:val="3"/>
        <w:jc w:val="both"/>
      </w:pPr>
      <w:r>
        <w:rPr>
          <w:sz w:val="12"/>
        </w:rPr>
        <w:t xml:space="preserve">│12. Край проезжей части│  20  │   25   │   30   │  30  │   40    │   50   │  30   │   40   │   50   │  20   │   25   │   30   │</w:t>
      </w:r>
    </w:p>
    <w:p>
      <w:pPr>
        <w:pStyle w:val="3"/>
        <w:jc w:val="both"/>
      </w:pPr>
      <w:r>
        <w:rPr>
          <w:sz w:val="12"/>
        </w:rPr>
        <w:t xml:space="preserve">│автомобильных дорог    │      │        │        │  --  │   --    │   --   │       │        │        │       │        │        │</w:t>
      </w:r>
    </w:p>
    <w:p>
      <w:pPr>
        <w:pStyle w:val="3"/>
        <w:jc w:val="both"/>
      </w:pPr>
      <w:r>
        <w:rPr>
          <w:sz w:val="12"/>
        </w:rPr>
        <w:t xml:space="preserve">│общей сети всех        │      │        │        │  20  │   30    │   40   │       │        │        │       │        │        │</w:t>
      </w:r>
    </w:p>
    <w:p>
      <w:pPr>
        <w:pStyle w:val="3"/>
        <w:jc w:val="both"/>
      </w:pPr>
      <w:r>
        <w:rPr>
          <w:sz w:val="12"/>
        </w:rPr>
        <w:t xml:space="preserve">│категорий и соседних   │      │        │        │      │         │        │       │        │        │       │        │        │</w:t>
      </w:r>
    </w:p>
    <w:p>
      <w:pPr>
        <w:pStyle w:val="3"/>
        <w:jc w:val="both"/>
      </w:pPr>
      <w:r>
        <w:rPr>
          <w:sz w:val="12"/>
        </w:rPr>
        <w:t xml:space="preserve">│предприятий            │      │        │        │      │         │        │       │        │        │       │        │        │</w:t>
      </w:r>
    </w:p>
    <w:p>
      <w:pPr>
        <w:pStyle w:val="3"/>
        <w:jc w:val="both"/>
      </w:pPr>
      <w:r>
        <w:rPr>
          <w:sz w:val="12"/>
        </w:rPr>
        <w:t xml:space="preserve">├───────────────────────┼──────┼────────┼────────┼──────┼─────────┼────────┼───────┼────────┼────────┼───────┼────────┼────────┤</w:t>
      </w:r>
    </w:p>
    <w:p>
      <w:pPr>
        <w:pStyle w:val="3"/>
        <w:jc w:val="both"/>
      </w:pPr>
      <w:r>
        <w:rPr>
          <w:sz w:val="12"/>
        </w:rPr>
        <w:t xml:space="preserve">│13. Склады ЛВЖ         │      │        │        │      │         │        │       │        │        │       │        │        │</w:t>
      </w:r>
    </w:p>
    <w:p>
      <w:pPr>
        <w:pStyle w:val="3"/>
        <w:jc w:val="both"/>
      </w:pPr>
      <w:r>
        <w:rPr>
          <w:sz w:val="12"/>
        </w:rPr>
        <w:t xml:space="preserve">│вместимостью, м3:      │      │        │        │      │         │        │       │        │        │       │        │        │</w:t>
      </w:r>
    </w:p>
    <w:p>
      <w:pPr>
        <w:pStyle w:val="3"/>
        <w:jc w:val="both"/>
      </w:pPr>
      <w:r>
        <w:rPr>
          <w:sz w:val="12"/>
        </w:rPr>
        <w:t xml:space="preserve">│                       │      │        │        │      │         │        │       │        │        │       │        │        │</w:t>
      </w:r>
    </w:p>
    <w:p>
      <w:pPr>
        <w:pStyle w:val="3"/>
        <w:jc w:val="both"/>
      </w:pPr>
      <w:r>
        <w:rPr>
          <w:sz w:val="12"/>
        </w:rPr>
        <w:t xml:space="preserve">│св. 1000 до 2000       │  50  │   75   │  100   │  50  │   100   │  150   │  50   │  100   │  150   │  40   │   60   │   80   │</w:t>
      </w:r>
    </w:p>
    <w:p>
      <w:pPr>
        <w:pStyle w:val="3"/>
        <w:jc w:val="both"/>
      </w:pPr>
      <w:r>
        <w:rPr>
          <w:sz w:val="12"/>
        </w:rPr>
        <w:t xml:space="preserve">│                       │      │        │        │  --  │   ---   │  ---   │       │        │        │       │        │        │</w:t>
      </w:r>
    </w:p>
    <w:p>
      <w:pPr>
        <w:pStyle w:val="3"/>
        <w:jc w:val="both"/>
      </w:pPr>
      <w:r>
        <w:rPr>
          <w:sz w:val="12"/>
        </w:rPr>
        <w:t xml:space="preserve">│                       │      │        │        │  40  │   80    │  120   │       │        │        │       │        │        │</w:t>
      </w:r>
    </w:p>
    <w:p>
      <w:pPr>
        <w:pStyle w:val="3"/>
        <w:jc w:val="both"/>
      </w:pPr>
      <w:r>
        <w:rPr>
          <w:sz w:val="12"/>
        </w:rPr>
        <w:t xml:space="preserve">│                       │      │        │        │      │         │        │       │        │        │       │        │        │</w:t>
      </w:r>
    </w:p>
    <w:p>
      <w:pPr>
        <w:pStyle w:val="3"/>
        <w:jc w:val="both"/>
      </w:pPr>
      <w:r>
        <w:rPr>
          <w:sz w:val="12"/>
        </w:rPr>
        <w:t xml:space="preserve">│св. 600 до 1000        │  40  │   60   │   80   │  60  │   80    │  120   │  60   │   80   │  120   │  35   │   40   │   50   │</w:t>
      </w:r>
    </w:p>
    <w:p>
      <w:pPr>
        <w:pStyle w:val="3"/>
        <w:jc w:val="both"/>
      </w:pPr>
      <w:r>
        <w:rPr>
          <w:sz w:val="12"/>
        </w:rPr>
        <w:t xml:space="preserve">│                       │      │        │        │ ---  │   --    │  ---   │       │        │        │       │        │        │</w:t>
      </w:r>
    </w:p>
    <w:p>
      <w:pPr>
        <w:pStyle w:val="3"/>
        <w:jc w:val="both"/>
      </w:pPr>
      <w:r>
        <w:rPr>
          <w:sz w:val="12"/>
        </w:rPr>
        <w:t xml:space="preserve">│                       │      │        │        │ 140  │   50    │   70   │       │        │        │       │        │        │</w:t>
      </w:r>
    </w:p>
    <w:p>
      <w:pPr>
        <w:pStyle w:val="3"/>
        <w:jc w:val="both"/>
      </w:pPr>
      <w:r>
        <w:rPr>
          <w:sz w:val="12"/>
        </w:rPr>
        <w:t xml:space="preserve">│                       │      │        │        │      │         │        │       │        │        │       │        │        │</w:t>
      </w:r>
    </w:p>
    <w:p>
      <w:pPr>
        <w:pStyle w:val="3"/>
        <w:jc w:val="both"/>
      </w:pPr>
      <w:r>
        <w:rPr>
          <w:sz w:val="12"/>
        </w:rPr>
        <w:t xml:space="preserve">│св. 300 до 600         │  30  │   40   │   50   │  50  │   60    │   80   │  50   │   60   │   80   │  30   │   35   │   45   │</w:t>
      </w:r>
    </w:p>
    <w:p>
      <w:pPr>
        <w:pStyle w:val="3"/>
        <w:jc w:val="both"/>
      </w:pPr>
      <w:r>
        <w:rPr>
          <w:sz w:val="12"/>
        </w:rPr>
        <w:t xml:space="preserve">│                       │      │        │        │  --  │   --    │   --   │       │        │        │       │        │        │</w:t>
      </w:r>
    </w:p>
    <w:p>
      <w:pPr>
        <w:pStyle w:val="3"/>
        <w:jc w:val="both"/>
      </w:pPr>
      <w:r>
        <w:rPr>
          <w:sz w:val="12"/>
        </w:rPr>
        <w:t xml:space="preserve">│                       │      │        │        │  30  │   40    │   60   │       │        │        │       │        │        │</w:t>
      </w:r>
    </w:p>
    <w:p>
      <w:pPr>
        <w:pStyle w:val="3"/>
        <w:jc w:val="both"/>
      </w:pPr>
      <w:r>
        <w:rPr>
          <w:sz w:val="12"/>
        </w:rPr>
        <w:t xml:space="preserve">│                       │      │        │        │      │         │        │       │        │        │       │        │        │</w:t>
      </w:r>
    </w:p>
    <w:p>
      <w:pPr>
        <w:pStyle w:val="3"/>
        <w:jc w:val="both"/>
      </w:pPr>
      <w:r>
        <w:rPr>
          <w:sz w:val="12"/>
        </w:rPr>
        <w:t xml:space="preserve">│до 300                 │  20  │   30   │   40   │  40  │   50    │   60   │  40   │   50   │   60   │  25   │   30   │   35   │</w:t>
      </w:r>
    </w:p>
    <w:p>
      <w:pPr>
        <w:pStyle w:val="3"/>
        <w:jc w:val="both"/>
      </w:pPr>
      <w:r>
        <w:rPr>
          <w:sz w:val="12"/>
        </w:rPr>
        <w:t xml:space="preserve">│                       │      │        │        │  --  │   --    │   --   │       │        │        │       │        │        │</w:t>
      </w:r>
    </w:p>
    <w:p>
      <w:pPr>
        <w:pStyle w:val="3"/>
        <w:jc w:val="both"/>
      </w:pPr>
      <w:r>
        <w:rPr>
          <w:sz w:val="12"/>
        </w:rPr>
        <w:t xml:space="preserve">│                       │      │        │        │  20  │   30    │   40   │       │        │        │       │        │        │</w:t>
      </w:r>
    </w:p>
    <w:p>
      <w:pPr>
        <w:pStyle w:val="3"/>
        <w:jc w:val="both"/>
      </w:pPr>
      <w:r>
        <w:rPr>
          <w:sz w:val="12"/>
        </w:rPr>
        <w:t xml:space="preserve">├───────────────────────┼──────┼────────┼────────┼──────┼─────────┼────────┼───────┼────────┼────────┼───────┼────────┼────────┤</w:t>
      </w:r>
    </w:p>
    <w:p>
      <w:pPr>
        <w:pStyle w:val="3"/>
        <w:jc w:val="both"/>
      </w:pPr>
      <w:r>
        <w:rPr>
          <w:sz w:val="12"/>
        </w:rPr>
        <w:t xml:space="preserve">│14.   Открытые   склады│      │        │        │      │         │        │       │        │        │       │        │        │</w:t>
      </w:r>
    </w:p>
    <w:p>
      <w:pPr>
        <w:pStyle w:val="3"/>
        <w:jc w:val="both"/>
      </w:pPr>
      <w:r>
        <w:rPr>
          <w:sz w:val="12"/>
        </w:rPr>
        <w:t xml:space="preserve">│торфа вместимостью,  т,│      │        │        │      │         │        │       │        │        │       │        │        │</w:t>
      </w:r>
    </w:p>
    <w:p>
      <w:pPr>
        <w:pStyle w:val="3"/>
        <w:jc w:val="both"/>
      </w:pPr>
      <w:r>
        <w:rPr>
          <w:sz w:val="12"/>
        </w:rPr>
        <w:t xml:space="preserve">│фрезерного            и│      │        │        │      │         │        │       │        │        │       │        │        │</w:t>
      </w:r>
    </w:p>
    <w:p>
      <w:pPr>
        <w:pStyle w:val="3"/>
        <w:jc w:val="both"/>
      </w:pPr>
      <w:r>
        <w:rPr>
          <w:sz w:val="12"/>
        </w:rPr>
        <w:t xml:space="preserve">│кускового:             │      │        │        │      │         │        │       │        │        │       │        │        │</w:t>
      </w:r>
    </w:p>
    <w:p>
      <w:pPr>
        <w:pStyle w:val="3"/>
        <w:jc w:val="both"/>
      </w:pPr>
      <w:r>
        <w:rPr>
          <w:sz w:val="12"/>
        </w:rPr>
        <w:t xml:space="preserve">│                       │      │        │        │      │         │        │       │        │        │       │        │        │</w:t>
      </w:r>
    </w:p>
    <w:p>
      <w:pPr>
        <w:pStyle w:val="3"/>
        <w:jc w:val="both"/>
      </w:pPr>
      <w:r>
        <w:rPr>
          <w:sz w:val="12"/>
        </w:rPr>
        <w:t xml:space="preserve">│до 10000               │  40  │   50   │   60   │  50  │   60    │   70   │  50   │   60   │   70   │  30   │   40   │   50   │</w:t>
      </w:r>
    </w:p>
    <w:p>
      <w:pPr>
        <w:pStyle w:val="3"/>
        <w:jc w:val="both"/>
      </w:pPr>
      <w:r>
        <w:rPr>
          <w:sz w:val="12"/>
        </w:rPr>
        <w:t xml:space="preserve">│                       │      │        │        │  --  │   --    │   --   │       │        │        │       │        │        │</w:t>
      </w:r>
    </w:p>
    <w:p>
      <w:pPr>
        <w:pStyle w:val="3"/>
        <w:jc w:val="both"/>
      </w:pPr>
      <w:r>
        <w:rPr>
          <w:sz w:val="12"/>
        </w:rPr>
        <w:t xml:space="preserve">│                       │      │        │        │  40  │   50    │   60   │       │        │        │       │        │        │</w:t>
      </w:r>
    </w:p>
    <w:p>
      <w:pPr>
        <w:pStyle w:val="3"/>
        <w:jc w:val="both"/>
      </w:pPr>
      <w:r>
        <w:rPr>
          <w:sz w:val="12"/>
        </w:rPr>
        <w:t xml:space="preserve">│                       │      │        │        │      │         │        │       │        │        │       │        │        │</w:t>
      </w:r>
    </w:p>
    <w:p>
      <w:pPr>
        <w:pStyle w:val="3"/>
        <w:jc w:val="both"/>
      </w:pPr>
      <w:r>
        <w:rPr>
          <w:sz w:val="12"/>
        </w:rPr>
        <w:t xml:space="preserve">│св. 10000              │  45  │   55   │   65   │  60  │   70    │   80   │  60   │   70   │   80   │  40   │   50   │   60   │</w:t>
      </w:r>
    </w:p>
    <w:p>
      <w:pPr>
        <w:pStyle w:val="3"/>
        <w:jc w:val="both"/>
      </w:pPr>
      <w:r>
        <w:rPr>
          <w:sz w:val="12"/>
        </w:rPr>
        <w:t xml:space="preserve">│                       │      │        │        │  --  │   --    │   --   │       │        │        │       │        │        │</w:t>
      </w:r>
    </w:p>
    <w:p>
      <w:pPr>
        <w:pStyle w:val="3"/>
        <w:jc w:val="both"/>
      </w:pPr>
      <w:r>
        <w:rPr>
          <w:sz w:val="12"/>
        </w:rPr>
        <w:t xml:space="preserve">│                       │      │        │        │  50  │   60    │   70   │       │        │        │       │        │        │</w:t>
      </w:r>
    </w:p>
    <w:p>
      <w:pPr>
        <w:pStyle w:val="3"/>
        <w:jc w:val="both"/>
      </w:pPr>
      <w:r>
        <w:rPr>
          <w:sz w:val="12"/>
        </w:rPr>
        <w:t xml:space="preserve">├───────────────────────┼──────┼────────┼────────┼──────┼─────────┼────────┼───────┼────────┼────────┼───────┼────────┼────────┤</w:t>
      </w:r>
    </w:p>
    <w:p>
      <w:pPr>
        <w:pStyle w:val="3"/>
        <w:jc w:val="both"/>
      </w:pPr>
      <w:r>
        <w:rPr>
          <w:sz w:val="12"/>
        </w:rPr>
        <w:t xml:space="preserve">│15. Открытые склады    │      │        │        │      │         │        │       │        │        │       │        │        │</w:t>
      </w:r>
    </w:p>
    <w:p>
      <w:pPr>
        <w:pStyle w:val="3"/>
        <w:jc w:val="both"/>
      </w:pPr>
      <w:r>
        <w:rPr>
          <w:sz w:val="12"/>
        </w:rPr>
        <w:t xml:space="preserve">│каменного угля         │      │        │        │      │         │        │       │        │        │       │        │        │</w:t>
      </w:r>
    </w:p>
    <w:p>
      <w:pPr>
        <w:pStyle w:val="3"/>
        <w:jc w:val="both"/>
      </w:pPr>
      <w:r>
        <w:rPr>
          <w:sz w:val="12"/>
        </w:rPr>
        <w:t xml:space="preserve">│вместимостью, т:       │      │        │        │      │         │        │       │        │        │       │        │        │</w:t>
      </w:r>
    </w:p>
    <w:p>
      <w:pPr>
        <w:pStyle w:val="3"/>
        <w:jc w:val="both"/>
      </w:pPr>
      <w:r>
        <w:rPr>
          <w:sz w:val="12"/>
        </w:rPr>
        <w:t xml:space="preserve">│                       │      │        │        │      │         │        │       │        │        │       │        │        │</w:t>
      </w:r>
    </w:p>
    <w:p>
      <w:pPr>
        <w:pStyle w:val="3"/>
        <w:jc w:val="both"/>
      </w:pPr>
      <w:r>
        <w:rPr>
          <w:sz w:val="12"/>
        </w:rPr>
        <w:t xml:space="preserve">│до 100000              │  30  │   40   │   50   │  40  │   50    │   60   │  40   │   50   │   60   │  30   │   40   │   50   │</w:t>
      </w:r>
    </w:p>
    <w:p>
      <w:pPr>
        <w:pStyle w:val="3"/>
        <w:jc w:val="both"/>
      </w:pPr>
      <w:r>
        <w:rPr>
          <w:sz w:val="12"/>
        </w:rPr>
        <w:t xml:space="preserve">│                       │      │        │        │  --  │   --    │   --   │       │        │        │       │        │        │</w:t>
      </w:r>
    </w:p>
    <w:p>
      <w:pPr>
        <w:pStyle w:val="3"/>
        <w:jc w:val="both"/>
      </w:pPr>
      <w:r>
        <w:rPr>
          <w:sz w:val="12"/>
        </w:rPr>
        <w:t xml:space="preserve">│                       │      │        │        │  30  │   40    │   50   │       │        │        │       │        │        │</w:t>
      </w:r>
    </w:p>
    <w:p>
      <w:pPr>
        <w:pStyle w:val="3"/>
        <w:jc w:val="both"/>
      </w:pPr>
      <w:r>
        <w:rPr>
          <w:sz w:val="12"/>
        </w:rPr>
        <w:t xml:space="preserve">│                       │      │        │        │      │         │        │       │        │        │       │        │        │</w:t>
      </w:r>
    </w:p>
    <w:p>
      <w:pPr>
        <w:pStyle w:val="3"/>
        <w:jc w:val="both"/>
      </w:pPr>
      <w:r>
        <w:rPr>
          <w:sz w:val="12"/>
        </w:rPr>
        <w:t xml:space="preserve">│св. 100000             │  40  │   50   │   60   │  50  │   60    │   70   │  50   │   60   │   70   │  35   │   45   │   55   │</w:t>
      </w:r>
    </w:p>
    <w:p>
      <w:pPr>
        <w:pStyle w:val="3"/>
        <w:jc w:val="both"/>
      </w:pPr>
      <w:r>
        <w:rPr>
          <w:sz w:val="12"/>
        </w:rPr>
        <w:t xml:space="preserve">│                       │      │        │        │  --  │   --    │   --   │       │        │        │       │        │        │</w:t>
      </w:r>
    </w:p>
    <w:p>
      <w:pPr>
        <w:pStyle w:val="3"/>
        <w:jc w:val="both"/>
      </w:pPr>
      <w:r>
        <w:rPr>
          <w:sz w:val="12"/>
        </w:rPr>
        <w:t xml:space="preserve">│                       │      │        │        │  40  │   50    │   60   │       │        │        │       │        │        │</w:t>
      </w:r>
    </w:p>
    <w:p>
      <w:pPr>
        <w:pStyle w:val="3"/>
        <w:jc w:val="both"/>
      </w:pPr>
      <w:r>
        <w:rPr>
          <w:sz w:val="12"/>
        </w:rPr>
        <w:t xml:space="preserve">├───────────────────────┼──────┼────────┼────────┼──────┼─────────┼────────┼───────┼────────┼────────┼───────┼────────┼────────┤</w:t>
      </w:r>
    </w:p>
    <w:p>
      <w:pPr>
        <w:pStyle w:val="3"/>
        <w:jc w:val="both"/>
      </w:pPr>
      <w:r>
        <w:rPr>
          <w:sz w:val="12"/>
        </w:rPr>
        <w:t xml:space="preserve">│16.  Открытые    склады│      │        │        │      │         │        │       │        │        │       │        │        │</w:t>
      </w:r>
    </w:p>
    <w:p>
      <w:pPr>
        <w:pStyle w:val="3"/>
        <w:jc w:val="both"/>
      </w:pPr>
      <w:r>
        <w:rPr>
          <w:sz w:val="12"/>
        </w:rPr>
        <w:t xml:space="preserve">│круглых  лесоматериалов│      │        │        │      │         │        │       │        │        │       │        │        │</w:t>
      </w:r>
    </w:p>
    <w:p>
      <w:pPr>
        <w:pStyle w:val="3"/>
        <w:jc w:val="both"/>
      </w:pPr>
      <w:r>
        <w:rPr>
          <w:sz w:val="12"/>
        </w:rPr>
        <w:t xml:space="preserve">│вместимостью,   плотных│      │        │        │      │         │        │       │        │        │       │        │        │</w:t>
      </w:r>
    </w:p>
    <w:p>
      <w:pPr>
        <w:pStyle w:val="3"/>
        <w:jc w:val="both"/>
      </w:pPr>
      <w:r>
        <w:rPr>
          <w:sz w:val="12"/>
        </w:rPr>
        <w:t xml:space="preserve">│м3:                    │      │        │        │      │         │        │       │        │        │       │        │        │</w:t>
      </w:r>
    </w:p>
    <w:p>
      <w:pPr>
        <w:pStyle w:val="3"/>
        <w:jc w:val="both"/>
      </w:pPr>
      <w:r>
        <w:rPr>
          <w:sz w:val="12"/>
        </w:rPr>
        <w:t xml:space="preserve">│                       │      │        │        │      │         │        │       │        │        │       │        │        │</w:t>
      </w:r>
    </w:p>
    <w:p>
      <w:pPr>
        <w:pStyle w:val="3"/>
        <w:jc w:val="both"/>
      </w:pPr>
      <w:r>
        <w:rPr>
          <w:sz w:val="12"/>
        </w:rPr>
        <w:t xml:space="preserve">│до 10000               │  -   │   -    │   -    │  30  │   40    │   50   │  30   │   40   │   50   │  30   │   35   │   40   │</w:t>
      </w:r>
    </w:p>
    <w:p>
      <w:pPr>
        <w:pStyle w:val="3"/>
        <w:jc w:val="both"/>
      </w:pPr>
      <w:r>
        <w:rPr>
          <w:sz w:val="12"/>
        </w:rPr>
        <w:t xml:space="preserve">│                       │      │        │        │  --  │   --    │   --   │       │        │        │       │        │        │</w:t>
      </w:r>
    </w:p>
    <w:p>
      <w:pPr>
        <w:pStyle w:val="3"/>
        <w:jc w:val="both"/>
      </w:pPr>
      <w:r>
        <w:rPr>
          <w:sz w:val="12"/>
        </w:rPr>
        <w:t xml:space="preserve">│                       │      │        │        │  20  │   30    │   40   │       │        │        │       │        │        │</w:t>
      </w:r>
    </w:p>
    <w:p>
      <w:pPr>
        <w:pStyle w:val="3"/>
        <w:jc w:val="both"/>
      </w:pPr>
      <w:r>
        <w:rPr>
          <w:sz w:val="12"/>
        </w:rPr>
        <w:t xml:space="preserve">│                       │      │        │        │      │         │        │       │        │        │       │        │        │</w:t>
      </w:r>
    </w:p>
    <w:p>
      <w:pPr>
        <w:pStyle w:val="3"/>
        <w:jc w:val="both"/>
      </w:pPr>
      <w:r>
        <w:rPr>
          <w:sz w:val="12"/>
        </w:rPr>
        <w:t xml:space="preserve">│св. 10000 до 500000    │  -   │   -    │   -    │  40  │   50    │   60   │  40   │   50   │   60   │  35   │   40   │   45   │</w:t>
      </w:r>
    </w:p>
    <w:p>
      <w:pPr>
        <w:pStyle w:val="3"/>
        <w:jc w:val="both"/>
      </w:pPr>
      <w:r>
        <w:rPr>
          <w:sz w:val="12"/>
        </w:rPr>
        <w:t xml:space="preserve">│                       │      │        │        │  --  │   --    │   --   │       │        │        │       │        │        │</w:t>
      </w:r>
    </w:p>
    <w:p>
      <w:pPr>
        <w:pStyle w:val="3"/>
        <w:jc w:val="both"/>
      </w:pPr>
      <w:r>
        <w:rPr>
          <w:sz w:val="12"/>
        </w:rPr>
        <w:t xml:space="preserve">│                       │      │        │        │  30  │   40    │   50   │       │        │        │       │        │        │</w:t>
      </w:r>
    </w:p>
    <w:p>
      <w:pPr>
        <w:pStyle w:val="3"/>
        <w:jc w:val="both"/>
      </w:pPr>
      <w:r>
        <w:rPr>
          <w:sz w:val="12"/>
        </w:rPr>
        <w:t xml:space="preserve">│                       │      │        │        │      │         │        │       │        │        │       │        │        │</w:t>
      </w:r>
    </w:p>
    <w:p>
      <w:pPr>
        <w:pStyle w:val="3"/>
        <w:jc w:val="both"/>
      </w:pPr>
      <w:r>
        <w:rPr>
          <w:sz w:val="12"/>
        </w:rPr>
        <w:t xml:space="preserve">│св. 500000             │  -   │   -    │   -    │  50  │   60    │   70   │  50   │   60   │   70   │  40   │   45   │   50   │</w:t>
      </w:r>
    </w:p>
    <w:p>
      <w:pPr>
        <w:pStyle w:val="3"/>
        <w:jc w:val="both"/>
      </w:pPr>
      <w:r>
        <w:rPr>
          <w:sz w:val="12"/>
        </w:rPr>
        <w:t xml:space="preserve">│                       │      │        │        │  --  │   --    │   --   │       │        │        │       │        │        │</w:t>
      </w:r>
    </w:p>
    <w:p>
      <w:pPr>
        <w:pStyle w:val="3"/>
        <w:jc w:val="both"/>
      </w:pPr>
      <w:r>
        <w:rPr>
          <w:sz w:val="12"/>
        </w:rPr>
        <w:t xml:space="preserve">│                       │      │        │        │  40  │   50    │   60   │       │        │        │       │        │        │</w:t>
      </w:r>
    </w:p>
    <w:p>
      <w:pPr>
        <w:pStyle w:val="3"/>
        <w:jc w:val="both"/>
      </w:pPr>
      <w:r>
        <w:rPr>
          <w:sz w:val="12"/>
        </w:rPr>
        <w:t xml:space="preserve">├───────────────────────┼──────┼────────┼────────┼──────┼─────────┼────────┼───────┼────────┼────────┼───────┼────────┼────────┤</w:t>
      </w:r>
    </w:p>
    <w:p>
      <w:pPr>
        <w:pStyle w:val="3"/>
        <w:jc w:val="both"/>
      </w:pPr>
      <w:r>
        <w:rPr>
          <w:sz w:val="12"/>
        </w:rPr>
        <w:t xml:space="preserve">│17. Открытые и закрытые│      │        │        │      │         │        │       │        │        │       │        │        │</w:t>
      </w:r>
    </w:p>
    <w:p>
      <w:pPr>
        <w:pStyle w:val="3"/>
        <w:jc w:val="both"/>
      </w:pPr>
      <w:r>
        <w:rPr>
          <w:sz w:val="12"/>
        </w:rPr>
        <w:t xml:space="preserve">│склады   пиломатериалов│      │        │        │      │         │        │       │        │        │       │        │        │</w:t>
      </w:r>
    </w:p>
    <w:p>
      <w:pPr>
        <w:pStyle w:val="3"/>
        <w:jc w:val="both"/>
      </w:pPr>
      <w:r>
        <w:rPr>
          <w:sz w:val="12"/>
        </w:rPr>
        <w:t xml:space="preserve">│вместимостью,   плотных│      │        │        │      │         │        │       │        │        │       │        │        │</w:t>
      </w:r>
    </w:p>
    <w:p>
      <w:pPr>
        <w:pStyle w:val="3"/>
        <w:jc w:val="both"/>
      </w:pPr>
      <w:r>
        <w:rPr>
          <w:sz w:val="12"/>
        </w:rPr>
        <w:t xml:space="preserve">│м3:                    │      │        │        │      │         │        │       │        │        │       │        │        │</w:t>
      </w:r>
    </w:p>
    <w:p>
      <w:pPr>
        <w:pStyle w:val="3"/>
        <w:jc w:val="both"/>
      </w:pPr>
      <w:r>
        <w:rPr>
          <w:sz w:val="12"/>
        </w:rPr>
        <w:t xml:space="preserve">│                       │      │        │        │      │         │        │       │        │        │       │        │        │</w:t>
      </w:r>
    </w:p>
    <w:p>
      <w:pPr>
        <w:pStyle w:val="3"/>
        <w:jc w:val="both"/>
      </w:pPr>
      <w:r>
        <w:rPr>
          <w:sz w:val="12"/>
        </w:rPr>
        <w:t xml:space="preserve">│до 10000               │  30  │   40   │   50   │  -   │    -    │   -    │  40   │   50   │   60   │  20   │   30   │   40   │</w:t>
      </w:r>
    </w:p>
    <w:p>
      <w:pPr>
        <w:pStyle w:val="3"/>
        <w:jc w:val="both"/>
      </w:pPr>
      <w:r>
        <w:rPr>
          <w:sz w:val="12"/>
        </w:rPr>
        <w:t xml:space="preserve">│                       │  --  │   --   │   --   │      │         │        │  --   │   --   │   --   │  --   │   --   │   --   │</w:t>
      </w:r>
    </w:p>
    <w:p>
      <w:pPr>
        <w:pStyle w:val="3"/>
        <w:jc w:val="both"/>
      </w:pPr>
      <w:r>
        <w:rPr>
          <w:sz w:val="12"/>
        </w:rPr>
        <w:t xml:space="preserve">│                       │  20  │   30   │   40   │      │         │        │  30   │   40   │   50   │  15   │   20   │   25   │</w:t>
      </w:r>
    </w:p>
    <w:p>
      <w:pPr>
        <w:pStyle w:val="3"/>
        <w:jc w:val="both"/>
      </w:pPr>
      <w:r>
        <w:rPr>
          <w:sz w:val="12"/>
        </w:rPr>
        <w:t xml:space="preserve">│                       │      │        │        │      │         │        │       │        │        │       │        │        │</w:t>
      </w:r>
    </w:p>
    <w:p>
      <w:pPr>
        <w:pStyle w:val="3"/>
        <w:jc w:val="both"/>
      </w:pPr>
      <w:r>
        <w:rPr>
          <w:sz w:val="12"/>
        </w:rPr>
        <w:t xml:space="preserve">│св. 10000 до 100000    │  40  │   50   │   60   │  -   │    -    │   -    │  50   │   60   │   70   │  30   │   40   │   50   │</w:t>
      </w:r>
    </w:p>
    <w:p>
      <w:pPr>
        <w:pStyle w:val="3"/>
        <w:jc w:val="both"/>
      </w:pPr>
      <w:r>
        <w:rPr>
          <w:sz w:val="12"/>
        </w:rPr>
        <w:t xml:space="preserve">│                       │  --  │   --   │   --   │      │         │        │  --   │   --   │   --   │  --   │   --   │   --   │</w:t>
      </w:r>
    </w:p>
    <w:p>
      <w:pPr>
        <w:pStyle w:val="3"/>
        <w:jc w:val="both"/>
      </w:pPr>
      <w:r>
        <w:rPr>
          <w:sz w:val="12"/>
        </w:rPr>
        <w:t xml:space="preserve">│                       │  30  │   40   │   50   │      │         │        │  40   │   50   │   60   │  20   │   25   │   30   │</w:t>
      </w:r>
    </w:p>
    <w:p>
      <w:pPr>
        <w:pStyle w:val="3"/>
        <w:jc w:val="both"/>
      </w:pPr>
      <w:r>
        <w:rPr>
          <w:sz w:val="12"/>
        </w:rPr>
        <w:t xml:space="preserve">│                       │      │        │        │      │         │        │       │        │        │       │        │        │</w:t>
      </w:r>
    </w:p>
    <w:p>
      <w:pPr>
        <w:pStyle w:val="3"/>
        <w:jc w:val="both"/>
      </w:pPr>
      <w:r>
        <w:rPr>
          <w:sz w:val="12"/>
        </w:rPr>
        <w:t xml:space="preserve">│св. 100000             │  50  │   60   │   70   │  -   │    -    │   -    │  60   │   70   │   80   │  40   │   50   │   60   │</w:t>
      </w:r>
    </w:p>
    <w:p>
      <w:pPr>
        <w:pStyle w:val="3"/>
        <w:jc w:val="both"/>
      </w:pPr>
      <w:r>
        <w:rPr>
          <w:sz w:val="12"/>
        </w:rPr>
        <w:t xml:space="preserve">│                       │  --  │   --   │   --   │      │         │        │  --   │   --   │   --   │  --   │   --   │   --   │</w:t>
      </w:r>
    </w:p>
    <w:p>
      <w:pPr>
        <w:pStyle w:val="3"/>
        <w:jc w:val="both"/>
      </w:pPr>
      <w:r>
        <w:rPr>
          <w:sz w:val="12"/>
        </w:rPr>
        <w:t xml:space="preserve">│                       │  40  │   50   │   60   │      │         │        │  50   │   60   │   70   │  25   │   30   │   40   │</w:t>
      </w:r>
    </w:p>
    <w:p>
      <w:pPr>
        <w:pStyle w:val="3"/>
        <w:jc w:val="both"/>
      </w:pPr>
      <w:r>
        <w:rPr>
          <w:sz w:val="12"/>
        </w:rPr>
        <w:t xml:space="preserve">├───────────────────────┼──────┼────────┼────────┼──────┼─────────┼────────┼───────┼────────┼────────┼───────┼────────┼────────┤</w:t>
      </w:r>
    </w:p>
    <w:p>
      <w:pPr>
        <w:pStyle w:val="3"/>
        <w:jc w:val="both"/>
      </w:pPr>
      <w:r>
        <w:rPr>
          <w:sz w:val="12"/>
        </w:rPr>
        <w:t xml:space="preserve">│18. Открытые склады    │      │        │        │      │         │        │       │        │        │       │        │        │</w:t>
      </w:r>
    </w:p>
    <w:p>
      <w:pPr>
        <w:pStyle w:val="3"/>
        <w:jc w:val="both"/>
      </w:pPr>
      <w:r>
        <w:rPr>
          <w:sz w:val="12"/>
        </w:rPr>
        <w:t xml:space="preserve">│балансовой древесины,  │      │        │        │      │         │        │       │        │        │       │        │        │</w:t>
      </w:r>
    </w:p>
    <w:p>
      <w:pPr>
        <w:pStyle w:val="3"/>
        <w:jc w:val="both"/>
      </w:pPr>
      <w:r>
        <w:rPr>
          <w:sz w:val="12"/>
        </w:rPr>
        <w:t xml:space="preserve">│осмола и дров          │      │        │        │      │         │        │       │        │        │       │        │        │</w:t>
      </w:r>
    </w:p>
    <w:p>
      <w:pPr>
        <w:pStyle w:val="3"/>
        <w:jc w:val="both"/>
      </w:pPr>
      <w:r>
        <w:rPr>
          <w:sz w:val="12"/>
        </w:rPr>
        <w:t xml:space="preserve">│вместимостью, плотных  │      │        │        │      │         │        │       │        │        │       │        │        │</w:t>
      </w:r>
    </w:p>
    <w:p>
      <w:pPr>
        <w:pStyle w:val="3"/>
        <w:jc w:val="both"/>
      </w:pPr>
      <w:r>
        <w:rPr>
          <w:sz w:val="12"/>
        </w:rPr>
        <w:t xml:space="preserve">│м3:                    │      │        │        │      │         │        │       │        │        │       │        │        │</w:t>
      </w:r>
    </w:p>
    <w:p>
      <w:pPr>
        <w:pStyle w:val="3"/>
        <w:jc w:val="both"/>
      </w:pPr>
      <w:r>
        <w:rPr>
          <w:sz w:val="12"/>
        </w:rPr>
        <w:t xml:space="preserve">│                       │      │        │        │      │         │        │       │        │        │       │        │        │</w:t>
      </w:r>
    </w:p>
    <w:p>
      <w:pPr>
        <w:pStyle w:val="3"/>
        <w:jc w:val="both"/>
      </w:pPr>
      <w:r>
        <w:rPr>
          <w:sz w:val="12"/>
        </w:rPr>
        <w:t xml:space="preserve">│до 10000               │  30  │   40   │   50   │  40  │   50    │   60   │  40   │   50   │   60   │  20   │   30   │   40   │</w:t>
      </w:r>
    </w:p>
    <w:p>
      <w:pPr>
        <w:pStyle w:val="3"/>
        <w:jc w:val="both"/>
      </w:pPr>
      <w:r>
        <w:rPr>
          <w:sz w:val="12"/>
        </w:rPr>
        <w:t xml:space="preserve">│                       │      │        │        │  --  │   --    │   --   │       │        │        │       │        │        │</w:t>
      </w:r>
    </w:p>
    <w:p>
      <w:pPr>
        <w:pStyle w:val="3"/>
        <w:jc w:val="both"/>
      </w:pPr>
      <w:r>
        <w:rPr>
          <w:sz w:val="12"/>
        </w:rPr>
        <w:t xml:space="preserve">│                       │      │        │        │  30  │   40    │   50   │       │        │        │       │        │        │</w:t>
      </w:r>
    </w:p>
    <w:p>
      <w:pPr>
        <w:pStyle w:val="3"/>
        <w:jc w:val="both"/>
      </w:pPr>
      <w:r>
        <w:rPr>
          <w:sz w:val="12"/>
        </w:rPr>
        <w:t xml:space="preserve">│                       │      │        │        │      │         │        │       │        │        │       │        │        │</w:t>
      </w:r>
    </w:p>
    <w:p>
      <w:pPr>
        <w:pStyle w:val="3"/>
        <w:jc w:val="both"/>
      </w:pPr>
      <w:r>
        <w:rPr>
          <w:sz w:val="12"/>
        </w:rPr>
        <w:t xml:space="preserve">│св. 10000 до 500000    │  40  │   50   │   60   │  50  │   60    │   70   │  50   │   60   │   70   │  30   │   40   │   50   │</w:t>
      </w:r>
    </w:p>
    <w:p>
      <w:pPr>
        <w:pStyle w:val="3"/>
        <w:jc w:val="both"/>
      </w:pPr>
      <w:r>
        <w:rPr>
          <w:sz w:val="12"/>
        </w:rPr>
        <w:t xml:space="preserve">│                       │      │        │        │  --  │   --    │   --   │       │        │        │       │        │        │</w:t>
      </w:r>
    </w:p>
    <w:p>
      <w:pPr>
        <w:pStyle w:val="3"/>
        <w:jc w:val="both"/>
      </w:pPr>
      <w:r>
        <w:rPr>
          <w:sz w:val="12"/>
        </w:rPr>
        <w:t xml:space="preserve">│                       │      │        │        │  40  │   50    │   60   │       │        │        │       │        │        │</w:t>
      </w:r>
    </w:p>
    <w:p>
      <w:pPr>
        <w:pStyle w:val="3"/>
        <w:jc w:val="both"/>
      </w:pPr>
      <w:r>
        <w:rPr>
          <w:sz w:val="12"/>
        </w:rPr>
        <w:t xml:space="preserve">│                       │      │        │        │      │         │        │       │        │        │       │        │        │</w:t>
      </w:r>
    </w:p>
    <w:p>
      <w:pPr>
        <w:pStyle w:val="3"/>
        <w:jc w:val="both"/>
      </w:pPr>
      <w:r>
        <w:rPr>
          <w:sz w:val="12"/>
        </w:rPr>
        <w:t xml:space="preserve">│св. 500000             │  50  │   60   │   70   │  60  │   70    │   80   │  60   │   70   │   80   │  40   │   50   │   60   │</w:t>
      </w:r>
    </w:p>
    <w:p>
      <w:pPr>
        <w:pStyle w:val="3"/>
        <w:jc w:val="both"/>
      </w:pPr>
      <w:r>
        <w:rPr>
          <w:sz w:val="12"/>
        </w:rPr>
        <w:t xml:space="preserve">│                       │      │        │        │  --  │   --    │   --   │       │        │        │       │        │        │</w:t>
      </w:r>
    </w:p>
    <w:p>
      <w:pPr>
        <w:pStyle w:val="3"/>
        <w:jc w:val="both"/>
      </w:pPr>
      <w:r>
        <w:rPr>
          <w:sz w:val="12"/>
        </w:rPr>
        <w:t xml:space="preserve">│                       │      │        │        │  50  │   60    │   70   │       │        │        │       │        │        │</w:t>
      </w:r>
    </w:p>
    <w:p>
      <w:pPr>
        <w:pStyle w:val="3"/>
        <w:jc w:val="both"/>
      </w:pPr>
      <w:r>
        <w:rPr>
          <w:sz w:val="12"/>
        </w:rPr>
        <w:t xml:space="preserve">├───────────────────────┼──────┼────────┼────────┼──────┼─────────┼────────┼───────┼────────┼────────┼───────┼────────┼────────┤</w:t>
      </w:r>
    </w:p>
    <w:p>
      <w:pPr>
        <w:pStyle w:val="3"/>
        <w:jc w:val="both"/>
      </w:pPr>
      <w:r>
        <w:rPr>
          <w:sz w:val="12"/>
        </w:rPr>
        <w:t xml:space="preserve">│19. Открытые склады    │      │        │        │      │         │        │       │        │        │       │        │        │</w:t>
      </w:r>
    </w:p>
    <w:p>
      <w:pPr>
        <w:pStyle w:val="3"/>
        <w:jc w:val="both"/>
      </w:pPr>
      <w:r>
        <w:rPr>
          <w:sz w:val="12"/>
        </w:rPr>
        <w:t xml:space="preserve">│щепы и опилок          │      │        │        │      │         │        │       │        │        │       │        │        │</w:t>
      </w:r>
    </w:p>
    <w:p>
      <w:pPr>
        <w:pStyle w:val="3"/>
        <w:jc w:val="both"/>
      </w:pPr>
      <w:r>
        <w:rPr>
          <w:sz w:val="12"/>
        </w:rPr>
        <w:t xml:space="preserve">│вместимостью, плотных  │      │        │        │      │         │        │       │        │        │       │        │        │</w:t>
      </w:r>
    </w:p>
    <w:p>
      <w:pPr>
        <w:pStyle w:val="3"/>
        <w:jc w:val="both"/>
      </w:pPr>
      <w:r>
        <w:rPr>
          <w:sz w:val="12"/>
        </w:rPr>
        <w:t xml:space="preserve">│м3:                    │      │        │        │      │         │        │       │        │        │       │        │        │</w:t>
      </w:r>
    </w:p>
    <w:p>
      <w:pPr>
        <w:pStyle w:val="3"/>
        <w:jc w:val="both"/>
      </w:pPr>
      <w:r>
        <w:rPr>
          <w:sz w:val="12"/>
        </w:rPr>
        <w:t xml:space="preserve">│                       │      │        │        │      │         │        │       │        │        │       │        │        │</w:t>
      </w:r>
    </w:p>
    <w:p>
      <w:pPr>
        <w:pStyle w:val="3"/>
        <w:jc w:val="both"/>
      </w:pPr>
      <w:r>
        <w:rPr>
          <w:sz w:val="12"/>
        </w:rPr>
        <w:t xml:space="preserve">│до 10000               │  30  │   40   │   50   │  40  │   50    │   60   │  40   │   50   │   60   │   -   │   -    │   -    │</w:t>
      </w:r>
    </w:p>
    <w:p>
      <w:pPr>
        <w:pStyle w:val="3"/>
        <w:jc w:val="both"/>
      </w:pPr>
      <w:r>
        <w:rPr>
          <w:sz w:val="12"/>
        </w:rPr>
        <w:t xml:space="preserve">│                       │      │        │        │  --  │   --    │   --   │       │        │        │       │        │        │</w:t>
      </w:r>
    </w:p>
    <w:p>
      <w:pPr>
        <w:pStyle w:val="3"/>
        <w:jc w:val="both"/>
      </w:pPr>
      <w:r>
        <w:rPr>
          <w:sz w:val="12"/>
        </w:rPr>
        <w:t xml:space="preserve">│                       │      │        │        │  30  │   40    │   50   │       │        │        │       │        │        │</w:t>
      </w:r>
    </w:p>
    <w:p>
      <w:pPr>
        <w:pStyle w:val="3"/>
        <w:jc w:val="both"/>
      </w:pPr>
      <w:r>
        <w:rPr>
          <w:sz w:val="12"/>
        </w:rPr>
        <w:t xml:space="preserve">│                       │      │        │        │      │         │        │       │        │        │       │        │        │</w:t>
      </w:r>
    </w:p>
    <w:p>
      <w:pPr>
        <w:pStyle w:val="3"/>
        <w:jc w:val="both"/>
      </w:pPr>
      <w:r>
        <w:rPr>
          <w:sz w:val="12"/>
        </w:rPr>
        <w:t xml:space="preserve">│св. 10000 до 500000    │  40  │   50   │   60   │  50  │   60    │   70   │  50   │   60   │   70   │   -   │   -    │   -    │</w:t>
      </w:r>
    </w:p>
    <w:p>
      <w:pPr>
        <w:pStyle w:val="3"/>
        <w:jc w:val="both"/>
      </w:pPr>
      <w:r>
        <w:rPr>
          <w:sz w:val="12"/>
        </w:rPr>
        <w:t xml:space="preserve">│                       │      │        │        │  --  │   --    │   --   │       │        │        │       │        │        │</w:t>
      </w:r>
    </w:p>
    <w:p>
      <w:pPr>
        <w:pStyle w:val="3"/>
        <w:jc w:val="both"/>
      </w:pPr>
      <w:r>
        <w:rPr>
          <w:sz w:val="12"/>
        </w:rPr>
        <w:t xml:space="preserve">│                       │      │        │        │  40  │   50    │   60   │       │        │        │       │        │        │</w:t>
      </w:r>
    </w:p>
    <w:p>
      <w:pPr>
        <w:pStyle w:val="3"/>
        <w:jc w:val="both"/>
      </w:pPr>
      <w:r>
        <w:rPr>
          <w:sz w:val="12"/>
        </w:rPr>
        <w:t xml:space="preserve">│                       │      │        │        │      │         │        │       │        │        │       │        │        │</w:t>
      </w:r>
    </w:p>
    <w:p>
      <w:pPr>
        <w:pStyle w:val="3"/>
        <w:jc w:val="both"/>
      </w:pPr>
      <w:r>
        <w:rPr>
          <w:sz w:val="12"/>
        </w:rPr>
        <w:t xml:space="preserve">│св. 500000             │  50  │   60   │   70   │  60  │   70    │   80   │  60   │   70   │   80   │   -   │   -    │   -    │</w:t>
      </w:r>
    </w:p>
    <w:p>
      <w:pPr>
        <w:pStyle w:val="3"/>
        <w:jc w:val="both"/>
      </w:pPr>
      <w:r>
        <w:rPr>
          <w:sz w:val="12"/>
        </w:rPr>
        <w:t xml:space="preserve">│                       │      │        │        │  --  │   --    │   --   │       │        │        │       │        │        │</w:t>
      </w:r>
    </w:p>
    <w:p>
      <w:pPr>
        <w:pStyle w:val="3"/>
        <w:jc w:val="both"/>
      </w:pPr>
      <w:r>
        <w:rPr>
          <w:sz w:val="12"/>
        </w:rPr>
        <w:t xml:space="preserve">│                       │      │        │        │  50  │   60    │   70   │       │        │        │       │        │        │</w:t>
      </w:r>
    </w:p>
    <w:p>
      <w:pPr>
        <w:pStyle w:val="3"/>
        <w:jc w:val="both"/>
      </w:pPr>
      <w:r>
        <w:rPr>
          <w:sz w:val="12"/>
        </w:rPr>
        <w:t xml:space="preserve">├───────────────────────┼──────┼────────┼────────┼──────┼─────────┼────────┼───────┼────────┼────────┼───────┼────────┼────────┤</w:t>
      </w:r>
    </w:p>
    <w:p>
      <w:pPr>
        <w:pStyle w:val="3"/>
        <w:jc w:val="both"/>
      </w:pPr>
      <w:r>
        <w:rPr>
          <w:sz w:val="12"/>
        </w:rPr>
        <w:t xml:space="preserve">│20. Кучи (отвалы) коры │  40  │   50   │   60   │  50  │   60    │   70   │  50   │   60   │   70   │  30   │   40   │   50   │</w:t>
      </w:r>
    </w:p>
    <w:p>
      <w:pPr>
        <w:pStyle w:val="3"/>
        <w:jc w:val="both"/>
      </w:pPr>
      <w:r>
        <w:rPr>
          <w:sz w:val="12"/>
        </w:rPr>
        <w:t xml:space="preserve">│                       │      │        │        │  --  │   --    │   --   │       │        │        │       │        │        │</w:t>
      </w:r>
    </w:p>
    <w:p>
      <w:pPr>
        <w:pStyle w:val="3"/>
        <w:jc w:val="both"/>
      </w:pPr>
      <w:r>
        <w:rPr>
          <w:sz w:val="12"/>
        </w:rPr>
        <w:t xml:space="preserve">│                       │      │        │        │  40  │   50    │   60   │       │        │        │       │        │        │</w:t>
      </w:r>
    </w:p>
    <w:p>
      <w:pPr>
        <w:pStyle w:val="3"/>
        <w:jc w:val="both"/>
      </w:pPr>
      <w:r>
        <w:rPr>
          <w:sz w:val="12"/>
        </w:rPr>
        <w:t xml:space="preserve">├───────────────────────┼──────┼────────┼────────┼──────┼─────────┼────────┼───────┼────────┼────────┤       │        │        │</w:t>
      </w:r>
    </w:p>
    <w:p>
      <w:pPr>
        <w:pStyle w:val="3"/>
        <w:jc w:val="both"/>
      </w:pPr>
      <w:r>
        <w:rPr>
          <w:sz w:val="12"/>
        </w:rPr>
        <w:t xml:space="preserve">│21. Ограждения и заборы│  15  │   15   │   15   │  20  │   20    │   20   │  15   │   15   │   15   │  15   │   15   │   15   │</w:t>
      </w:r>
    </w:p>
    <w:p>
      <w:pPr>
        <w:pStyle w:val="3"/>
        <w:jc w:val="both"/>
      </w:pPr>
      <w:r>
        <w:rPr>
          <w:sz w:val="12"/>
        </w:rPr>
        <w:t xml:space="preserve">│                       │      │        │        │  --  │   --    │   --   │       │        │        │       │        │        │</w:t>
      </w:r>
    </w:p>
    <w:p>
      <w:pPr>
        <w:pStyle w:val="3"/>
        <w:jc w:val="both"/>
      </w:pPr>
      <w:r>
        <w:rPr>
          <w:sz w:val="12"/>
        </w:rPr>
        <w:t xml:space="preserve">│                       │      │        │        │  20  │   20    │   20   │       │        │        │       │        │        │</w:t>
      </w:r>
    </w:p>
    <w:p>
      <w:pPr>
        <w:pStyle w:val="3"/>
        <w:jc w:val="both"/>
      </w:pPr>
      <w:r>
        <w:rPr>
          <w:sz w:val="12"/>
        </w:rPr>
        <w:t xml:space="preserve">├───────────────────────┼──────┴────────┴────────┴──────┴─────────┴────────┴───────┴────────┴────────┴───────┴────────┴────────┤</w:t>
      </w:r>
    </w:p>
    <w:p>
      <w:pPr>
        <w:pStyle w:val="3"/>
        <w:jc w:val="both"/>
      </w:pPr>
      <w:r>
        <w:rPr>
          <w:sz w:val="12"/>
        </w:rPr>
        <w:t xml:space="preserve">│22. Магистральные      │Как для лесоперерабатывающих предприятий                                                              │</w:t>
      </w:r>
    </w:p>
    <w:p>
      <w:pPr>
        <w:pStyle w:val="3"/>
        <w:jc w:val="both"/>
      </w:pPr>
      <w:r>
        <w:rPr>
          <w:sz w:val="12"/>
        </w:rPr>
        <w:t xml:space="preserve">│трубопроводы -         │                                                                                                      │</w:t>
      </w:r>
    </w:p>
    <w:p>
      <w:pPr>
        <w:pStyle w:val="3"/>
        <w:jc w:val="both"/>
      </w:pPr>
      <w:r>
        <w:rPr>
          <w:sz w:val="12"/>
        </w:rPr>
        <w:t xml:space="preserve">│газопроводы давлением  │                                                                                                      │</w:t>
      </w:r>
    </w:p>
    <w:p>
      <w:pPr>
        <w:pStyle w:val="3"/>
        <w:jc w:val="both"/>
      </w:pPr>
      <w:r>
        <w:rPr>
          <w:sz w:val="12"/>
        </w:rPr>
        <w:t xml:space="preserve">│не св. 1,2 МПа (12     │                                                                                                      │</w:t>
      </w:r>
    </w:p>
    <w:p>
      <w:pPr>
        <w:pStyle w:val="3"/>
        <w:jc w:val="both"/>
      </w:pPr>
      <w:r>
        <w:rPr>
          <w:sz w:val="12"/>
        </w:rPr>
        <w:t xml:space="preserve">│      -2               │                                                                                                      │</w:t>
      </w:r>
    </w:p>
    <w:p>
      <w:pPr>
        <w:pStyle w:val="3"/>
        <w:jc w:val="both"/>
      </w:pPr>
      <w:r>
        <w:rPr>
          <w:sz w:val="12"/>
        </w:rPr>
        <w:t xml:space="preserve">│кгс/см  ), нефте- и    │                                                                                                      │</w:t>
      </w:r>
    </w:p>
    <w:p>
      <w:pPr>
        <w:pStyle w:val="3"/>
        <w:jc w:val="both"/>
      </w:pPr>
      <w:r>
        <w:rPr>
          <w:sz w:val="12"/>
        </w:rPr>
        <w:t xml:space="preserve">│нефтепродуктопроводы   │                                                                                                      │</w:t>
      </w:r>
    </w:p>
    <w:p>
      <w:pPr>
        <w:pStyle w:val="3"/>
        <w:jc w:val="both"/>
      </w:pPr>
      <w:r>
        <w:rPr>
          <w:sz w:val="12"/>
        </w:rPr>
        <w:t xml:space="preserve">└───────────────────────┴──────────────────────────────────────────────────────────────────────────────────────────────────────┘</w:t>
      </w:r>
    </w:p>
    <w:p>
      <w:pPr>
        <w:pStyle w:val="0"/>
        <w:ind w:firstLine="540"/>
        <w:jc w:val="both"/>
      </w:pPr>
      <w:r>
        <w:rPr>
          <w:sz w:val="20"/>
        </w:rPr>
      </w:r>
    </w:p>
    <w:p>
      <w:pPr>
        <w:pStyle w:val="0"/>
        <w:ind w:firstLine="540"/>
        <w:jc w:val="both"/>
      </w:pPr>
      <w:r>
        <w:rPr>
          <w:sz w:val="20"/>
        </w:rPr>
        <w:t xml:space="preserve">Противопожарные расстояния от открытых и закрытых складов лесоматериалов до складов ГЖ определяются из расчета: 1 м</w:t>
      </w:r>
      <w:r>
        <w:rPr>
          <w:sz w:val="20"/>
          <w:vertAlign w:val="superscript"/>
        </w:rPr>
        <w:t xml:space="preserve">3</w:t>
      </w:r>
      <w:r>
        <w:rPr>
          <w:sz w:val="20"/>
        </w:rPr>
        <w:t xml:space="preserve"> ЛВЖ приравнивается к 5 м</w:t>
      </w:r>
      <w:r>
        <w:rPr>
          <w:sz w:val="20"/>
          <w:vertAlign w:val="superscript"/>
        </w:rPr>
        <w:t xml:space="preserve">3</w:t>
      </w:r>
      <w:r>
        <w:rPr>
          <w:sz w:val="20"/>
        </w:rPr>
        <w:t xml:space="preserve"> ГЖ, и 1 м</w:t>
      </w:r>
      <w:r>
        <w:rPr>
          <w:sz w:val="20"/>
          <w:vertAlign w:val="superscript"/>
        </w:rPr>
        <w:t xml:space="preserve">3</w:t>
      </w:r>
      <w:r>
        <w:rPr>
          <w:sz w:val="20"/>
        </w:rPr>
        <w:t xml:space="preserve"> ГЖ наземного хранения приравнивается к 2 м</w:t>
      </w:r>
      <w:r>
        <w:rPr>
          <w:sz w:val="20"/>
          <w:vertAlign w:val="superscript"/>
        </w:rPr>
        <w:t xml:space="preserve">3</w:t>
      </w:r>
      <w:r>
        <w:rPr>
          <w:sz w:val="20"/>
        </w:rPr>
        <w:t xml:space="preserve"> ГЖ подземного хранения.</w:t>
      </w:r>
    </w:p>
    <w:p>
      <w:pPr>
        <w:pStyle w:val="0"/>
        <w:spacing w:before="200" w:line-rule="auto"/>
        <w:ind w:firstLine="540"/>
        <w:jc w:val="both"/>
      </w:pPr>
      <w:r>
        <w:rPr>
          <w:sz w:val="20"/>
        </w:rPr>
        <w:t xml:space="preserve">Разрывы от складов самовозгорающихся углей до открытых и закрытых складов лесоматериалов надлежит увеличивать на 25%.</w:t>
      </w:r>
    </w:p>
    <w:p>
      <w:pPr>
        <w:pStyle w:val="0"/>
        <w:spacing w:before="200" w:line-rule="auto"/>
        <w:ind w:firstLine="540"/>
        <w:jc w:val="both"/>
      </w:pPr>
      <w:r>
        <w:rPr>
          <w:sz w:val="20"/>
        </w:rPr>
        <w:t xml:space="preserve">Допускается увеличение разрывов на 10 - 15% с учетом климатических зон.</w:t>
      </w:r>
    </w:p>
    <w:p>
      <w:pPr>
        <w:pStyle w:val="0"/>
        <w:spacing w:before="200" w:line-rule="auto"/>
        <w:ind w:firstLine="540"/>
        <w:jc w:val="both"/>
      </w:pPr>
      <w:r>
        <w:rPr>
          <w:sz w:val="20"/>
        </w:rPr>
        <w:t xml:space="preserve">6.8.27. Мосты на территории склада лесоматериалов предусматриваются из материалов НГ.</w:t>
      </w:r>
    </w:p>
    <w:p>
      <w:pPr>
        <w:pStyle w:val="0"/>
        <w:spacing w:before="200" w:line-rule="auto"/>
        <w:ind w:firstLine="540"/>
        <w:jc w:val="both"/>
      </w:pPr>
      <w:r>
        <w:rPr>
          <w:sz w:val="20"/>
        </w:rPr>
        <w:t xml:space="preserve">6.8.28. Категория зданий и сооружений складов лесоматериалов устанавливается в технологической части проекта в соответствии с </w:t>
      </w:r>
      <w:hyperlink w:history="0" r:id="rId350" w:tooltip="Приказ МЧС РФ от 25.03.2009 N 182 (ред. от 09.12.2010) &quot;Об утверждении свода правил &quot;Определение категорий помещений, зданий и наружных установок по взрывопожарной и пожарной опасности&quot; (вместе с &quot;СП 12.13130.2009...&quot;) {КонсультантПлюс}">
        <w:r>
          <w:rPr>
            <w:sz w:val="20"/>
            <w:color w:val="0000ff"/>
          </w:rPr>
          <w:t xml:space="preserve">СП 12.13130</w:t>
        </w:r>
      </w:hyperlink>
      <w:r>
        <w:rPr>
          <w:sz w:val="20"/>
        </w:rPr>
        <w:t xml:space="preserve">.</w:t>
      </w:r>
    </w:p>
    <w:p>
      <w:pPr>
        <w:pStyle w:val="0"/>
        <w:spacing w:before="200" w:line-rule="auto"/>
        <w:ind w:firstLine="540"/>
        <w:jc w:val="both"/>
      </w:pPr>
      <w:r>
        <w:rPr>
          <w:sz w:val="20"/>
        </w:rPr>
        <w:t xml:space="preserve">6.8.29. Автоматические установки пожаротушения и автоматическую пожарную сигнализацию в зданиях и сооружениях складов лесоматериалов предусматривают в соответствии с </w:t>
      </w:r>
      <w:hyperlink w:history="0" r:id="rId351" w:tooltip="Приказ МЧС России от 31.07.2020 N 582 &quot;Об утверждении свода правил &quot;Системы противопожарной защиты. Системы пожарной сигнализации и автоматизация систем противопожарной защиты. Нормы и правила проектирования&quot; (вместе с &quot;СП 484.1311500.2020. Свод правил. Системы противопожарной защиты. Системы пожарной сигнализации и автоматизация систем противопожарной защиты. Нормы и правила проектирования&quot;) {КонсультантПлюс}">
        <w:r>
          <w:rPr>
            <w:sz w:val="20"/>
            <w:color w:val="0000ff"/>
          </w:rPr>
          <w:t xml:space="preserve">СП 484.1311500</w:t>
        </w:r>
      </w:hyperlink>
      <w:r>
        <w:rPr>
          <w:sz w:val="20"/>
        </w:rPr>
        <w:t xml:space="preserve"> и </w:t>
      </w:r>
      <w:hyperlink w:history="0" r:id="rId352" w:tooltip="Приказ МЧС России от 31.08.2020 N 628 &quot;Об утверждении свода правил &quot;Системы противопожарной защиты. Установки пожаротушения автоматические. Нормы и правила проектирования&quot; (вместе с &quot;СП 485.1311500.2020. Свод правил. Системы противопожарной защиты. Установки пожаротушения автоматические. Нормы и правила проектирования&quot;) {КонсультантПлюс}">
        <w:r>
          <w:rPr>
            <w:sz w:val="20"/>
            <w:color w:val="0000ff"/>
          </w:rPr>
          <w:t xml:space="preserve">СП 485.1311500</w:t>
        </w:r>
      </w:hyperlink>
      <w:r>
        <w:rPr>
          <w:sz w:val="20"/>
        </w:rPr>
        <w:t xml:space="preserve">, а также с требованиями настоящего свода правил.</w:t>
      </w:r>
    </w:p>
    <w:p>
      <w:pPr>
        <w:pStyle w:val="0"/>
        <w:jc w:val="both"/>
      </w:pPr>
      <w:r>
        <w:rPr>
          <w:sz w:val="20"/>
        </w:rPr>
        <w:t xml:space="preserve">(в ред. </w:t>
      </w:r>
      <w:hyperlink w:history="0" r:id="rId353"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6.8.30. На территории открытых складов лесоматериалов надлежит предусматривать адресную электрическую пожарную сигнализацию с ручными пожарными извещателями.</w:t>
      </w:r>
    </w:p>
    <w:p>
      <w:pPr>
        <w:pStyle w:val="0"/>
        <w:spacing w:before="200" w:line-rule="auto"/>
        <w:ind w:firstLine="540"/>
        <w:jc w:val="both"/>
      </w:pPr>
      <w:r>
        <w:rPr>
          <w:sz w:val="20"/>
        </w:rPr>
        <w:t xml:space="preserve">6.8.31. Ручные пожарные извещатели устанавливаются по противопожарным разрывам между отдельными группами штабелей и куч, кварталами и участками на расстоянии не более 100 м друг от друга, на негорючих опорах и на высоте 1,35 м от земли.</w:t>
      </w:r>
    </w:p>
    <w:p>
      <w:pPr>
        <w:pStyle w:val="0"/>
        <w:spacing w:before="200" w:line-rule="auto"/>
        <w:ind w:firstLine="540"/>
        <w:jc w:val="both"/>
      </w:pPr>
      <w:r>
        <w:rPr>
          <w:sz w:val="20"/>
        </w:rPr>
        <w:t xml:space="preserve">6.8.32. Здания и сооружения закрытых складов лесоматериалов подлежат защите системами приточно-вытяжной противодымной вентиляции в соответствии с </w:t>
      </w:r>
      <w:hyperlink w:history="0" r:id="rId354" w:tooltip="Приказ МЧС России от 21.02.2013 N 116 (ред. от 12.03.2020) &quot;Об утверждении свода правил СП 7.13130 &quot;Отопление, вентиляция и кондиционирование. Требования пожарной безопасности&quot; {КонсультантПлюс}">
        <w:r>
          <w:rPr>
            <w:sz w:val="20"/>
            <w:color w:val="0000ff"/>
          </w:rPr>
          <w:t xml:space="preserve">СП 7.13130</w:t>
        </w:r>
      </w:hyperlink>
      <w:r>
        <w:rPr>
          <w:sz w:val="20"/>
        </w:rPr>
        <w:t xml:space="preserve">.</w:t>
      </w:r>
    </w:p>
    <w:p>
      <w:pPr>
        <w:pStyle w:val="0"/>
        <w:jc w:val="both"/>
      </w:pPr>
      <w:r>
        <w:rPr>
          <w:sz w:val="20"/>
        </w:rPr>
        <w:t xml:space="preserve">(п. 6.8.32 в ред. </w:t>
      </w:r>
      <w:hyperlink w:history="0" r:id="rId355"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6.8.33. Системы оповещения людей о пожаре на складах лесоматериалов предусматриваются в соответствии с </w:t>
      </w:r>
      <w:hyperlink w:history="0" r:id="rId356" w:tooltip="&quot;СП 3.13130.2009. Свод правил. Системы противопожарной защиты. Система оповещения и управления эвакуацией людей при пожаре. Требования пожарной безопасности&quot; (утв. Приказом МЧС РФ от 25.03.2009 N 173) {КонсультантПлюс}">
        <w:r>
          <w:rPr>
            <w:sz w:val="20"/>
            <w:color w:val="0000ff"/>
          </w:rPr>
          <w:t xml:space="preserve">СП 3.13130</w:t>
        </w:r>
      </w:hyperlink>
      <w:r>
        <w:rPr>
          <w:sz w:val="20"/>
        </w:rPr>
        <w:t xml:space="preserve">, а также с требованиями настоящего свода правил.</w:t>
      </w:r>
    </w:p>
    <w:p>
      <w:pPr>
        <w:pStyle w:val="0"/>
        <w:spacing w:before="200" w:line-rule="auto"/>
        <w:ind w:firstLine="540"/>
        <w:jc w:val="both"/>
      </w:pPr>
      <w:r>
        <w:rPr>
          <w:sz w:val="20"/>
        </w:rPr>
        <w:t xml:space="preserve">При наличии установок диспетчерского телевизионного наблюдения за технологическим процессом на складе лесоматериалов их надлежит использовать и для наблюдения за противопожарным режимом на территории и в зданиях складов.</w:t>
      </w:r>
    </w:p>
    <w:p>
      <w:pPr>
        <w:pStyle w:val="0"/>
        <w:spacing w:before="200" w:line-rule="auto"/>
        <w:ind w:firstLine="540"/>
        <w:jc w:val="both"/>
      </w:pPr>
      <w:r>
        <w:rPr>
          <w:sz w:val="20"/>
        </w:rPr>
        <w:t xml:space="preserve">6.8.34. Приемно-контрольные приборы пожарной сигнализации должны устанавливаться в помещениях дежурного персонала (ПДП) склада и в пожарной части (ПЧ) предприятия.</w:t>
      </w:r>
    </w:p>
    <w:p>
      <w:pPr>
        <w:pStyle w:val="0"/>
        <w:spacing w:before="200" w:line-rule="auto"/>
        <w:ind w:firstLine="540"/>
        <w:jc w:val="both"/>
      </w:pPr>
      <w:r>
        <w:rPr>
          <w:sz w:val="20"/>
        </w:rPr>
        <w:t xml:space="preserve">6.8.35. Молниезащиту складов лесоматериалов надлежит предусматривать III категории.</w:t>
      </w:r>
    </w:p>
    <w:p>
      <w:pPr>
        <w:pStyle w:val="0"/>
        <w:spacing w:before="200" w:line-rule="auto"/>
        <w:ind w:firstLine="540"/>
        <w:jc w:val="both"/>
      </w:pPr>
      <w:r>
        <w:rPr>
          <w:sz w:val="20"/>
        </w:rPr>
        <w:t xml:space="preserve">6.8.36. К зданиям и навесам складов пиломатериалов по всей их длине надлежит предусматривать проезды и подъезды с твердым покрытием шириной не менее 3 м для передвижения и маневрирования основных и специальных пожарных машин: с одной стороны - при ширине здания и навеса до 18 м, с двух сторон - при ширине более 18 м.</w:t>
      </w:r>
    </w:p>
    <w:p>
      <w:pPr>
        <w:pStyle w:val="0"/>
        <w:spacing w:before="200" w:line-rule="auto"/>
        <w:ind w:firstLine="540"/>
        <w:jc w:val="both"/>
      </w:pPr>
      <w:r>
        <w:rPr>
          <w:sz w:val="20"/>
        </w:rPr>
        <w:t xml:space="preserve">6.8.37. По разрывам между кучами предусматриваются дороги с твердым покрытием шириной не менее 3 м для проезда пожарных машин с трех сторон прямоугольных куч, по всему периметру круглых куч, а также по внешнему периметру кольцеобразных куч.</w:t>
      </w:r>
    </w:p>
    <w:p>
      <w:pPr>
        <w:pStyle w:val="0"/>
        <w:spacing w:before="200" w:line-rule="auto"/>
        <w:ind w:firstLine="540"/>
        <w:jc w:val="both"/>
      </w:pPr>
      <w:r>
        <w:rPr>
          <w:sz w:val="20"/>
        </w:rPr>
        <w:t xml:space="preserve">6.8.38. По противопожарным разрывам между кварталами, участками и у внешних сторон кварталов и участков склада балансовой древесины, осмола и дров предусматриваются дороги с твердым покрытием шириной не менее 3 м для проезда и маневрирования основных и специальных пожарных машин. Расстояния от оснований куч до середины указанных дорог принимаются не менее 8 м и не более 30 м.</w:t>
      </w:r>
    </w:p>
    <w:p>
      <w:pPr>
        <w:pStyle w:val="0"/>
        <w:spacing w:before="200" w:line-rule="auto"/>
        <w:ind w:firstLine="540"/>
        <w:jc w:val="both"/>
      </w:pPr>
      <w:r>
        <w:rPr>
          <w:sz w:val="20"/>
        </w:rPr>
        <w:t xml:space="preserve">6.8.39. Высота куч должна быть не более 30 м, ширина у основания прямоугольных и кольцеобразных куч или диаметр круглых куч - не более 90 м.</w:t>
      </w:r>
    </w:p>
    <w:p>
      <w:pPr>
        <w:pStyle w:val="0"/>
        <w:spacing w:before="200" w:line-rule="auto"/>
        <w:ind w:firstLine="540"/>
        <w:jc w:val="both"/>
      </w:pPr>
      <w:r>
        <w:rPr>
          <w:sz w:val="20"/>
        </w:rPr>
        <w:t xml:space="preserve">6.8.40. Конвейеры, устанавливаемые в подземно-надземных галереях, рекомендуется оснащать лентами из негорючих материалов.</w:t>
      </w:r>
    </w:p>
    <w:p>
      <w:pPr>
        <w:pStyle w:val="0"/>
        <w:spacing w:before="200" w:line-rule="auto"/>
        <w:ind w:firstLine="540"/>
        <w:jc w:val="both"/>
      </w:pPr>
      <w:r>
        <w:rPr>
          <w:sz w:val="20"/>
        </w:rPr>
        <w:t xml:space="preserve">6.8.41. Служебные и патрульные автомобильные дороги, располагаемые вдоль линий конвейерного транспорта, надлежит использовать для проезда и маневрирования основных и специальных пожарных машин, при этом ширина проезжей части дорог с твердым покрытием должна быть не менее 3 м.</w:t>
      </w:r>
    </w:p>
    <w:p>
      <w:pPr>
        <w:pStyle w:val="0"/>
        <w:spacing w:before="200" w:line-rule="auto"/>
        <w:ind w:firstLine="540"/>
        <w:jc w:val="both"/>
      </w:pPr>
      <w:r>
        <w:rPr>
          <w:sz w:val="20"/>
        </w:rPr>
        <w:t xml:space="preserve">6.8.42. В закрытых наружных отапливаемых и неотапливаемых галереях и эстакадах надлежит предусматривать внутренний противопожарный водопровод и автоматическую пожарную сигнализацию. Расход воды на внутреннее пожаротушение принимается не менее 10 л/с (две струи, по 5 л/с каждая). В неотапливаемых галереях и эстакадах с минимальной температурой ниже 5 °C предусматривается противопожарный водопровод, заполненный в дежурном режиме (до пожара) воздухом под напором не менее 0,2 МПа (2 кгс x см</w:t>
      </w:r>
      <w:r>
        <w:rPr>
          <w:sz w:val="20"/>
          <w:vertAlign w:val="superscript"/>
        </w:rPr>
        <w:t xml:space="preserve">-2</w:t>
      </w:r>
      <w:r>
        <w:rPr>
          <w:sz w:val="20"/>
        </w:rPr>
        <w:t xml:space="preserve">).</w:t>
      </w:r>
    </w:p>
    <w:p>
      <w:pPr>
        <w:pStyle w:val="0"/>
        <w:spacing w:before="200" w:line-rule="auto"/>
        <w:ind w:firstLine="540"/>
        <w:jc w:val="both"/>
      </w:pPr>
      <w:r>
        <w:rPr>
          <w:sz w:val="20"/>
        </w:rPr>
        <w:t xml:space="preserve">6.8.43. При размещении конвейерных линий в подземных галереях надлежит предусматривать автоматическую установку пожаротушения.</w:t>
      </w:r>
    </w:p>
    <w:p>
      <w:pPr>
        <w:pStyle w:val="0"/>
        <w:spacing w:before="200" w:line-rule="auto"/>
        <w:ind w:firstLine="540"/>
        <w:jc w:val="both"/>
      </w:pPr>
      <w:r>
        <w:rPr>
          <w:sz w:val="20"/>
        </w:rPr>
        <w:t xml:space="preserve">6.8.44. Автоматические установки пожаротушения и автоматическую пожарную сигнализацию надлежит блокировать с устройствами для аварийной остановки конвейеров.</w:t>
      </w:r>
    </w:p>
    <w:p>
      <w:pPr>
        <w:pStyle w:val="0"/>
        <w:spacing w:before="200" w:line-rule="auto"/>
        <w:ind w:firstLine="540"/>
        <w:jc w:val="both"/>
      </w:pPr>
      <w:r>
        <w:rPr>
          <w:sz w:val="20"/>
        </w:rPr>
        <w:t xml:space="preserve">6.8.45. В местах примыкания галерей и эстакад к зданиям и помещениям категорий А, Б и В, перегрузочным узлам предусматриваются дренчерные завесы с расходом воды не менее 1 л x с</w:t>
      </w:r>
      <w:r>
        <w:rPr>
          <w:sz w:val="20"/>
          <w:vertAlign w:val="superscript"/>
        </w:rPr>
        <w:t xml:space="preserve">-1</w:t>
      </w:r>
      <w:r>
        <w:rPr>
          <w:sz w:val="20"/>
        </w:rPr>
        <w:t xml:space="preserve"> на 1 м ширины проема либо открытые тамбуры длиной не менее 4 м, оборудованные автоматическими установками пожаротушения с расходом воды 1 л x с</w:t>
      </w:r>
      <w:r>
        <w:rPr>
          <w:sz w:val="20"/>
          <w:vertAlign w:val="superscript"/>
        </w:rPr>
        <w:t xml:space="preserve">-1</w:t>
      </w:r>
      <w:r>
        <w:rPr>
          <w:sz w:val="20"/>
        </w:rPr>
        <w:t xml:space="preserve"> на 1 м</w:t>
      </w:r>
      <w:r>
        <w:rPr>
          <w:sz w:val="20"/>
          <w:vertAlign w:val="superscript"/>
        </w:rPr>
        <w:t xml:space="preserve">2</w:t>
      </w:r>
      <w:r>
        <w:rPr>
          <w:sz w:val="20"/>
        </w:rPr>
        <w:t xml:space="preserve"> пола тамбура. Предел огнестойкости ограждающих конструкций надлежит принимать не ниже: перегородок - EI 45, перекрытий - REI 45.</w:t>
      </w:r>
    </w:p>
    <w:p>
      <w:pPr>
        <w:pStyle w:val="0"/>
        <w:spacing w:before="200" w:line-rule="auto"/>
        <w:ind w:firstLine="540"/>
        <w:jc w:val="both"/>
      </w:pPr>
      <w:r>
        <w:rPr>
          <w:sz w:val="20"/>
        </w:rPr>
        <w:t xml:space="preserve">6.8.46. В местах пересечения галерей и эстакад с железнодорожными путями при тепловозной тяге и расположении низа галерей и эстакад на высоте до 12 м над головкой рельса предусматривается защиту от возгорания участков галерей и эстакад в каждую сторону от оси дороги на 3 м.</w:t>
      </w:r>
    </w:p>
    <w:p>
      <w:pPr>
        <w:pStyle w:val="0"/>
        <w:spacing w:before="200" w:line-rule="auto"/>
        <w:ind w:firstLine="540"/>
        <w:jc w:val="both"/>
      </w:pPr>
      <w:r>
        <w:rPr>
          <w:sz w:val="20"/>
        </w:rPr>
        <w:t xml:space="preserve">6.8.47. Эвакуационные выходы из галерей и эстакад надлежит принимать не реже чем через 100 м. Переходные мостики над конвейерами должны иметь ширину не менее 1 м, сплошной настил с отбортовкой понизу на высоту 0,15 м и ограждаться перилами высотой не менее 1 м. Эвакуационные лестницы предусматриваются 3-го типа.</w:t>
      </w:r>
    </w:p>
    <w:p>
      <w:pPr>
        <w:pStyle w:val="0"/>
        <w:spacing w:before="200" w:line-rule="auto"/>
        <w:ind w:firstLine="540"/>
        <w:jc w:val="both"/>
      </w:pPr>
      <w:r>
        <w:rPr>
          <w:sz w:val="20"/>
        </w:rPr>
        <w:t xml:space="preserve">В местах примыкания эвакуационных лестниц к галереям и эстакадам поперек конвейерных лент предусматриваются дренчерные завесы с сухотрубами диаметром 77 мм, оборудованными пожарными соединительными головками для подключения пожарных машин.</w:t>
      </w:r>
    </w:p>
    <w:p>
      <w:pPr>
        <w:pStyle w:val="0"/>
        <w:spacing w:before="200" w:line-rule="auto"/>
        <w:ind w:firstLine="540"/>
        <w:jc w:val="both"/>
      </w:pPr>
      <w:r>
        <w:rPr>
          <w:sz w:val="20"/>
        </w:rPr>
        <w:t xml:space="preserve">6.8.48. На закрытых и открытых складах лесоматериалов суммарной вместимостью до 10000 плотных м</w:t>
      </w:r>
      <w:r>
        <w:rPr>
          <w:sz w:val="20"/>
          <w:vertAlign w:val="superscript"/>
        </w:rPr>
        <w:t xml:space="preserve">3</w:t>
      </w:r>
      <w:r>
        <w:rPr>
          <w:sz w:val="20"/>
        </w:rPr>
        <w:t xml:space="preserve"> предусматривается противопожарный водопровод низкого давления, свыше 10000 плотных м</w:t>
      </w:r>
      <w:r>
        <w:rPr>
          <w:sz w:val="20"/>
          <w:vertAlign w:val="superscript"/>
        </w:rPr>
        <w:t xml:space="preserve">3</w:t>
      </w:r>
      <w:r>
        <w:rPr>
          <w:sz w:val="20"/>
        </w:rPr>
        <w:t xml:space="preserve"> лесоматериалов - противопожарный водопровод высокого давления.</w:t>
      </w:r>
    </w:p>
    <w:p>
      <w:pPr>
        <w:pStyle w:val="0"/>
        <w:spacing w:before="200" w:line-rule="auto"/>
        <w:ind w:firstLine="540"/>
        <w:jc w:val="both"/>
      </w:pPr>
      <w:r>
        <w:rPr>
          <w:sz w:val="20"/>
        </w:rPr>
        <w:t xml:space="preserve">На складах суммарной вместимостью до 5000 плотных м</w:t>
      </w:r>
      <w:r>
        <w:rPr>
          <w:sz w:val="20"/>
          <w:vertAlign w:val="superscript"/>
        </w:rPr>
        <w:t xml:space="preserve">3</w:t>
      </w:r>
      <w:r>
        <w:rPr>
          <w:sz w:val="20"/>
        </w:rPr>
        <w:t xml:space="preserve"> лесоматериалов допускается предусматривать до 50% расчетного расхода воды из пожарных водоемов и резервуаров. Противопожарный водопровод предусматривается с кольцевой сетью без тупиков.</w:t>
      </w:r>
    </w:p>
    <w:p>
      <w:pPr>
        <w:pStyle w:val="0"/>
        <w:spacing w:before="200" w:line-rule="auto"/>
        <w:ind w:firstLine="540"/>
        <w:jc w:val="both"/>
      </w:pPr>
      <w:r>
        <w:rPr>
          <w:sz w:val="20"/>
        </w:rPr>
        <w:t xml:space="preserve">6.8.49. Расчетное число одновременных пожаров на территории открытых и закрытых складов лесоматериалов следует принимать: один пожар - при площади территории склада до 50 га, свыше 50 га - два пожара.</w:t>
      </w:r>
    </w:p>
    <w:p>
      <w:pPr>
        <w:pStyle w:val="0"/>
        <w:spacing w:before="200" w:line-rule="auto"/>
        <w:ind w:firstLine="540"/>
        <w:jc w:val="both"/>
      </w:pPr>
      <w:r>
        <w:rPr>
          <w:sz w:val="20"/>
        </w:rPr>
        <w:t xml:space="preserve">6.8.50. Продолжительность тушения пожаров принимается не менее: 3 ч - для закрытых складов лесоматериалов; 5 ч - открытых складов лесоматериалов.</w:t>
      </w:r>
    </w:p>
    <w:p>
      <w:pPr>
        <w:pStyle w:val="0"/>
        <w:spacing w:before="200" w:line-rule="auto"/>
        <w:ind w:firstLine="540"/>
        <w:jc w:val="both"/>
      </w:pPr>
      <w:r>
        <w:rPr>
          <w:sz w:val="20"/>
        </w:rPr>
        <w:t xml:space="preserve">6.8.51. Расход воды на наружное тушение пожаров закрытых и открытых складов лесоматериалов на один пожар принимается не менее величин, указанных в </w:t>
      </w:r>
      <w:hyperlink w:history="0" w:anchor="P2949" w:tooltip="Таблица 38">
        <w:r>
          <w:rPr>
            <w:sz w:val="20"/>
            <w:color w:val="0000ff"/>
          </w:rPr>
          <w:t xml:space="preserve">таблице 38</w:t>
        </w:r>
      </w:hyperlink>
      <w:r>
        <w:rPr>
          <w:sz w:val="20"/>
        </w:rPr>
        <w:t xml:space="preserve">.</w:t>
      </w:r>
    </w:p>
    <w:p>
      <w:pPr>
        <w:pStyle w:val="0"/>
        <w:ind w:firstLine="540"/>
        <w:jc w:val="both"/>
      </w:pPr>
      <w:r>
        <w:rPr>
          <w:sz w:val="20"/>
        </w:rPr>
      </w:r>
    </w:p>
    <w:bookmarkStart w:id="2949" w:name="P2949"/>
    <w:bookmarkEnd w:id="2949"/>
    <w:p>
      <w:pPr>
        <w:pStyle w:val="0"/>
        <w:outlineLvl w:val="3"/>
      </w:pPr>
      <w:r>
        <w:rPr>
          <w:sz w:val="20"/>
        </w:rPr>
        <w:t xml:space="preserve">Таблица 38</w:t>
      </w:r>
    </w:p>
    <w:p>
      <w:pPr>
        <w:pStyle w:val="0"/>
        <w:jc w:val="center"/>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3515"/>
        <w:gridCol w:w="1304"/>
        <w:gridCol w:w="1304"/>
        <w:gridCol w:w="1417"/>
        <w:gridCol w:w="1361"/>
      </w:tblGrid>
      <w:tr>
        <w:tblPrEx>
          <w:tblBorders>
            <w:insideH w:val="single" w:sz="4"/>
          </w:tblBorders>
        </w:tblPrEx>
        <w:tc>
          <w:tcPr>
            <w:tcW w:w="3515" w:type="dxa"/>
            <w:tcBorders>
              <w:top w:val="single" w:sz="4"/>
              <w:bottom w:val="single" w:sz="4"/>
            </w:tcBorders>
            <w:vMerge w:val="restart"/>
          </w:tcPr>
          <w:p>
            <w:pPr>
              <w:pStyle w:val="0"/>
              <w:jc w:val="center"/>
            </w:pPr>
            <w:r>
              <w:rPr>
                <w:sz w:val="20"/>
              </w:rPr>
              <w:t xml:space="preserve">Вид и способ хранения лесоматериалов</w:t>
            </w:r>
          </w:p>
        </w:tc>
        <w:tc>
          <w:tcPr>
            <w:gridSpan w:val="4"/>
            <w:tcW w:w="5386" w:type="dxa"/>
            <w:tcBorders>
              <w:top w:val="single" w:sz="4"/>
              <w:bottom w:val="single" w:sz="4"/>
            </w:tcBorders>
          </w:tcPr>
          <w:p>
            <w:pPr>
              <w:pStyle w:val="0"/>
              <w:jc w:val="center"/>
            </w:pPr>
            <w:r>
              <w:rPr>
                <w:sz w:val="20"/>
              </w:rPr>
              <w:t xml:space="preserve">Расход воды на тушение пожара, л/с, при суммарной вместимости складов лесоматериалов, плотных м</w:t>
            </w:r>
            <w:r>
              <w:rPr>
                <w:sz w:val="20"/>
                <w:vertAlign w:val="superscript"/>
              </w:rPr>
              <w:t xml:space="preserve">3</w:t>
            </w:r>
          </w:p>
        </w:tc>
      </w:tr>
      <w:tr>
        <w:tblPrEx>
          <w:tblBorders>
            <w:insideH w:val="single" w:sz="4"/>
          </w:tblBorders>
        </w:tblPrEx>
        <w:tc>
          <w:tcPr>
            <w:tcBorders>
              <w:top w:val="single" w:sz="4"/>
              <w:bottom w:val="single" w:sz="4"/>
            </w:tcBorders>
            <w:vMerge w:val="continue"/>
          </w:tcPr>
          <w:p/>
        </w:tc>
        <w:tc>
          <w:tcPr>
            <w:tcW w:w="1304" w:type="dxa"/>
            <w:tcBorders>
              <w:top w:val="single" w:sz="4"/>
              <w:bottom w:val="single" w:sz="4"/>
            </w:tcBorders>
          </w:tcPr>
          <w:p>
            <w:pPr>
              <w:pStyle w:val="0"/>
              <w:jc w:val="center"/>
            </w:pPr>
            <w:r>
              <w:rPr>
                <w:sz w:val="20"/>
              </w:rPr>
              <w:t xml:space="preserve">до 10000</w:t>
            </w:r>
          </w:p>
        </w:tc>
        <w:tc>
          <w:tcPr>
            <w:tcW w:w="1304" w:type="dxa"/>
            <w:tcBorders>
              <w:top w:val="single" w:sz="4"/>
              <w:bottom w:val="single" w:sz="4"/>
            </w:tcBorders>
          </w:tcPr>
          <w:p>
            <w:pPr>
              <w:pStyle w:val="0"/>
              <w:jc w:val="center"/>
            </w:pPr>
            <w:r>
              <w:rPr>
                <w:sz w:val="20"/>
              </w:rPr>
              <w:t xml:space="preserve">св. 10000 до 100000</w:t>
            </w:r>
          </w:p>
        </w:tc>
        <w:tc>
          <w:tcPr>
            <w:tcW w:w="1417" w:type="dxa"/>
            <w:tcBorders>
              <w:top w:val="single" w:sz="4"/>
              <w:bottom w:val="single" w:sz="4"/>
            </w:tcBorders>
          </w:tcPr>
          <w:p>
            <w:pPr>
              <w:pStyle w:val="0"/>
              <w:jc w:val="center"/>
            </w:pPr>
            <w:r>
              <w:rPr>
                <w:sz w:val="20"/>
              </w:rPr>
              <w:t xml:space="preserve">св. 100000 до 500000</w:t>
            </w:r>
          </w:p>
        </w:tc>
        <w:tc>
          <w:tcPr>
            <w:tcW w:w="1361" w:type="dxa"/>
            <w:tcBorders>
              <w:top w:val="single" w:sz="4"/>
              <w:bottom w:val="single" w:sz="4"/>
            </w:tcBorders>
          </w:tcPr>
          <w:p>
            <w:pPr>
              <w:pStyle w:val="0"/>
              <w:jc w:val="center"/>
            </w:pPr>
            <w:r>
              <w:rPr>
                <w:sz w:val="20"/>
              </w:rPr>
              <w:t xml:space="preserve">св. 500000</w:t>
            </w:r>
          </w:p>
        </w:tc>
      </w:tr>
      <w:tr>
        <w:tc>
          <w:tcPr>
            <w:tcW w:w="3515" w:type="dxa"/>
            <w:tcBorders>
              <w:top w:val="single" w:sz="4"/>
              <w:bottom w:val="nil"/>
            </w:tcBorders>
          </w:tcPr>
          <w:p>
            <w:pPr>
              <w:pStyle w:val="0"/>
            </w:pPr>
            <w:r>
              <w:rPr>
                <w:sz w:val="20"/>
              </w:rPr>
              <w:t xml:space="preserve">Закрытые склады:</w:t>
            </w:r>
          </w:p>
        </w:tc>
        <w:tc>
          <w:tcPr>
            <w:tcW w:w="1304" w:type="dxa"/>
            <w:tcBorders>
              <w:top w:val="single" w:sz="4"/>
              <w:bottom w:val="nil"/>
            </w:tcBorders>
          </w:tcPr>
          <w:p>
            <w:pPr>
              <w:pStyle w:val="0"/>
              <w:jc w:val="both"/>
            </w:pPr>
            <w:r>
              <w:rPr>
                <w:sz w:val="20"/>
              </w:rPr>
            </w:r>
          </w:p>
        </w:tc>
        <w:tc>
          <w:tcPr>
            <w:tcW w:w="1304" w:type="dxa"/>
            <w:tcBorders>
              <w:top w:val="single" w:sz="4"/>
              <w:bottom w:val="nil"/>
            </w:tcBorders>
          </w:tcPr>
          <w:p>
            <w:pPr>
              <w:pStyle w:val="0"/>
              <w:jc w:val="both"/>
            </w:pPr>
            <w:r>
              <w:rPr>
                <w:sz w:val="20"/>
              </w:rPr>
            </w:r>
          </w:p>
        </w:tc>
        <w:tc>
          <w:tcPr>
            <w:tcW w:w="1417" w:type="dxa"/>
            <w:tcBorders>
              <w:top w:val="single" w:sz="4"/>
              <w:bottom w:val="nil"/>
            </w:tcBorders>
          </w:tcPr>
          <w:p>
            <w:pPr>
              <w:pStyle w:val="0"/>
              <w:jc w:val="both"/>
            </w:pPr>
            <w:r>
              <w:rPr>
                <w:sz w:val="20"/>
              </w:rPr>
            </w:r>
          </w:p>
        </w:tc>
        <w:tc>
          <w:tcPr>
            <w:tcW w:w="1361" w:type="dxa"/>
            <w:tcBorders>
              <w:top w:val="single" w:sz="4"/>
              <w:bottom w:val="nil"/>
            </w:tcBorders>
          </w:tcPr>
          <w:p>
            <w:pPr>
              <w:pStyle w:val="0"/>
              <w:jc w:val="both"/>
            </w:pPr>
            <w:r>
              <w:rPr>
                <w:sz w:val="20"/>
              </w:rPr>
            </w:r>
          </w:p>
        </w:tc>
      </w:tr>
      <w:tr>
        <w:tc>
          <w:tcPr>
            <w:tcW w:w="3515" w:type="dxa"/>
            <w:tcBorders>
              <w:top w:val="nil"/>
              <w:bottom w:val="nil"/>
            </w:tcBorders>
          </w:tcPr>
          <w:p>
            <w:pPr>
              <w:pStyle w:val="0"/>
              <w:ind w:firstLine="283"/>
            </w:pPr>
            <w:r>
              <w:rPr>
                <w:sz w:val="20"/>
              </w:rPr>
              <w:t xml:space="preserve">пиломатериалы</w:t>
            </w:r>
          </w:p>
        </w:tc>
        <w:tc>
          <w:tcPr>
            <w:tcW w:w="1304" w:type="dxa"/>
            <w:tcBorders>
              <w:top w:val="nil"/>
              <w:bottom w:val="nil"/>
            </w:tcBorders>
          </w:tcPr>
          <w:p>
            <w:pPr>
              <w:pStyle w:val="0"/>
              <w:jc w:val="center"/>
            </w:pPr>
            <w:r>
              <w:rPr>
                <w:sz w:val="20"/>
              </w:rPr>
              <w:t xml:space="preserve">60</w:t>
            </w:r>
          </w:p>
        </w:tc>
        <w:tc>
          <w:tcPr>
            <w:tcW w:w="1304" w:type="dxa"/>
            <w:tcBorders>
              <w:top w:val="nil"/>
              <w:bottom w:val="nil"/>
            </w:tcBorders>
          </w:tcPr>
          <w:p>
            <w:pPr>
              <w:pStyle w:val="0"/>
              <w:jc w:val="center"/>
            </w:pPr>
            <w:r>
              <w:rPr>
                <w:sz w:val="20"/>
              </w:rPr>
              <w:t xml:space="preserve">90</w:t>
            </w:r>
          </w:p>
        </w:tc>
        <w:tc>
          <w:tcPr>
            <w:tcW w:w="1417" w:type="dxa"/>
            <w:tcBorders>
              <w:top w:val="nil"/>
              <w:bottom w:val="nil"/>
            </w:tcBorders>
          </w:tcPr>
          <w:p>
            <w:pPr>
              <w:pStyle w:val="0"/>
              <w:jc w:val="center"/>
            </w:pPr>
            <w:r>
              <w:rPr>
                <w:sz w:val="20"/>
              </w:rPr>
              <w:t xml:space="preserve">120</w:t>
            </w:r>
          </w:p>
        </w:tc>
        <w:tc>
          <w:tcPr>
            <w:tcW w:w="1361" w:type="dxa"/>
            <w:tcBorders>
              <w:top w:val="nil"/>
              <w:bottom w:val="nil"/>
            </w:tcBorders>
          </w:tcPr>
          <w:p>
            <w:pPr>
              <w:pStyle w:val="0"/>
              <w:jc w:val="center"/>
            </w:pPr>
            <w:r>
              <w:rPr>
                <w:sz w:val="20"/>
              </w:rPr>
              <w:t xml:space="preserve">150</w:t>
            </w:r>
          </w:p>
        </w:tc>
      </w:tr>
      <w:tr>
        <w:tc>
          <w:tcPr>
            <w:tcW w:w="3515" w:type="dxa"/>
            <w:tcBorders>
              <w:top w:val="nil"/>
              <w:bottom w:val="single" w:sz="4"/>
            </w:tcBorders>
          </w:tcPr>
          <w:p>
            <w:pPr>
              <w:pStyle w:val="0"/>
              <w:ind w:firstLine="283"/>
            </w:pPr>
            <w:r>
              <w:rPr>
                <w:sz w:val="20"/>
              </w:rPr>
              <w:t xml:space="preserve">щепа и опилки</w:t>
            </w:r>
          </w:p>
        </w:tc>
        <w:tc>
          <w:tcPr>
            <w:tcW w:w="1304" w:type="dxa"/>
            <w:tcBorders>
              <w:top w:val="nil"/>
              <w:bottom w:val="single" w:sz="4"/>
            </w:tcBorders>
          </w:tcPr>
          <w:p>
            <w:pPr>
              <w:pStyle w:val="0"/>
              <w:jc w:val="center"/>
            </w:pPr>
            <w:r>
              <w:rPr>
                <w:sz w:val="20"/>
              </w:rPr>
              <w:t xml:space="preserve">30</w:t>
            </w:r>
          </w:p>
        </w:tc>
        <w:tc>
          <w:tcPr>
            <w:tcW w:w="1304" w:type="dxa"/>
            <w:tcBorders>
              <w:top w:val="nil"/>
              <w:bottom w:val="single" w:sz="4"/>
            </w:tcBorders>
          </w:tcPr>
          <w:p>
            <w:pPr>
              <w:pStyle w:val="0"/>
              <w:jc w:val="center"/>
            </w:pPr>
            <w:r>
              <w:rPr>
                <w:sz w:val="20"/>
              </w:rPr>
              <w:t xml:space="preserve">60</w:t>
            </w:r>
          </w:p>
        </w:tc>
        <w:tc>
          <w:tcPr>
            <w:tcW w:w="1417" w:type="dxa"/>
            <w:tcBorders>
              <w:top w:val="nil"/>
              <w:bottom w:val="single" w:sz="4"/>
            </w:tcBorders>
          </w:tcPr>
          <w:p>
            <w:pPr>
              <w:pStyle w:val="0"/>
              <w:jc w:val="center"/>
            </w:pPr>
            <w:r>
              <w:rPr>
                <w:sz w:val="20"/>
              </w:rPr>
              <w:t xml:space="preserve">90</w:t>
            </w:r>
          </w:p>
        </w:tc>
        <w:tc>
          <w:tcPr>
            <w:tcW w:w="1361" w:type="dxa"/>
            <w:tcBorders>
              <w:top w:val="nil"/>
              <w:bottom w:val="single" w:sz="4"/>
            </w:tcBorders>
          </w:tcPr>
          <w:p>
            <w:pPr>
              <w:pStyle w:val="0"/>
              <w:jc w:val="center"/>
            </w:pPr>
            <w:r>
              <w:rPr>
                <w:sz w:val="20"/>
              </w:rPr>
              <w:t xml:space="preserve">120</w:t>
            </w:r>
          </w:p>
        </w:tc>
      </w:tr>
      <w:tr>
        <w:tc>
          <w:tcPr>
            <w:tcW w:w="3515" w:type="dxa"/>
            <w:tcBorders>
              <w:top w:val="single" w:sz="4"/>
              <w:bottom w:val="nil"/>
            </w:tcBorders>
          </w:tcPr>
          <w:p>
            <w:pPr>
              <w:pStyle w:val="0"/>
            </w:pPr>
            <w:r>
              <w:rPr>
                <w:sz w:val="20"/>
              </w:rPr>
              <w:t xml:space="preserve">Открытые склады:</w:t>
            </w:r>
          </w:p>
        </w:tc>
        <w:tc>
          <w:tcPr>
            <w:tcW w:w="1304" w:type="dxa"/>
            <w:tcBorders>
              <w:top w:val="single" w:sz="4"/>
              <w:bottom w:val="nil"/>
            </w:tcBorders>
          </w:tcPr>
          <w:p>
            <w:pPr>
              <w:pStyle w:val="0"/>
              <w:jc w:val="both"/>
            </w:pPr>
            <w:r>
              <w:rPr>
                <w:sz w:val="20"/>
              </w:rPr>
            </w:r>
          </w:p>
        </w:tc>
        <w:tc>
          <w:tcPr>
            <w:tcW w:w="1304" w:type="dxa"/>
            <w:tcBorders>
              <w:top w:val="single" w:sz="4"/>
              <w:bottom w:val="nil"/>
            </w:tcBorders>
          </w:tcPr>
          <w:p>
            <w:pPr>
              <w:pStyle w:val="0"/>
              <w:jc w:val="both"/>
            </w:pPr>
            <w:r>
              <w:rPr>
                <w:sz w:val="20"/>
              </w:rPr>
            </w:r>
          </w:p>
        </w:tc>
        <w:tc>
          <w:tcPr>
            <w:tcW w:w="1417" w:type="dxa"/>
            <w:tcBorders>
              <w:top w:val="single" w:sz="4"/>
              <w:bottom w:val="nil"/>
            </w:tcBorders>
          </w:tcPr>
          <w:p>
            <w:pPr>
              <w:pStyle w:val="0"/>
              <w:jc w:val="both"/>
            </w:pPr>
            <w:r>
              <w:rPr>
                <w:sz w:val="20"/>
              </w:rPr>
            </w:r>
          </w:p>
        </w:tc>
        <w:tc>
          <w:tcPr>
            <w:tcW w:w="1361" w:type="dxa"/>
            <w:tcBorders>
              <w:top w:val="single" w:sz="4"/>
              <w:bottom w:val="nil"/>
            </w:tcBorders>
          </w:tcPr>
          <w:p>
            <w:pPr>
              <w:pStyle w:val="0"/>
              <w:jc w:val="both"/>
            </w:pPr>
            <w:r>
              <w:rPr>
                <w:sz w:val="20"/>
              </w:rPr>
            </w:r>
          </w:p>
        </w:tc>
      </w:tr>
      <w:tr>
        <w:tc>
          <w:tcPr>
            <w:tcW w:w="3515" w:type="dxa"/>
            <w:tcBorders>
              <w:top w:val="nil"/>
              <w:bottom w:val="nil"/>
            </w:tcBorders>
          </w:tcPr>
          <w:p>
            <w:pPr>
              <w:pStyle w:val="0"/>
              <w:ind w:firstLine="283"/>
              <w:jc w:val="both"/>
            </w:pPr>
            <w:r>
              <w:rPr>
                <w:sz w:val="20"/>
              </w:rPr>
              <w:t xml:space="preserve">пиломатериалы в штабелях</w:t>
            </w:r>
          </w:p>
        </w:tc>
        <w:tc>
          <w:tcPr>
            <w:tcW w:w="1304" w:type="dxa"/>
            <w:tcBorders>
              <w:top w:val="nil"/>
              <w:bottom w:val="nil"/>
            </w:tcBorders>
          </w:tcPr>
          <w:p>
            <w:pPr>
              <w:pStyle w:val="0"/>
              <w:jc w:val="center"/>
            </w:pPr>
            <w:r>
              <w:rPr>
                <w:sz w:val="20"/>
              </w:rPr>
              <w:t xml:space="preserve">60</w:t>
            </w:r>
          </w:p>
        </w:tc>
        <w:tc>
          <w:tcPr>
            <w:tcW w:w="1304" w:type="dxa"/>
            <w:tcBorders>
              <w:top w:val="nil"/>
              <w:bottom w:val="nil"/>
            </w:tcBorders>
          </w:tcPr>
          <w:p>
            <w:pPr>
              <w:pStyle w:val="0"/>
              <w:jc w:val="center"/>
            </w:pPr>
            <w:r>
              <w:rPr>
                <w:sz w:val="20"/>
              </w:rPr>
              <w:t xml:space="preserve">120</w:t>
            </w:r>
          </w:p>
        </w:tc>
        <w:tc>
          <w:tcPr>
            <w:tcW w:w="1417" w:type="dxa"/>
            <w:tcBorders>
              <w:top w:val="nil"/>
              <w:bottom w:val="nil"/>
            </w:tcBorders>
          </w:tcPr>
          <w:p>
            <w:pPr>
              <w:pStyle w:val="0"/>
              <w:jc w:val="center"/>
            </w:pPr>
            <w:r>
              <w:rPr>
                <w:sz w:val="20"/>
              </w:rPr>
              <w:t xml:space="preserve">150</w:t>
            </w:r>
          </w:p>
        </w:tc>
        <w:tc>
          <w:tcPr>
            <w:tcW w:w="1361" w:type="dxa"/>
            <w:tcBorders>
              <w:top w:val="nil"/>
              <w:bottom w:val="nil"/>
            </w:tcBorders>
          </w:tcPr>
          <w:p>
            <w:pPr>
              <w:pStyle w:val="0"/>
              <w:jc w:val="center"/>
            </w:pPr>
            <w:r>
              <w:rPr>
                <w:sz w:val="20"/>
              </w:rPr>
              <w:t xml:space="preserve">180</w:t>
            </w:r>
          </w:p>
        </w:tc>
      </w:tr>
      <w:tr>
        <w:tc>
          <w:tcPr>
            <w:tcW w:w="3515" w:type="dxa"/>
            <w:tcBorders>
              <w:top w:val="nil"/>
              <w:bottom w:val="nil"/>
            </w:tcBorders>
          </w:tcPr>
          <w:p>
            <w:pPr>
              <w:pStyle w:val="0"/>
              <w:ind w:firstLine="283"/>
              <w:jc w:val="both"/>
            </w:pPr>
            <w:r>
              <w:rPr>
                <w:sz w:val="20"/>
              </w:rPr>
              <w:t xml:space="preserve">круглые лесоматериалы в штабелях</w:t>
            </w:r>
          </w:p>
        </w:tc>
        <w:tc>
          <w:tcPr>
            <w:tcW w:w="1304" w:type="dxa"/>
            <w:tcBorders>
              <w:top w:val="nil"/>
              <w:bottom w:val="nil"/>
            </w:tcBorders>
          </w:tcPr>
          <w:p>
            <w:pPr>
              <w:pStyle w:val="0"/>
              <w:jc w:val="both"/>
            </w:pPr>
            <w:r>
              <w:rPr>
                <w:sz w:val="20"/>
              </w:rPr>
            </w:r>
          </w:p>
        </w:tc>
        <w:tc>
          <w:tcPr>
            <w:tcW w:w="1304" w:type="dxa"/>
            <w:tcBorders>
              <w:top w:val="nil"/>
              <w:bottom w:val="nil"/>
            </w:tcBorders>
          </w:tcPr>
          <w:p>
            <w:pPr>
              <w:pStyle w:val="0"/>
              <w:jc w:val="both"/>
            </w:pPr>
            <w:r>
              <w:rPr>
                <w:sz w:val="20"/>
              </w:rPr>
            </w:r>
          </w:p>
        </w:tc>
        <w:tc>
          <w:tcPr>
            <w:tcW w:w="1417" w:type="dxa"/>
            <w:tcBorders>
              <w:top w:val="nil"/>
              <w:bottom w:val="nil"/>
            </w:tcBorders>
          </w:tcPr>
          <w:p>
            <w:pPr>
              <w:pStyle w:val="0"/>
              <w:jc w:val="both"/>
            </w:pPr>
            <w:r>
              <w:rPr>
                <w:sz w:val="20"/>
              </w:rPr>
            </w:r>
          </w:p>
        </w:tc>
        <w:tc>
          <w:tcPr>
            <w:tcW w:w="1361" w:type="dxa"/>
            <w:tcBorders>
              <w:top w:val="nil"/>
              <w:bottom w:val="nil"/>
            </w:tcBorders>
          </w:tcPr>
          <w:p>
            <w:pPr>
              <w:pStyle w:val="0"/>
              <w:jc w:val="both"/>
            </w:pPr>
            <w:r>
              <w:rPr>
                <w:sz w:val="20"/>
              </w:rPr>
            </w:r>
          </w:p>
        </w:tc>
      </w:tr>
      <w:tr>
        <w:tc>
          <w:tcPr>
            <w:tcW w:w="3515" w:type="dxa"/>
            <w:tcBorders>
              <w:top w:val="nil"/>
              <w:bottom w:val="nil"/>
            </w:tcBorders>
          </w:tcPr>
          <w:p>
            <w:pPr>
              <w:pStyle w:val="0"/>
              <w:ind w:firstLine="283"/>
              <w:jc w:val="both"/>
            </w:pPr>
            <w:r>
              <w:rPr>
                <w:sz w:val="20"/>
              </w:rPr>
              <w:t xml:space="preserve">балансовая древесина, осмол и дрова в кучах</w:t>
            </w:r>
          </w:p>
        </w:tc>
        <w:tc>
          <w:tcPr>
            <w:tcW w:w="1304" w:type="dxa"/>
            <w:tcBorders>
              <w:top w:val="nil"/>
              <w:bottom w:val="nil"/>
            </w:tcBorders>
          </w:tcPr>
          <w:p>
            <w:pPr>
              <w:pStyle w:val="0"/>
              <w:jc w:val="center"/>
            </w:pPr>
            <w:r>
              <w:rPr>
                <w:sz w:val="20"/>
              </w:rPr>
              <w:t xml:space="preserve">60</w:t>
            </w:r>
          </w:p>
        </w:tc>
        <w:tc>
          <w:tcPr>
            <w:tcW w:w="1304" w:type="dxa"/>
            <w:tcBorders>
              <w:top w:val="nil"/>
              <w:bottom w:val="nil"/>
            </w:tcBorders>
          </w:tcPr>
          <w:p>
            <w:pPr>
              <w:pStyle w:val="0"/>
              <w:jc w:val="center"/>
            </w:pPr>
            <w:r>
              <w:rPr>
                <w:sz w:val="20"/>
              </w:rPr>
              <w:t xml:space="preserve">90</w:t>
            </w:r>
          </w:p>
        </w:tc>
        <w:tc>
          <w:tcPr>
            <w:tcW w:w="1417" w:type="dxa"/>
            <w:tcBorders>
              <w:top w:val="nil"/>
              <w:bottom w:val="nil"/>
            </w:tcBorders>
          </w:tcPr>
          <w:p>
            <w:pPr>
              <w:pStyle w:val="0"/>
              <w:jc w:val="center"/>
            </w:pPr>
            <w:r>
              <w:rPr>
                <w:sz w:val="20"/>
              </w:rPr>
              <w:t xml:space="preserve">120</w:t>
            </w:r>
          </w:p>
        </w:tc>
        <w:tc>
          <w:tcPr>
            <w:tcW w:w="1361" w:type="dxa"/>
            <w:tcBorders>
              <w:top w:val="nil"/>
              <w:bottom w:val="nil"/>
            </w:tcBorders>
          </w:tcPr>
          <w:p>
            <w:pPr>
              <w:pStyle w:val="0"/>
              <w:jc w:val="center"/>
            </w:pPr>
            <w:r>
              <w:rPr>
                <w:sz w:val="20"/>
              </w:rPr>
              <w:t xml:space="preserve">150</w:t>
            </w:r>
          </w:p>
        </w:tc>
      </w:tr>
      <w:tr>
        <w:tc>
          <w:tcPr>
            <w:tcW w:w="3515" w:type="dxa"/>
            <w:tcBorders>
              <w:top w:val="nil"/>
              <w:bottom w:val="nil"/>
            </w:tcBorders>
          </w:tcPr>
          <w:p>
            <w:pPr>
              <w:pStyle w:val="0"/>
              <w:ind w:firstLine="283"/>
              <w:jc w:val="both"/>
            </w:pPr>
            <w:r>
              <w:rPr>
                <w:sz w:val="20"/>
              </w:rPr>
              <w:t xml:space="preserve">щепа и опилки в кучах</w:t>
            </w:r>
          </w:p>
        </w:tc>
        <w:tc>
          <w:tcPr>
            <w:tcW w:w="1304" w:type="dxa"/>
            <w:tcBorders>
              <w:top w:val="nil"/>
              <w:bottom w:val="nil"/>
            </w:tcBorders>
          </w:tcPr>
          <w:p>
            <w:pPr>
              <w:pStyle w:val="0"/>
              <w:jc w:val="center"/>
            </w:pPr>
            <w:r>
              <w:rPr>
                <w:sz w:val="20"/>
              </w:rPr>
              <w:t xml:space="preserve">90</w:t>
            </w:r>
          </w:p>
        </w:tc>
        <w:tc>
          <w:tcPr>
            <w:tcW w:w="1304" w:type="dxa"/>
            <w:tcBorders>
              <w:top w:val="nil"/>
              <w:bottom w:val="nil"/>
            </w:tcBorders>
          </w:tcPr>
          <w:p>
            <w:pPr>
              <w:pStyle w:val="0"/>
              <w:jc w:val="center"/>
            </w:pPr>
            <w:r>
              <w:rPr>
                <w:sz w:val="20"/>
              </w:rPr>
              <w:t xml:space="preserve">120</w:t>
            </w:r>
          </w:p>
        </w:tc>
        <w:tc>
          <w:tcPr>
            <w:tcW w:w="1417" w:type="dxa"/>
            <w:tcBorders>
              <w:top w:val="nil"/>
              <w:bottom w:val="nil"/>
            </w:tcBorders>
          </w:tcPr>
          <w:p>
            <w:pPr>
              <w:pStyle w:val="0"/>
              <w:jc w:val="center"/>
            </w:pPr>
            <w:r>
              <w:rPr>
                <w:sz w:val="20"/>
              </w:rPr>
              <w:t xml:space="preserve">180</w:t>
            </w:r>
          </w:p>
        </w:tc>
        <w:tc>
          <w:tcPr>
            <w:tcW w:w="1361" w:type="dxa"/>
            <w:tcBorders>
              <w:top w:val="nil"/>
              <w:bottom w:val="nil"/>
            </w:tcBorders>
          </w:tcPr>
          <w:p>
            <w:pPr>
              <w:pStyle w:val="0"/>
              <w:jc w:val="center"/>
            </w:pPr>
            <w:r>
              <w:rPr>
                <w:sz w:val="20"/>
              </w:rPr>
              <w:t xml:space="preserve">240</w:t>
            </w:r>
          </w:p>
        </w:tc>
      </w:tr>
      <w:tr>
        <w:tc>
          <w:tcPr>
            <w:tcW w:w="3515" w:type="dxa"/>
            <w:tcBorders>
              <w:top w:val="nil"/>
              <w:bottom w:val="single" w:sz="4"/>
            </w:tcBorders>
          </w:tcPr>
          <w:p>
            <w:pPr>
              <w:pStyle w:val="0"/>
              <w:ind w:firstLine="283"/>
              <w:jc w:val="both"/>
            </w:pPr>
            <w:r>
              <w:rPr>
                <w:sz w:val="20"/>
              </w:rPr>
              <w:t xml:space="preserve">древесные отходы в кучах</w:t>
            </w:r>
          </w:p>
        </w:tc>
        <w:tc>
          <w:tcPr>
            <w:tcW w:w="1304" w:type="dxa"/>
            <w:tcBorders>
              <w:top w:val="nil"/>
              <w:bottom w:val="single" w:sz="4"/>
            </w:tcBorders>
          </w:tcPr>
          <w:p>
            <w:pPr>
              <w:pStyle w:val="0"/>
              <w:jc w:val="center"/>
            </w:pPr>
            <w:r>
              <w:rPr>
                <w:sz w:val="20"/>
              </w:rPr>
              <w:t xml:space="preserve">30</w:t>
            </w:r>
          </w:p>
          <w:p>
            <w:pPr>
              <w:pStyle w:val="0"/>
              <w:jc w:val="center"/>
            </w:pPr>
            <w:r>
              <w:rPr>
                <w:sz w:val="20"/>
              </w:rPr>
              <w:t xml:space="preserve">30</w:t>
            </w:r>
          </w:p>
        </w:tc>
        <w:tc>
          <w:tcPr>
            <w:tcW w:w="1304" w:type="dxa"/>
            <w:tcBorders>
              <w:top w:val="nil"/>
              <w:bottom w:val="single" w:sz="4"/>
            </w:tcBorders>
          </w:tcPr>
          <w:p>
            <w:pPr>
              <w:pStyle w:val="0"/>
              <w:jc w:val="center"/>
            </w:pPr>
            <w:r>
              <w:rPr>
                <w:sz w:val="20"/>
              </w:rPr>
              <w:t xml:space="preserve">60</w:t>
            </w:r>
          </w:p>
          <w:p>
            <w:pPr>
              <w:pStyle w:val="0"/>
              <w:jc w:val="center"/>
            </w:pPr>
            <w:r>
              <w:rPr>
                <w:sz w:val="20"/>
              </w:rPr>
              <w:t xml:space="preserve">60</w:t>
            </w:r>
          </w:p>
        </w:tc>
        <w:tc>
          <w:tcPr>
            <w:tcW w:w="1417" w:type="dxa"/>
            <w:tcBorders>
              <w:top w:val="nil"/>
              <w:bottom w:val="single" w:sz="4"/>
            </w:tcBorders>
          </w:tcPr>
          <w:p>
            <w:pPr>
              <w:pStyle w:val="0"/>
              <w:jc w:val="center"/>
            </w:pPr>
            <w:r>
              <w:rPr>
                <w:sz w:val="20"/>
              </w:rPr>
              <w:t xml:space="preserve">90</w:t>
            </w:r>
          </w:p>
          <w:p>
            <w:pPr>
              <w:pStyle w:val="0"/>
              <w:jc w:val="center"/>
            </w:pPr>
            <w:r>
              <w:rPr>
                <w:sz w:val="20"/>
              </w:rPr>
              <w:t xml:space="preserve">90</w:t>
            </w:r>
          </w:p>
        </w:tc>
        <w:tc>
          <w:tcPr>
            <w:tcW w:w="1361" w:type="dxa"/>
            <w:tcBorders>
              <w:top w:val="nil"/>
              <w:bottom w:val="single" w:sz="4"/>
            </w:tcBorders>
          </w:tcPr>
          <w:p>
            <w:pPr>
              <w:pStyle w:val="0"/>
              <w:jc w:val="center"/>
            </w:pPr>
            <w:r>
              <w:rPr>
                <w:sz w:val="20"/>
              </w:rPr>
              <w:t xml:space="preserve">120</w:t>
            </w:r>
          </w:p>
          <w:p>
            <w:pPr>
              <w:pStyle w:val="0"/>
              <w:jc w:val="center"/>
            </w:pPr>
            <w:r>
              <w:rPr>
                <w:sz w:val="20"/>
              </w:rPr>
              <w:t xml:space="preserve">120</w:t>
            </w:r>
          </w:p>
        </w:tc>
      </w:tr>
    </w:tbl>
    <w:p>
      <w:pPr>
        <w:pStyle w:val="0"/>
        <w:ind w:firstLine="540"/>
        <w:jc w:val="both"/>
      </w:pPr>
      <w:r>
        <w:rPr>
          <w:sz w:val="20"/>
        </w:rPr>
      </w:r>
    </w:p>
    <w:p>
      <w:pPr>
        <w:pStyle w:val="0"/>
        <w:ind w:firstLine="540"/>
        <w:jc w:val="both"/>
      </w:pPr>
      <w:r>
        <w:rPr>
          <w:sz w:val="20"/>
        </w:rPr>
        <w:t xml:space="preserve">6.8.52. Расход воды на внутреннее пожаротушение в зданиях и навесах складов лесоматериалов в пределах пожарного отсека принимается не менее: 15 л x с</w:t>
      </w:r>
      <w:r>
        <w:rPr>
          <w:sz w:val="20"/>
          <w:vertAlign w:val="superscript"/>
        </w:rPr>
        <w:t xml:space="preserve">-1</w:t>
      </w:r>
      <w:r>
        <w:rPr>
          <w:sz w:val="20"/>
        </w:rPr>
        <w:t xml:space="preserve"> (три струи, по 5 л x с</w:t>
      </w:r>
      <w:r>
        <w:rPr>
          <w:sz w:val="20"/>
          <w:vertAlign w:val="superscript"/>
        </w:rPr>
        <w:t xml:space="preserve">-1</w:t>
      </w:r>
      <w:r>
        <w:rPr>
          <w:sz w:val="20"/>
        </w:rPr>
        <w:t xml:space="preserve"> каждая) из пожарных кранов независимо от степени огнестойкости и классов конструктивной пожарной опасности зданий и навесов, а также их высоты и объема.</w:t>
      </w:r>
    </w:p>
    <w:p>
      <w:pPr>
        <w:pStyle w:val="0"/>
        <w:spacing w:before="200" w:line-rule="auto"/>
        <w:ind w:firstLine="540"/>
        <w:jc w:val="both"/>
      </w:pPr>
      <w:r>
        <w:rPr>
          <w:sz w:val="20"/>
        </w:rPr>
        <w:t xml:space="preserve">6.8.53. Насосные станции противопожарного водопровода по степени обеспеченности подачи воды и надежности электроснабжения надлежит относить к 1-й категории.</w:t>
      </w:r>
    </w:p>
    <w:p>
      <w:pPr>
        <w:pStyle w:val="0"/>
        <w:spacing w:before="200" w:line-rule="auto"/>
        <w:ind w:firstLine="540"/>
        <w:jc w:val="both"/>
      </w:pPr>
      <w:r>
        <w:rPr>
          <w:sz w:val="20"/>
        </w:rPr>
        <w:t xml:space="preserve">Допускается насосные станции противопожарного водопровода относить ко 2-й категории по степени обеспеченности подачи воды при наличии источников противопожарного водоснабжения, обеспечивающих тушение пожара в течение нормативного времени.</w:t>
      </w:r>
    </w:p>
    <w:p>
      <w:pPr>
        <w:pStyle w:val="0"/>
        <w:jc w:val="both"/>
      </w:pPr>
      <w:r>
        <w:rPr>
          <w:sz w:val="20"/>
        </w:rPr>
        <w:t xml:space="preserve">(абзац введен </w:t>
      </w:r>
      <w:hyperlink w:history="0" r:id="rId357"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Приказом</w:t>
        </w:r>
      </w:hyperlink>
      <w:r>
        <w:rPr>
          <w:sz w:val="20"/>
        </w:rPr>
        <w:t xml:space="preserve"> МЧС России от 15.06.2022 N 610)</w:t>
      </w:r>
    </w:p>
    <w:p>
      <w:pPr>
        <w:pStyle w:val="0"/>
        <w:spacing w:before="200" w:line-rule="auto"/>
        <w:ind w:firstLine="540"/>
        <w:jc w:val="both"/>
      </w:pPr>
      <w:r>
        <w:rPr>
          <w:sz w:val="20"/>
        </w:rPr>
        <w:t xml:space="preserve">6.8.54. В насосной станции предусматривается один резервный насосный агрегат независимо от количества рабочих насосных агрегатов.</w:t>
      </w:r>
    </w:p>
    <w:p>
      <w:pPr>
        <w:pStyle w:val="0"/>
        <w:spacing w:before="200" w:line-rule="auto"/>
        <w:ind w:firstLine="540"/>
        <w:jc w:val="both"/>
      </w:pPr>
      <w:r>
        <w:rPr>
          <w:sz w:val="20"/>
        </w:rPr>
        <w:t xml:space="preserve">6.8.55. Свободный напор в сети противопожарного водопровода низкого давления принимается не менее 0,1 МПа (1 кгс x см</w:t>
      </w:r>
      <w:r>
        <w:rPr>
          <w:sz w:val="20"/>
          <w:vertAlign w:val="superscript"/>
        </w:rPr>
        <w:t xml:space="preserve">-2</w:t>
      </w:r>
      <w:r>
        <w:rPr>
          <w:sz w:val="20"/>
        </w:rPr>
        <w:t xml:space="preserve">), высокого давления - 0,2 МПа (2 кгс x см</w:t>
      </w:r>
      <w:r>
        <w:rPr>
          <w:sz w:val="20"/>
          <w:vertAlign w:val="superscript"/>
        </w:rPr>
        <w:t xml:space="preserve">-2</w:t>
      </w:r>
      <w:r>
        <w:rPr>
          <w:sz w:val="20"/>
        </w:rPr>
        <w:t xml:space="preserve">), при пожаре - по расчету, но не менее 0,6 МПа (6 кгс x см</w:t>
      </w:r>
      <w:r>
        <w:rPr>
          <w:sz w:val="20"/>
          <w:vertAlign w:val="superscript"/>
        </w:rPr>
        <w:t xml:space="preserve">-2</w:t>
      </w:r>
      <w:r>
        <w:rPr>
          <w:sz w:val="20"/>
        </w:rPr>
        <w:t xml:space="preserve">).</w:t>
      </w:r>
    </w:p>
    <w:p>
      <w:pPr>
        <w:pStyle w:val="0"/>
        <w:spacing w:before="200" w:line-rule="auto"/>
        <w:ind w:firstLine="540"/>
        <w:jc w:val="both"/>
      </w:pPr>
      <w:r>
        <w:rPr>
          <w:sz w:val="20"/>
        </w:rPr>
        <w:t xml:space="preserve">6.8.56. Количество всасывающих линий к насосной станции и напорных линий от насосной станции к сети противопожарного водопровода должно быть не менее двух.</w:t>
      </w:r>
    </w:p>
    <w:p>
      <w:pPr>
        <w:pStyle w:val="0"/>
        <w:spacing w:before="200" w:line-rule="auto"/>
        <w:ind w:firstLine="540"/>
        <w:jc w:val="both"/>
      </w:pPr>
      <w:r>
        <w:rPr>
          <w:sz w:val="20"/>
        </w:rPr>
        <w:t xml:space="preserve">При выключении одной всасывающей (напорной) линии остальные надлежит рассчитывать на пропуск полного расчетного расхода воды на тушение пожара.</w:t>
      </w:r>
    </w:p>
    <w:p>
      <w:pPr>
        <w:pStyle w:val="0"/>
        <w:spacing w:before="200" w:line-rule="auto"/>
        <w:ind w:firstLine="540"/>
        <w:jc w:val="both"/>
      </w:pPr>
      <w:r>
        <w:rPr>
          <w:sz w:val="20"/>
        </w:rPr>
        <w:t xml:space="preserve">6.8.57. В насосных станциях размером машинного зала не менее 6 x 9 м надлежит предусматривать внутренний противопожарный водопровод с расходом воды 2,5 л x с</w:t>
      </w:r>
      <w:r>
        <w:rPr>
          <w:sz w:val="20"/>
          <w:vertAlign w:val="superscript"/>
        </w:rPr>
        <w:t xml:space="preserve">-1</w:t>
      </w:r>
      <w:r>
        <w:rPr>
          <w:sz w:val="20"/>
        </w:rPr>
        <w:t xml:space="preserve">, два порошковых огнетушителя вместимостью по 5 л. Пожарные краны надлежит присоединять к напорному коллектору насосных агрегатов.</w:t>
      </w:r>
    </w:p>
    <w:p>
      <w:pPr>
        <w:pStyle w:val="0"/>
        <w:spacing w:before="200" w:line-rule="auto"/>
        <w:ind w:firstLine="540"/>
        <w:jc w:val="both"/>
      </w:pPr>
      <w:r>
        <w:rPr>
          <w:sz w:val="20"/>
        </w:rPr>
        <w:t xml:space="preserve">При определении площади насосной станции ширину проходов между насосными агрегатами надлежит принимать не менее 1 м, насосными агрегатами и стенами - 0,7 м.</w:t>
      </w:r>
    </w:p>
    <w:p>
      <w:pPr>
        <w:pStyle w:val="0"/>
        <w:spacing w:before="200" w:line-rule="auto"/>
        <w:ind w:firstLine="540"/>
        <w:jc w:val="both"/>
      </w:pPr>
      <w:r>
        <w:rPr>
          <w:sz w:val="20"/>
        </w:rPr>
        <w:t xml:space="preserve">6.8.58. Насосные станции размещаются на расстоянии не менее 40 м от штабелей и куч лесоматериалов, в отдельно стоящих зданиях или пристройках, а также в помещениях зданий на первых, в цокольных и подвальных этажах, отделенных от других помещений противопожарными перегородками 1-го типа и перекрытиями 3-го типа и имеющих непосредственный выход наружу.</w:t>
      </w:r>
    </w:p>
    <w:p>
      <w:pPr>
        <w:pStyle w:val="0"/>
        <w:spacing w:before="200" w:line-rule="auto"/>
        <w:ind w:firstLine="540"/>
        <w:jc w:val="both"/>
      </w:pPr>
      <w:r>
        <w:rPr>
          <w:sz w:val="20"/>
        </w:rPr>
        <w:t xml:space="preserve">6.8.59. Водопроводную сеть надлежит прокладывать по противопожарным разрывам между кварталами и участками открытых и закрытых складов лесоматериалов, а также у внешних сторон кварталов и участков.</w:t>
      </w:r>
    </w:p>
    <w:p>
      <w:pPr>
        <w:pStyle w:val="0"/>
        <w:spacing w:before="200" w:line-rule="auto"/>
        <w:ind w:firstLine="540"/>
        <w:jc w:val="both"/>
      </w:pPr>
      <w:r>
        <w:rPr>
          <w:sz w:val="20"/>
        </w:rPr>
        <w:t xml:space="preserve">Допускается наземная прокладка сетей противопожарного водопровода с устройствами по предохранению транспортной воды от замерзания.</w:t>
      </w:r>
    </w:p>
    <w:p>
      <w:pPr>
        <w:pStyle w:val="0"/>
        <w:spacing w:before="200" w:line-rule="auto"/>
        <w:ind w:firstLine="540"/>
        <w:jc w:val="both"/>
      </w:pPr>
      <w:r>
        <w:rPr>
          <w:sz w:val="20"/>
        </w:rPr>
        <w:t xml:space="preserve">6.8.60. Пожарные гидранты на водопроводной сети устанавливаются на расстоянии не более 100 м друг от друга. Расстояние от пожарных гидрантов до оснований штабелей и куч открытого хранения, а также до закрытых складов лесоматериалов должно быть не менее 8 м и не более 25 м.</w:t>
      </w:r>
    </w:p>
    <w:p>
      <w:pPr>
        <w:pStyle w:val="0"/>
        <w:spacing w:before="200" w:line-rule="auto"/>
        <w:ind w:firstLine="540"/>
        <w:jc w:val="both"/>
      </w:pPr>
      <w:r>
        <w:rPr>
          <w:sz w:val="20"/>
        </w:rPr>
        <w:t xml:space="preserve">6.8.61. Разделение сети противопожарного водопровода на ремонтные участки предусматривается с учетом временного отключения не более двух пожарных гидрантов или стационарных лафетных стволов.</w:t>
      </w:r>
    </w:p>
    <w:p>
      <w:pPr>
        <w:pStyle w:val="0"/>
        <w:spacing w:before="200" w:line-rule="auto"/>
        <w:ind w:firstLine="540"/>
        <w:jc w:val="both"/>
      </w:pPr>
      <w:r>
        <w:rPr>
          <w:sz w:val="20"/>
        </w:rPr>
        <w:t xml:space="preserve">6.8.62. При размещении склада лесоматериалов вдоль берега естественного или искусственного источника воды следует предусматривать пожарные подъезды к береговой линии через каждые 200 м с устройством площадок размером не менее 12 x 24 м. Площадка для установки пожарных машин должна иметь уклон в сторону берега источника воды не более 3°, прочное боковое ограждение высотой не менее 0,7 м и опорный брус с поперечным сечением не менее 250 x 250 мм, укрепленный на расстоянии 1,5 м от продольного края площадки.</w:t>
      </w:r>
    </w:p>
    <w:p>
      <w:pPr>
        <w:pStyle w:val="0"/>
        <w:spacing w:before="200" w:line-rule="auto"/>
        <w:ind w:firstLine="540"/>
        <w:jc w:val="both"/>
      </w:pPr>
      <w:r>
        <w:rPr>
          <w:sz w:val="20"/>
        </w:rPr>
        <w:t xml:space="preserve">Для установки пожарных машин к естественным и искусственным источникам воды могут быть использованы причалы с соответствующим обустройством.</w:t>
      </w:r>
    </w:p>
    <w:p>
      <w:pPr>
        <w:pStyle w:val="0"/>
        <w:spacing w:before="200" w:line-rule="auto"/>
        <w:ind w:firstLine="540"/>
        <w:jc w:val="both"/>
      </w:pPr>
      <w:r>
        <w:rPr>
          <w:sz w:val="20"/>
        </w:rPr>
        <w:t xml:space="preserve">6.8.63. Максимальные сроки восстановления запасов воды в пожарных резервуарах или водоемах для работы насосной станции противопожарного водопровода и пожарных машин принимаются не более 24 ч - для складов пиломатериалов и 36 ч для складов других лесоматериалов.</w:t>
      </w:r>
    </w:p>
    <w:p>
      <w:pPr>
        <w:pStyle w:val="0"/>
        <w:spacing w:before="200" w:line-rule="auto"/>
        <w:ind w:firstLine="540"/>
        <w:jc w:val="both"/>
      </w:pPr>
      <w:r>
        <w:rPr>
          <w:sz w:val="20"/>
        </w:rPr>
        <w:t xml:space="preserve">6.8.64. Интенсивность подачи огнетушащих веществ на поверхность штабелей и куч открытых складов лесоматериалов при тушении пожара принимается не менее величин, указанных в </w:t>
      </w:r>
      <w:hyperlink w:history="0" w:anchor="P3027" w:tooltip="Таблица 39">
        <w:r>
          <w:rPr>
            <w:sz w:val="20"/>
            <w:color w:val="0000ff"/>
          </w:rPr>
          <w:t xml:space="preserve">таблице 39</w:t>
        </w:r>
      </w:hyperlink>
      <w:r>
        <w:rPr>
          <w:sz w:val="20"/>
        </w:rPr>
        <w:t xml:space="preserve">.</w:t>
      </w:r>
    </w:p>
    <w:p>
      <w:pPr>
        <w:pStyle w:val="0"/>
        <w:ind w:firstLine="540"/>
        <w:jc w:val="both"/>
      </w:pPr>
      <w:r>
        <w:rPr>
          <w:sz w:val="20"/>
        </w:rPr>
      </w:r>
    </w:p>
    <w:bookmarkStart w:id="3027" w:name="P3027"/>
    <w:bookmarkEnd w:id="3027"/>
    <w:p>
      <w:pPr>
        <w:pStyle w:val="0"/>
        <w:outlineLvl w:val="3"/>
      </w:pPr>
      <w:r>
        <w:rPr>
          <w:sz w:val="20"/>
        </w:rPr>
        <w:t xml:space="preserve">Таблица 39</w:t>
      </w:r>
    </w:p>
    <w:p>
      <w:pPr>
        <w:pStyle w:val="0"/>
        <w:jc w:val="center"/>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30"/>
        <w:gridCol w:w="2475"/>
        <w:gridCol w:w="2970"/>
        <w:gridCol w:w="3135"/>
      </w:tblGrid>
      <w:tr>
        <w:tc>
          <w:tcPr>
            <w:tcW w:w="3630" w:type="dxa"/>
            <w:vMerge w:val="restart"/>
          </w:tcPr>
          <w:p>
            <w:pPr>
              <w:pStyle w:val="0"/>
              <w:jc w:val="center"/>
            </w:pPr>
            <w:r>
              <w:rPr>
                <w:sz w:val="20"/>
              </w:rPr>
              <w:t xml:space="preserve">Вид и способ хранения лесоматериалов</w:t>
            </w:r>
          </w:p>
        </w:tc>
        <w:tc>
          <w:tcPr>
            <w:gridSpan w:val="3"/>
            <w:tcW w:w="8580" w:type="dxa"/>
          </w:tcPr>
          <w:p>
            <w:pPr>
              <w:pStyle w:val="0"/>
              <w:jc w:val="center"/>
            </w:pPr>
            <w:r>
              <w:rPr>
                <w:sz w:val="20"/>
              </w:rPr>
              <w:t xml:space="preserve">Интенсивность подачи огнетушащих веществ, л·м</w:t>
            </w:r>
            <w:r>
              <w:rPr>
                <w:sz w:val="20"/>
                <w:vertAlign w:val="superscript"/>
              </w:rPr>
              <w:t xml:space="preserve">-2</w:t>
            </w:r>
            <w:r>
              <w:rPr>
                <w:sz w:val="20"/>
              </w:rPr>
              <w:t xml:space="preserve">·с</w:t>
            </w:r>
            <w:r>
              <w:rPr>
                <w:sz w:val="20"/>
                <w:vertAlign w:val="superscript"/>
              </w:rPr>
              <w:t xml:space="preserve">-1</w:t>
            </w:r>
          </w:p>
        </w:tc>
      </w:tr>
      <w:tr>
        <w:tc>
          <w:tcPr>
            <w:vMerge w:val="continue"/>
          </w:tcPr>
          <w:p/>
        </w:tc>
        <w:tc>
          <w:tcPr>
            <w:tcW w:w="2475" w:type="dxa"/>
          </w:tcPr>
          <w:p>
            <w:pPr>
              <w:pStyle w:val="0"/>
              <w:jc w:val="center"/>
            </w:pPr>
            <w:r>
              <w:rPr>
                <w:sz w:val="20"/>
              </w:rPr>
              <w:t xml:space="preserve">Вода</w:t>
            </w:r>
          </w:p>
        </w:tc>
        <w:tc>
          <w:tcPr>
            <w:tcW w:w="2970" w:type="dxa"/>
          </w:tcPr>
          <w:p>
            <w:pPr>
              <w:pStyle w:val="0"/>
              <w:jc w:val="both"/>
            </w:pPr>
            <w:r>
              <w:rPr>
                <w:sz w:val="20"/>
              </w:rPr>
              <w:t xml:space="preserve">Бентонит, бишофит</w:t>
            </w:r>
          </w:p>
        </w:tc>
        <w:tc>
          <w:tcPr>
            <w:tcW w:w="3135" w:type="dxa"/>
          </w:tcPr>
          <w:p>
            <w:pPr>
              <w:pStyle w:val="0"/>
              <w:jc w:val="center"/>
            </w:pPr>
            <w:r>
              <w:rPr>
                <w:sz w:val="20"/>
              </w:rPr>
              <w:t xml:space="preserve">Быстротвердеющая пена</w:t>
            </w:r>
          </w:p>
        </w:tc>
      </w:tr>
      <w:tr>
        <w:tc>
          <w:tcPr>
            <w:tcW w:w="3630" w:type="dxa"/>
          </w:tcPr>
          <w:p>
            <w:pPr>
              <w:pStyle w:val="0"/>
            </w:pPr>
            <w:r>
              <w:rPr>
                <w:sz w:val="20"/>
              </w:rPr>
              <w:t xml:space="preserve">Пиломатериалы в штабелях</w:t>
            </w:r>
          </w:p>
        </w:tc>
        <w:tc>
          <w:tcPr>
            <w:tcW w:w="2475" w:type="dxa"/>
          </w:tcPr>
          <w:p>
            <w:pPr>
              <w:pStyle w:val="0"/>
              <w:jc w:val="center"/>
            </w:pPr>
            <w:r>
              <w:rPr>
                <w:sz w:val="20"/>
              </w:rPr>
              <w:t xml:space="preserve">0,45</w:t>
            </w:r>
          </w:p>
        </w:tc>
        <w:tc>
          <w:tcPr>
            <w:tcW w:w="2970" w:type="dxa"/>
          </w:tcPr>
          <w:p>
            <w:pPr>
              <w:pStyle w:val="0"/>
              <w:jc w:val="center"/>
            </w:pPr>
            <w:r>
              <w:rPr>
                <w:sz w:val="20"/>
              </w:rPr>
              <w:t xml:space="preserve">0,2</w:t>
            </w:r>
          </w:p>
        </w:tc>
        <w:tc>
          <w:tcPr>
            <w:tcW w:w="3135" w:type="dxa"/>
          </w:tcPr>
          <w:p>
            <w:pPr>
              <w:pStyle w:val="0"/>
              <w:jc w:val="center"/>
            </w:pPr>
            <w:r>
              <w:rPr>
                <w:sz w:val="20"/>
              </w:rPr>
              <w:t xml:space="preserve">0,07</w:t>
            </w:r>
          </w:p>
        </w:tc>
      </w:tr>
      <w:tr>
        <w:tc>
          <w:tcPr>
            <w:tcW w:w="3630" w:type="dxa"/>
          </w:tcPr>
          <w:p>
            <w:pPr>
              <w:pStyle w:val="0"/>
            </w:pPr>
            <w:r>
              <w:rPr>
                <w:sz w:val="20"/>
              </w:rPr>
              <w:t xml:space="preserve">Круглые лесоматериалы в штабелях</w:t>
            </w:r>
          </w:p>
        </w:tc>
        <w:tc>
          <w:tcPr>
            <w:tcW w:w="2475" w:type="dxa"/>
          </w:tcPr>
          <w:p>
            <w:pPr>
              <w:pStyle w:val="0"/>
              <w:jc w:val="center"/>
            </w:pPr>
            <w:r>
              <w:rPr>
                <w:sz w:val="20"/>
              </w:rPr>
              <w:t xml:space="preserve">0,35</w:t>
            </w:r>
          </w:p>
        </w:tc>
        <w:tc>
          <w:tcPr>
            <w:tcW w:w="2970" w:type="dxa"/>
          </w:tcPr>
          <w:p>
            <w:pPr>
              <w:pStyle w:val="0"/>
              <w:jc w:val="center"/>
            </w:pPr>
            <w:r>
              <w:rPr>
                <w:sz w:val="20"/>
              </w:rPr>
              <w:t xml:space="preserve">0,12</w:t>
            </w:r>
          </w:p>
        </w:tc>
        <w:tc>
          <w:tcPr>
            <w:tcW w:w="3135" w:type="dxa"/>
          </w:tcPr>
          <w:p>
            <w:pPr>
              <w:pStyle w:val="0"/>
              <w:jc w:val="center"/>
            </w:pPr>
            <w:r>
              <w:rPr>
                <w:sz w:val="20"/>
              </w:rPr>
              <w:t xml:space="preserve">0,15</w:t>
            </w:r>
          </w:p>
        </w:tc>
      </w:tr>
      <w:tr>
        <w:tc>
          <w:tcPr>
            <w:tcW w:w="3630" w:type="dxa"/>
          </w:tcPr>
          <w:p>
            <w:pPr>
              <w:pStyle w:val="0"/>
              <w:jc w:val="both"/>
            </w:pPr>
            <w:r>
              <w:rPr>
                <w:sz w:val="20"/>
              </w:rPr>
              <w:t xml:space="preserve">Балансовая древесина, осмол и дрова в кучах</w:t>
            </w:r>
          </w:p>
        </w:tc>
        <w:tc>
          <w:tcPr>
            <w:tcW w:w="2475" w:type="dxa"/>
          </w:tcPr>
          <w:p>
            <w:pPr>
              <w:pStyle w:val="0"/>
              <w:jc w:val="center"/>
            </w:pPr>
            <w:r>
              <w:rPr>
                <w:sz w:val="20"/>
              </w:rPr>
              <w:t xml:space="preserve">0,25 X + 0,5</w:t>
            </w:r>
          </w:p>
        </w:tc>
        <w:tc>
          <w:tcPr>
            <w:tcW w:w="2970" w:type="dxa"/>
          </w:tcPr>
          <w:p>
            <w:pPr>
              <w:pStyle w:val="0"/>
              <w:jc w:val="center"/>
            </w:pPr>
            <w:r>
              <w:rPr>
                <w:sz w:val="20"/>
              </w:rPr>
              <w:t xml:space="preserve">В два раза меньше, чем воды</w:t>
            </w:r>
          </w:p>
        </w:tc>
        <w:tc>
          <w:tcPr>
            <w:tcW w:w="3135" w:type="dxa"/>
          </w:tcPr>
          <w:p>
            <w:pPr>
              <w:pStyle w:val="0"/>
              <w:jc w:val="center"/>
            </w:pPr>
            <w:r>
              <w:rPr>
                <w:sz w:val="20"/>
              </w:rPr>
              <w:t xml:space="preserve">В два раза меньше, чем воды</w:t>
            </w:r>
          </w:p>
        </w:tc>
      </w:tr>
      <w:tr>
        <w:tc>
          <w:tcPr>
            <w:tcW w:w="3630" w:type="dxa"/>
          </w:tcPr>
          <w:p>
            <w:pPr>
              <w:pStyle w:val="0"/>
            </w:pPr>
            <w:r>
              <w:rPr>
                <w:sz w:val="20"/>
              </w:rPr>
              <w:t xml:space="preserve">Щепа, опилки и древесные отходы в кучах</w:t>
            </w:r>
          </w:p>
        </w:tc>
        <w:tc>
          <w:tcPr>
            <w:tcW w:w="2475" w:type="dxa"/>
          </w:tcPr>
          <w:p>
            <w:pPr>
              <w:pStyle w:val="0"/>
              <w:jc w:val="center"/>
            </w:pPr>
            <w:r>
              <w:rPr>
                <w:sz w:val="20"/>
              </w:rPr>
              <w:t xml:space="preserve">0,1</w:t>
            </w:r>
          </w:p>
        </w:tc>
        <w:tc>
          <w:tcPr>
            <w:tcW w:w="2970" w:type="dxa"/>
          </w:tcPr>
          <w:p>
            <w:pPr>
              <w:pStyle w:val="0"/>
              <w:jc w:val="center"/>
            </w:pPr>
            <w:r>
              <w:rPr>
                <w:sz w:val="20"/>
              </w:rPr>
              <w:t xml:space="preserve">0,06</w:t>
            </w:r>
          </w:p>
        </w:tc>
        <w:tc>
          <w:tcPr>
            <w:tcW w:w="3135" w:type="dxa"/>
          </w:tcPr>
          <w:p>
            <w:pPr>
              <w:pStyle w:val="0"/>
              <w:jc w:val="center"/>
            </w:pPr>
            <w:r>
              <w:rPr>
                <w:sz w:val="20"/>
              </w:rPr>
              <w:t xml:space="preserve">0,06</w:t>
            </w:r>
          </w:p>
        </w:tc>
      </w:tr>
    </w:tbl>
    <w:p>
      <w:pPr>
        <w:sectPr>
          <w:headerReference w:type="default" r:id="rId212"/>
          <w:headerReference w:type="first" r:id="rId212"/>
          <w:footerReference w:type="default" r:id="rId213"/>
          <w:footerReference w:type="first" r:id="rId213"/>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За X принимается глубина очага горения от поверхности, X &gt; 4 м.</w:t>
      </w:r>
    </w:p>
    <w:p>
      <w:pPr>
        <w:pStyle w:val="0"/>
        <w:spacing w:before="200" w:line-rule="auto"/>
        <w:ind w:firstLine="540"/>
        <w:jc w:val="both"/>
      </w:pPr>
      <w:r>
        <w:rPr>
          <w:sz w:val="20"/>
        </w:rPr>
        <w:t xml:space="preserve">2. Состав бентонита, % по массе: бентонитовый глинопорошок - 15 - 20; пенообразователь - 2; вода - 77 - 82; карбоксилметилцеллюлоза - 0,1 по отношению к количеству бентонита; сода кальцинированная - 1.</w:t>
      </w:r>
    </w:p>
    <w:p>
      <w:pPr>
        <w:pStyle w:val="0"/>
        <w:spacing w:before="200" w:line-rule="auto"/>
        <w:ind w:firstLine="540"/>
        <w:jc w:val="both"/>
      </w:pPr>
      <w:r>
        <w:rPr>
          <w:sz w:val="20"/>
        </w:rPr>
        <w:t xml:space="preserve">3. Состав бишофита, % по массе: хлористый магний - 96; сульфат кальция, хлористый кальций, хлористый натрий и др. - 4.</w:t>
      </w:r>
    </w:p>
    <w:p>
      <w:pPr>
        <w:pStyle w:val="0"/>
        <w:spacing w:before="200" w:line-rule="auto"/>
        <w:ind w:firstLine="540"/>
        <w:jc w:val="both"/>
      </w:pPr>
      <w:r>
        <w:rPr>
          <w:sz w:val="20"/>
        </w:rPr>
        <w:t xml:space="preserve">4. Состав быстротвердеющей пены, % по объему: карбомидоформальдегидная смола - 20; пенообразователь (типа ПО-3НП, ПФ, НС) - 5; отвердитель - серная или соляная кислота - 3; вода - 72.</w:t>
      </w:r>
    </w:p>
    <w:p>
      <w:pPr>
        <w:pStyle w:val="0"/>
        <w:ind w:firstLine="540"/>
        <w:jc w:val="both"/>
      </w:pPr>
      <w:r>
        <w:rPr>
          <w:sz w:val="20"/>
        </w:rPr>
      </w:r>
    </w:p>
    <w:p>
      <w:pPr>
        <w:pStyle w:val="0"/>
        <w:ind w:firstLine="540"/>
        <w:jc w:val="both"/>
      </w:pPr>
      <w:r>
        <w:rPr>
          <w:sz w:val="20"/>
        </w:rPr>
        <w:t xml:space="preserve">6.8.65. Стационарные лафетные установки предусматриваются при расходе воды на наружное пожаротушение свыше 90 л x с</w:t>
      </w:r>
      <w:r>
        <w:rPr>
          <w:sz w:val="20"/>
          <w:vertAlign w:val="superscript"/>
        </w:rPr>
        <w:t xml:space="preserve">-1</w:t>
      </w:r>
      <w:r>
        <w:rPr>
          <w:sz w:val="20"/>
        </w:rPr>
        <w:t xml:space="preserve">. Расчетный расход воды на каждый стационарный лафетный ствол типа ЛС-60 следует принимать не менее 60 л x с</w:t>
      </w:r>
      <w:r>
        <w:rPr>
          <w:sz w:val="20"/>
          <w:vertAlign w:val="superscript"/>
        </w:rPr>
        <w:t xml:space="preserve">-1</w:t>
      </w:r>
      <w:r>
        <w:rPr>
          <w:sz w:val="20"/>
        </w:rPr>
        <w:t xml:space="preserve"> при давлении в насадке ствола 0,5 МПа (5 кгс x см</w:t>
      </w:r>
      <w:r>
        <w:rPr>
          <w:sz w:val="20"/>
          <w:vertAlign w:val="superscript"/>
        </w:rPr>
        <w:t xml:space="preserve">-2</w:t>
      </w:r>
      <w:r>
        <w:rPr>
          <w:sz w:val="20"/>
        </w:rPr>
        <w:t xml:space="preserve">).</w:t>
      </w:r>
    </w:p>
    <w:p>
      <w:pPr>
        <w:pStyle w:val="0"/>
        <w:spacing w:before="200" w:line-rule="auto"/>
        <w:ind w:firstLine="540"/>
        <w:jc w:val="both"/>
      </w:pPr>
      <w:r>
        <w:rPr>
          <w:sz w:val="20"/>
        </w:rPr>
        <w:t xml:space="preserve">Допускается установка стационарных лафетных стволов в закрытых складах пиломатериалов.</w:t>
      </w:r>
    </w:p>
    <w:p>
      <w:pPr>
        <w:pStyle w:val="0"/>
        <w:spacing w:before="200" w:line-rule="auto"/>
        <w:ind w:firstLine="540"/>
        <w:jc w:val="both"/>
      </w:pPr>
      <w:r>
        <w:rPr>
          <w:sz w:val="20"/>
        </w:rPr>
        <w:t xml:space="preserve">Стационарные лафетные стволы следует оборудовать защитными экранами в соответствии с </w:t>
      </w:r>
      <w:hyperlink w:history="0" r:id="rId358" w:tooltip="&quot;ГОСТ Р 59440-2021. Национальный стандарт Российской Федерации. Техника пожарная. Экраны теплозащитные стационарные. Общие технические требования. Методы испытаний&quot; (утв. и введен в действие Приказом Росстандарта от 21.04.2021 N 254-ст) {КонсультантПлюс}">
        <w:r>
          <w:rPr>
            <w:sz w:val="20"/>
            <w:color w:val="0000ff"/>
          </w:rPr>
          <w:t xml:space="preserve">ГОСТ Р 59440</w:t>
        </w:r>
      </w:hyperlink>
      <w:r>
        <w:rPr>
          <w:sz w:val="20"/>
        </w:rPr>
        <w:t xml:space="preserve">, обеспечивающими при пожаре снижение интенсивности теплового излучения пламени на ствольщика до значений, не превышающих 4,2 кВт/м</w:t>
      </w:r>
      <w:r>
        <w:rPr>
          <w:sz w:val="20"/>
          <w:vertAlign w:val="superscript"/>
        </w:rPr>
        <w:t xml:space="preserve">2</w:t>
      </w:r>
      <w:r>
        <w:rPr>
          <w:sz w:val="20"/>
        </w:rPr>
        <w:t xml:space="preserve"> в соответствии с </w:t>
      </w:r>
      <w:hyperlink w:history="0" r:id="rId359" w:tooltip="&quot;ГОСТ Р 12.3.047-2012. Национальный стандарт Российской Федерации. Система стандартов безопасности труда. Пожарная безопасность технологических процессов. Общие требования. Методы контроля&quot; (утв. и введены в действие Приказом Росстандарта от 27.12.2012 N 1971-ст) {КонсультантПлюс}">
        <w:r>
          <w:rPr>
            <w:sz w:val="20"/>
            <w:color w:val="0000ff"/>
          </w:rPr>
          <w:t xml:space="preserve">ГОСТ Р 12.3.047</w:t>
        </w:r>
      </w:hyperlink>
      <w:r>
        <w:rPr>
          <w:sz w:val="20"/>
        </w:rPr>
        <w:t xml:space="preserve">.</w:t>
      </w:r>
    </w:p>
    <w:p>
      <w:pPr>
        <w:pStyle w:val="0"/>
        <w:jc w:val="both"/>
      </w:pPr>
      <w:r>
        <w:rPr>
          <w:sz w:val="20"/>
        </w:rPr>
        <w:t xml:space="preserve">(в ред. </w:t>
      </w:r>
      <w:hyperlink w:history="0" r:id="rId360"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6.8.66. Число и размещение стационарных лафетных стволов определяется из условия орошения каждой точки штабеля или кучи лесоматериалов не менее чем двумя компактными струями.</w:t>
      </w:r>
    </w:p>
    <w:p>
      <w:pPr>
        <w:pStyle w:val="0"/>
        <w:spacing w:before="200" w:line-rule="auto"/>
        <w:ind w:firstLine="540"/>
        <w:jc w:val="both"/>
      </w:pPr>
      <w:r>
        <w:rPr>
          <w:sz w:val="20"/>
        </w:rPr>
        <w:t xml:space="preserve">6.8.67. Стационарные лафетные стволы подключаются к сети противопожарного водопровода с помощью ответвления диаметром не менее 150 мм с установкой на нем двух задвижек - в начале ответвления и непосредственно у лафетного ствола.</w:t>
      </w:r>
    </w:p>
    <w:p>
      <w:pPr>
        <w:pStyle w:val="0"/>
        <w:spacing w:before="200" w:line-rule="auto"/>
        <w:ind w:firstLine="540"/>
        <w:jc w:val="both"/>
      </w:pPr>
      <w:r>
        <w:rPr>
          <w:sz w:val="20"/>
        </w:rPr>
        <w:t xml:space="preserve">6.8.68. Стояки лафетных стволов оборудуются соединительными головками (не менее трех головок) в соответствии с ГОСТ Р 23279 для подключения передвижных насосов.</w:t>
      </w:r>
    </w:p>
    <w:p>
      <w:pPr>
        <w:pStyle w:val="0"/>
        <w:spacing w:before="200" w:line-rule="auto"/>
        <w:ind w:firstLine="540"/>
        <w:jc w:val="both"/>
      </w:pPr>
      <w:r>
        <w:rPr>
          <w:sz w:val="20"/>
        </w:rPr>
        <w:t xml:space="preserve">6.8.69. Типы пожарных лафетных стволов принимаются в соответствии с </w:t>
      </w:r>
      <w:hyperlink w:history="0" r:id="rId361" w:tooltip="&quot;ГОСТ Р 51115-97. Государственный стандарт Российской Федерации. Техника пожарная. Стволы пожарные лафетные. Общие технические требования. Методы испытаний&quot; (принят и введен в действие Постановлением Госстандарта РФ от 25.12.1997 N 425) (ред. от 09.12.2013) {КонсультантПлюс}">
        <w:r>
          <w:rPr>
            <w:sz w:val="20"/>
            <w:color w:val="0000ff"/>
          </w:rPr>
          <w:t xml:space="preserve">ГОСТ Р 51115</w:t>
        </w:r>
      </w:hyperlink>
      <w:r>
        <w:rPr>
          <w:sz w:val="20"/>
        </w:rPr>
        <w:t xml:space="preserve">.</w:t>
      </w:r>
    </w:p>
    <w:p>
      <w:pPr>
        <w:pStyle w:val="0"/>
        <w:spacing w:before="200" w:line-rule="auto"/>
        <w:ind w:firstLine="540"/>
        <w:jc w:val="both"/>
      </w:pPr>
      <w:r>
        <w:rPr>
          <w:sz w:val="20"/>
        </w:rPr>
        <w:t xml:space="preserve">6.8.70. Задвижки с ручным приводом на ответвлениях размещаются на расстоянии не более 20 м от стационарных лафетных стволов. При расстоянии свыше 20 м надлежит предусматривать дистанционное управление задвижками непосредственно от лафетных стволов.</w:t>
      </w:r>
    </w:p>
    <w:p>
      <w:pPr>
        <w:pStyle w:val="0"/>
        <w:spacing w:before="200" w:line-rule="auto"/>
        <w:ind w:firstLine="540"/>
        <w:jc w:val="both"/>
      </w:pPr>
      <w:r>
        <w:rPr>
          <w:sz w:val="20"/>
        </w:rPr>
        <w:t xml:space="preserve">Задвижки на ответвлениях должны иметь устройства по управлению ими с поверхности земли.</w:t>
      </w:r>
    </w:p>
    <w:p>
      <w:pPr>
        <w:pStyle w:val="0"/>
        <w:spacing w:before="200" w:line-rule="auto"/>
        <w:ind w:firstLine="540"/>
        <w:jc w:val="both"/>
      </w:pPr>
      <w:r>
        <w:rPr>
          <w:sz w:val="20"/>
        </w:rPr>
        <w:t xml:space="preserve">6.8.71. Для выпуска воды из стояка лафетного ствола предусматривается контрольно-спускной кран диаметром 50 мм.</w:t>
      </w:r>
    </w:p>
    <w:p>
      <w:pPr>
        <w:pStyle w:val="0"/>
        <w:spacing w:before="200" w:line-rule="auto"/>
        <w:ind w:firstLine="540"/>
        <w:jc w:val="both"/>
      </w:pPr>
      <w:r>
        <w:rPr>
          <w:sz w:val="20"/>
        </w:rPr>
        <w:t xml:space="preserve">6.8.72. Высота лафетных вышек принимается не менее высоты штабелей и куч лесоматериалов.</w:t>
      </w:r>
    </w:p>
    <w:p>
      <w:pPr>
        <w:pStyle w:val="0"/>
        <w:spacing w:before="200" w:line-rule="auto"/>
        <w:ind w:firstLine="540"/>
        <w:jc w:val="both"/>
      </w:pPr>
      <w:r>
        <w:rPr>
          <w:sz w:val="20"/>
        </w:rPr>
        <w:t xml:space="preserve">6.8.73. Управление стационарными лафетными стволами, установленными на вышках высотой до 7 м, может быть ручное, свыше 7 м - дистанционное.</w:t>
      </w:r>
    </w:p>
    <w:p>
      <w:pPr>
        <w:pStyle w:val="0"/>
        <w:spacing w:before="200" w:line-rule="auto"/>
        <w:ind w:firstLine="540"/>
        <w:jc w:val="both"/>
      </w:pPr>
      <w:r>
        <w:rPr>
          <w:sz w:val="20"/>
        </w:rPr>
        <w:t xml:space="preserve">6.8.74. Лафетные вышки и подставки устанавливаются от основания штабеля или кучи лесоматериалов на расстоянии не менее 7 м.</w:t>
      </w:r>
    </w:p>
    <w:p>
      <w:pPr>
        <w:pStyle w:val="0"/>
        <w:spacing w:before="200" w:line-rule="auto"/>
        <w:ind w:firstLine="540"/>
        <w:jc w:val="both"/>
      </w:pPr>
      <w:r>
        <w:rPr>
          <w:sz w:val="20"/>
        </w:rPr>
        <w:t xml:space="preserve">6.8.75. Лафетные вышки предусматриваются из материалов НГ IV степени огнестойкости, классов конструктивной пожарной опасности С0, С1. Площадки для установки лафетных стволов надлежит предусматривать размером в плане не менее 2,5 x 2,5 м или радиусом не менее 1,5 м с ограждением высотой 1,2 м.</w:t>
      </w:r>
    </w:p>
    <w:p>
      <w:pPr>
        <w:pStyle w:val="0"/>
        <w:spacing w:before="200" w:line-rule="auto"/>
        <w:ind w:firstLine="540"/>
        <w:jc w:val="both"/>
      </w:pPr>
      <w:r>
        <w:rPr>
          <w:sz w:val="20"/>
        </w:rPr>
        <w:t xml:space="preserve">6.8.76. Лестницы лафетных вышек должны быть 3-го типа. Со стороны штабелей и куч лесоматериалов должны быть огнезащитные экраны из негорючих светопрозрачных материалов, выступающие за габариты лестницы на 1 м в каждую сторону.</w:t>
      </w:r>
    </w:p>
    <w:p>
      <w:pPr>
        <w:pStyle w:val="0"/>
        <w:spacing w:before="200" w:line-rule="auto"/>
        <w:ind w:firstLine="540"/>
        <w:jc w:val="both"/>
      </w:pPr>
      <w:r>
        <w:rPr>
          <w:sz w:val="20"/>
        </w:rPr>
        <w:t xml:space="preserve">Допускается устанавливать лафетные стволы на покрытиях зданий II степени огнестойкости, класса конструктивной пожарной опасности С0, при этом для доступа к лафетным стволам надлежит предусматривать выход на кровлю из лестничной клетки здания либо по лестнице 3-го типа.</w:t>
      </w:r>
    </w:p>
    <w:p>
      <w:pPr>
        <w:pStyle w:val="0"/>
        <w:spacing w:before="200" w:line-rule="auto"/>
        <w:ind w:firstLine="540"/>
        <w:jc w:val="both"/>
      </w:pPr>
      <w:r>
        <w:rPr>
          <w:sz w:val="20"/>
        </w:rPr>
        <w:t xml:space="preserve">6.8.77. Для хранения пожарной техники, одежды и оборудования на складах лесоматериалов предусматриваются пожарные посты из расчета не менее одного поста для защиты штабелей и куч в радиусе не более 200 м. В наборе пожарной техники, боевой одежды и пожарного оборудования должно быть не менее:</w:t>
      </w:r>
    </w:p>
    <w:p>
      <w:pPr>
        <w:pStyle w:val="0"/>
        <w:spacing w:before="200" w:line-rule="auto"/>
        <w:ind w:firstLine="540"/>
        <w:jc w:val="both"/>
      </w:pPr>
      <w:r>
        <w:rPr>
          <w:sz w:val="20"/>
        </w:rPr>
        <w:t xml:space="preserve">- одной мотопомпы типа М-1600;</w:t>
      </w:r>
    </w:p>
    <w:p>
      <w:pPr>
        <w:pStyle w:val="0"/>
        <w:spacing w:before="200" w:line-rule="auto"/>
        <w:ind w:firstLine="540"/>
        <w:jc w:val="both"/>
      </w:pPr>
      <w:r>
        <w:rPr>
          <w:sz w:val="20"/>
        </w:rPr>
        <w:t xml:space="preserve">- 10 комплектов одежды для добровольных пожарных;</w:t>
      </w:r>
    </w:p>
    <w:p>
      <w:pPr>
        <w:pStyle w:val="0"/>
        <w:spacing w:before="200" w:line-rule="auto"/>
        <w:ind w:firstLine="540"/>
        <w:jc w:val="both"/>
      </w:pPr>
      <w:r>
        <w:rPr>
          <w:sz w:val="20"/>
        </w:rPr>
        <w:t xml:space="preserve">- 2 лафетных стволов;</w:t>
      </w:r>
    </w:p>
    <w:p>
      <w:pPr>
        <w:pStyle w:val="0"/>
        <w:spacing w:before="200" w:line-rule="auto"/>
        <w:ind w:firstLine="540"/>
        <w:jc w:val="both"/>
      </w:pPr>
      <w:r>
        <w:rPr>
          <w:sz w:val="20"/>
        </w:rPr>
        <w:t xml:space="preserve">- 4 ручных стволов с насадками диаметром 19 - 21 мм;</w:t>
      </w:r>
    </w:p>
    <w:p>
      <w:pPr>
        <w:pStyle w:val="0"/>
        <w:spacing w:before="200" w:line-rule="auto"/>
        <w:ind w:firstLine="540"/>
        <w:jc w:val="both"/>
      </w:pPr>
      <w:r>
        <w:rPr>
          <w:sz w:val="20"/>
        </w:rPr>
        <w:t xml:space="preserve">- 200 м пожарных рукавов диаметром 65 мм, 2 разветвлений и 2 пожарных колонок.</w:t>
      </w:r>
    </w:p>
    <w:p>
      <w:pPr>
        <w:pStyle w:val="0"/>
        <w:spacing w:before="200" w:line-rule="auto"/>
        <w:ind w:firstLine="540"/>
        <w:jc w:val="both"/>
      </w:pPr>
      <w:r>
        <w:rPr>
          <w:sz w:val="20"/>
        </w:rPr>
        <w:t xml:space="preserve">Помещения (здания) пожарных постов должны быть отапливаемыми, не ниже IV степени огнестойкости и классов конструктивной пожарной опасности С0, С1.</w:t>
      </w:r>
    </w:p>
    <w:p>
      <w:pPr>
        <w:pStyle w:val="0"/>
        <w:spacing w:before="200" w:line-rule="auto"/>
        <w:ind w:firstLine="540"/>
        <w:jc w:val="both"/>
      </w:pPr>
      <w:r>
        <w:rPr>
          <w:sz w:val="20"/>
        </w:rPr>
        <w:t xml:space="preserve">6.8.78. Кварталы и участки, противопожарные разрывы и зоны между кварталами и участками, пожарные проезды и подъезды, гидранты, водоемы и резервуары, посты, площадки на берегах естественных и искусственных источников воды, стационарные лафетные стволы, наблюдательные вышки и пожарные извещатели должны иметь порядковые номера. Месторасположение противопожарных разрывов, проездов, подъездов, пожарных гидрантов, водоемов, резервуаров, водоприемных колодцев, площадок, стационарных лафетных стволов, пожарных извещателей и постов с пожарным оборудованием должно быть обозначено на плане территории склада. План должен находиться в помещении дежурного персонала склада и в пожарной части предприятия.</w:t>
      </w:r>
    </w:p>
    <w:p>
      <w:pPr>
        <w:pStyle w:val="0"/>
        <w:spacing w:before="200" w:line-rule="auto"/>
        <w:ind w:firstLine="540"/>
        <w:jc w:val="both"/>
      </w:pPr>
      <w:r>
        <w:rPr>
          <w:sz w:val="20"/>
        </w:rPr>
        <w:t xml:space="preserve">6.8.79. Дороги, проезды, выезды, въезды, устраиваемые на территории склада лесоматериалов, по условиям производства надлежит использовать и для проезда пожарных машин.</w:t>
      </w:r>
    </w:p>
    <w:p>
      <w:pPr>
        <w:pStyle w:val="0"/>
        <w:spacing w:before="200" w:line-rule="auto"/>
        <w:ind w:firstLine="540"/>
        <w:jc w:val="both"/>
      </w:pPr>
      <w:r>
        <w:rPr>
          <w:sz w:val="20"/>
        </w:rPr>
        <w:t xml:space="preserve">В случаях, когда по условиям производства устройство дорог не требуется, на территории склада лесоматериалов следует предусматривать пожарные проезды и подъезды с твердым покрытием, с проезжей частью шириной не менее 3 м и обочинами по 2 м с каждой стороны. Допускается устройство для проезда пожарных машин полос спланированной территории шириной не менее 6 м, укрепленных растительным покровом, щебнем или гравием и имеющих уклоны, обеспечивающие естественный сток воды.</w:t>
      </w:r>
    </w:p>
    <w:p>
      <w:pPr>
        <w:pStyle w:val="0"/>
        <w:spacing w:before="200" w:line-rule="auto"/>
        <w:ind w:firstLine="540"/>
        <w:jc w:val="both"/>
      </w:pPr>
      <w:r>
        <w:rPr>
          <w:sz w:val="20"/>
        </w:rPr>
        <w:t xml:space="preserve">6.8.80. В местах пересечения пожарных проездов и подъездов с железнодорожными путями, водяными лотками, транспортерами и другими сооружениями предусматривается устройство переездов или объездов с твердым покрытием.</w:t>
      </w:r>
    </w:p>
    <w:p>
      <w:pPr>
        <w:pStyle w:val="0"/>
        <w:spacing w:before="200" w:line-rule="auto"/>
        <w:ind w:firstLine="540"/>
        <w:jc w:val="both"/>
      </w:pPr>
      <w:r>
        <w:rPr>
          <w:sz w:val="20"/>
        </w:rPr>
        <w:t xml:space="preserve">6.8.81. Мосты на территории склада лесоматериалов предусматриваются из негорючих материалов.</w:t>
      </w:r>
    </w:p>
    <w:p>
      <w:pPr>
        <w:pStyle w:val="0"/>
        <w:spacing w:before="200" w:line-rule="auto"/>
        <w:ind w:firstLine="540"/>
        <w:jc w:val="both"/>
      </w:pPr>
      <w:r>
        <w:rPr>
          <w:sz w:val="20"/>
        </w:rPr>
        <w:t xml:space="preserve">6.8.82. Для эвакуации в безопасные места и защиты при пожаре кучеукладчиков, башенных и козловых кранов предусматриваются резервные участки железнодорожных путей и установка в этих местах лафетных стволов на подставках.</w:t>
      </w:r>
    </w:p>
    <w:p>
      <w:pPr>
        <w:pStyle w:val="0"/>
        <w:ind w:firstLine="540"/>
        <w:jc w:val="both"/>
      </w:pPr>
      <w:r>
        <w:rPr>
          <w:sz w:val="20"/>
        </w:rPr>
      </w:r>
    </w:p>
    <w:p>
      <w:pPr>
        <w:pStyle w:val="2"/>
        <w:outlineLvl w:val="2"/>
        <w:ind w:firstLine="540"/>
        <w:jc w:val="both"/>
      </w:pPr>
      <w:r>
        <w:rPr>
          <w:sz w:val="20"/>
        </w:rPr>
        <w:t xml:space="preserve">6.9. Требования к котельным</w:t>
      </w:r>
    </w:p>
    <w:p>
      <w:pPr>
        <w:pStyle w:val="0"/>
        <w:jc w:val="both"/>
      </w:pPr>
      <w:r>
        <w:rPr>
          <w:sz w:val="20"/>
        </w:rPr>
        <w:t xml:space="preserve">(в ред. </w:t>
      </w:r>
      <w:hyperlink w:history="0" r:id="rId362"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ind w:firstLine="540"/>
        <w:jc w:val="both"/>
      </w:pPr>
      <w:r>
        <w:rPr>
          <w:sz w:val="20"/>
        </w:rPr>
      </w:r>
    </w:p>
    <w:p>
      <w:pPr>
        <w:pStyle w:val="0"/>
        <w:ind w:firstLine="540"/>
        <w:jc w:val="both"/>
      </w:pPr>
      <w:r>
        <w:rPr>
          <w:sz w:val="20"/>
        </w:rPr>
        <w:t xml:space="preserve">6.9.1. Настоящий подраздел распространяется на котельные централизованного и автономного теплоснабжения, а также на помещения с дизельгенераторами и наружные дизельгенераторные установки. Настоящий подраздел не распространяется на теплогенераторные индивидуального теплоснабжения, а также на передвижные котельные, котельные с электродными котлами, котлами-утилизаторами, котлами с высокотемпературными органическими теплоносителями и другими типами котлов для технологических целей.</w:t>
      </w:r>
    </w:p>
    <w:p>
      <w:pPr>
        <w:pStyle w:val="0"/>
        <w:jc w:val="both"/>
      </w:pPr>
      <w:r>
        <w:rPr>
          <w:sz w:val="20"/>
        </w:rPr>
        <w:t xml:space="preserve">(п. 6.9.1 в ред. </w:t>
      </w:r>
      <w:hyperlink w:history="0" r:id="rId363"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6.9.2. Здания отдельно стоящих котельных, части здания пристроенных и встроенных котельных должны выполняться I и II степени огнестойкости класса конструктивной пожарной опасности С0; III степени огнестойкости классов конструктивной пожарной опасности С0 и С1.</w:t>
      </w:r>
    </w:p>
    <w:p>
      <w:pPr>
        <w:pStyle w:val="0"/>
        <w:spacing w:before="200" w:line-rule="auto"/>
        <w:ind w:firstLine="540"/>
        <w:jc w:val="both"/>
      </w:pPr>
      <w:r>
        <w:rPr>
          <w:sz w:val="20"/>
        </w:rPr>
        <w:t xml:space="preserve">Здания отдельно стоящих котельных, относящихся ко второй категории (в соответствии с </w:t>
      </w:r>
      <w:hyperlink w:history="0" r:id="rId364" w:tooltip="&quot;СП 89.13330.2012. Свод правил. Котельные установки. Актуализированная редакция СНиП II-35-76&quot; (утв. Приказом Минрегиона России от 30.06.2012 N 281) (ред. от 10.02.2017) ------------ Утратил силу или отменен {КонсультантПлюс}">
        <w:r>
          <w:rPr>
            <w:sz w:val="20"/>
            <w:color w:val="0000ff"/>
          </w:rPr>
          <w:t xml:space="preserve">пунктом 4.9</w:t>
        </w:r>
      </w:hyperlink>
      <w:r>
        <w:rPr>
          <w:sz w:val="20"/>
        </w:rPr>
        <w:t xml:space="preserve"> СП 89.13330), могут выполняться IV степени огнестойкости классов конструктивной пожарной опасности С0, С1.</w:t>
      </w:r>
    </w:p>
    <w:p>
      <w:pPr>
        <w:pStyle w:val="0"/>
        <w:spacing w:before="200" w:line-rule="auto"/>
        <w:ind w:firstLine="540"/>
        <w:jc w:val="both"/>
      </w:pPr>
      <w:r>
        <w:rPr>
          <w:sz w:val="20"/>
        </w:rPr>
        <w:t xml:space="preserve">Конструкции крышных котельных должны соответствовать степени огнестойкости не ниже III и классу конструктивной пожарной опасности С0.</w:t>
      </w:r>
    </w:p>
    <w:p>
      <w:pPr>
        <w:pStyle w:val="0"/>
        <w:jc w:val="both"/>
      </w:pPr>
      <w:r>
        <w:rPr>
          <w:sz w:val="20"/>
        </w:rPr>
        <w:t xml:space="preserve">(п. 6.9.2 в ред. </w:t>
      </w:r>
      <w:hyperlink w:history="0" r:id="rId365"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6.9.3. Крышные котельные выполняются одноэтажными. Кровельный ковер здания под крышной котельной и на расстоянии не менее 2 м от ее стен должен быть выполнен из материалов НГ или защищаться от возгорания бетонной стяжкой толщиной не менее 20 мм.</w:t>
      </w:r>
    </w:p>
    <w:p>
      <w:pPr>
        <w:pStyle w:val="0"/>
        <w:jc w:val="both"/>
      </w:pPr>
      <w:r>
        <w:rPr>
          <w:sz w:val="20"/>
        </w:rPr>
        <w:t xml:space="preserve">(п. 6.9.3 в ред. </w:t>
      </w:r>
      <w:hyperlink w:history="0" r:id="rId366"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6.9.3.1 Крышные котельные следует проектировать только на газовом топливе. Крышные котельные допускается предусматривать для зданий классов функциональной пожарной опасности Ф1 (кроме Ф1.1, Ф1.2), Ф2 (кроме Ф2.1, Ф2.2), Ф3, Ф4 (кроме Ф4.1, Ф4.2), Ф5 (кроме категорий А и Б по взрывопожарной опасности).</w:t>
      </w:r>
    </w:p>
    <w:p>
      <w:pPr>
        <w:pStyle w:val="0"/>
        <w:jc w:val="both"/>
      </w:pPr>
      <w:r>
        <w:rPr>
          <w:sz w:val="20"/>
        </w:rPr>
        <w:t xml:space="preserve">(п. 6.9.3.1 введен </w:t>
      </w:r>
      <w:hyperlink w:history="0" r:id="rId367"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Приказом</w:t>
        </w:r>
      </w:hyperlink>
      <w:r>
        <w:rPr>
          <w:sz w:val="20"/>
        </w:rPr>
        <w:t xml:space="preserve"> МЧС России от 14.02.2020 N 89)</w:t>
      </w:r>
    </w:p>
    <w:p>
      <w:pPr>
        <w:pStyle w:val="0"/>
        <w:spacing w:before="200" w:line-rule="auto"/>
        <w:ind w:firstLine="540"/>
        <w:jc w:val="both"/>
      </w:pPr>
      <w:r>
        <w:rPr>
          <w:sz w:val="20"/>
        </w:rPr>
        <w:t xml:space="preserve">6.9.4. При блокировке котельной с закрытым складом твердого топлива последний должен быть отделен противопожарной стеной 1-го типа.</w:t>
      </w:r>
    </w:p>
    <w:p>
      <w:pPr>
        <w:pStyle w:val="0"/>
        <w:jc w:val="both"/>
      </w:pPr>
      <w:r>
        <w:rPr>
          <w:sz w:val="20"/>
        </w:rPr>
        <w:t xml:space="preserve">(в ред. </w:t>
      </w:r>
      <w:hyperlink w:history="0" r:id="rId368"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6.9.4.1 Пристроенные котельные допускается проектировать для зданий классов функциональной пожарной опасности Ф1 (кроме Ф1.1, Ф1.2), Ф2 (кроме Ф2.1, Ф2.2), Ф3, Ф4 (кроме Ф4.1, Ф4.2), Ф5.2 (кроме складов категорий А, Б, и В по взрывопожарной и пожарной опасности, за исключением складов топлива для котельных и зданий автостоянок).</w:t>
      </w:r>
    </w:p>
    <w:p>
      <w:pPr>
        <w:pStyle w:val="0"/>
        <w:spacing w:before="200" w:line-rule="auto"/>
        <w:ind w:firstLine="540"/>
        <w:jc w:val="both"/>
      </w:pPr>
      <w:r>
        <w:rPr>
          <w:sz w:val="20"/>
        </w:rPr>
        <w:t xml:space="preserve">Пристроенные котельные не допускается размещать смежно с помещениями с массовым пребыванием людей.</w:t>
      </w:r>
    </w:p>
    <w:p>
      <w:pPr>
        <w:pStyle w:val="0"/>
        <w:jc w:val="both"/>
      </w:pPr>
      <w:r>
        <w:rPr>
          <w:sz w:val="20"/>
        </w:rPr>
        <w:t xml:space="preserve">(п. 6.9.4.1 введен </w:t>
      </w:r>
      <w:hyperlink w:history="0" r:id="rId369"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Приказом</w:t>
        </w:r>
      </w:hyperlink>
      <w:r>
        <w:rPr>
          <w:sz w:val="20"/>
        </w:rPr>
        <w:t xml:space="preserve"> МЧС России от 14.02.2020 N 89)</w:t>
      </w:r>
    </w:p>
    <w:p>
      <w:pPr>
        <w:pStyle w:val="0"/>
        <w:spacing w:before="200" w:line-rule="auto"/>
        <w:ind w:firstLine="540"/>
        <w:jc w:val="both"/>
      </w:pPr>
      <w:r>
        <w:rPr>
          <w:sz w:val="20"/>
        </w:rPr>
        <w:t xml:space="preserve">6.9.5. Пристроенные котельные должны отделяться от основного здания противопожарной стеной 2-го типа. Перекрытие котельной должно выполняться из материалов НГ.</w:t>
      </w:r>
    </w:p>
    <w:p>
      <w:pPr>
        <w:pStyle w:val="0"/>
        <w:spacing w:before="200" w:line-rule="auto"/>
        <w:ind w:firstLine="540"/>
        <w:jc w:val="both"/>
      </w:pPr>
      <w:r>
        <w:rPr>
          <w:sz w:val="20"/>
        </w:rPr>
        <w:t xml:space="preserve">6.9.5.1 Расстояние от стены здания пристроенной котельной до ближайшего проема по горизонтали должно быть не менее 4 м, а от покрытия котельной до ближайшего проема по вертикали не менее 8 м, за исключением проемов в противопожарных преградах, имеющих соответствующее противопожарное заполнение.;</w:t>
      </w:r>
    </w:p>
    <w:p>
      <w:pPr>
        <w:pStyle w:val="0"/>
        <w:jc w:val="both"/>
      </w:pPr>
      <w:r>
        <w:rPr>
          <w:sz w:val="20"/>
        </w:rPr>
        <w:t xml:space="preserve">(п. 6.9.5.1 введен </w:t>
      </w:r>
      <w:hyperlink w:history="0" r:id="rId370"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Приказом</w:t>
        </w:r>
      </w:hyperlink>
      <w:r>
        <w:rPr>
          <w:sz w:val="20"/>
        </w:rPr>
        <w:t xml:space="preserve"> МЧС России от 14.02.2020 N 89)</w:t>
      </w:r>
    </w:p>
    <w:p>
      <w:pPr>
        <w:pStyle w:val="0"/>
        <w:spacing w:before="200" w:line-rule="auto"/>
        <w:ind w:firstLine="540"/>
        <w:jc w:val="both"/>
      </w:pPr>
      <w:r>
        <w:rPr>
          <w:sz w:val="20"/>
        </w:rPr>
        <w:t xml:space="preserve">6.9.5.2 Встроенные котельные допускается проектировать для зданий классов функциональной пожарной опасности Ф2 (кроме Ф2.1, Ф2.2), Ф3 (кроме Ф3.1, Ф3.2), Ф4 (кроме Ф4.1, Ф4.2), Ф5 (кроме зданий категорий А, Б по взрывопожарной опасности).</w:t>
      </w:r>
    </w:p>
    <w:p>
      <w:pPr>
        <w:pStyle w:val="0"/>
        <w:spacing w:before="200" w:line-rule="auto"/>
        <w:ind w:firstLine="540"/>
        <w:jc w:val="both"/>
      </w:pPr>
      <w:r>
        <w:rPr>
          <w:sz w:val="20"/>
        </w:rPr>
        <w:t xml:space="preserve">Не допускается размещать встроенные котельные под помещениями общественного назначения (фойе и зрительными залами, торговыми помещениями магазинов, классами и аудиториями учебных заведений, залами столовых, ресторанов, раздевальными и мыльными бань, душевых и т.п.) и под складами горючих материалов. Встроенные котельные, в том числе в блочном исполнении, следует выделять противопожарными стенами 2-го типа и перекрытиями 3-го типа.</w:t>
      </w:r>
    </w:p>
    <w:p>
      <w:pPr>
        <w:pStyle w:val="0"/>
        <w:jc w:val="both"/>
      </w:pPr>
      <w:r>
        <w:rPr>
          <w:sz w:val="20"/>
        </w:rPr>
        <w:t xml:space="preserve">(п. 6.9.5.2 введен </w:t>
      </w:r>
      <w:hyperlink w:history="0" r:id="rId371"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Приказом</w:t>
        </w:r>
      </w:hyperlink>
      <w:r>
        <w:rPr>
          <w:sz w:val="20"/>
        </w:rPr>
        <w:t xml:space="preserve"> МЧС России от 14.02.2020 N 89)</w:t>
      </w:r>
    </w:p>
    <w:p>
      <w:pPr>
        <w:pStyle w:val="0"/>
        <w:spacing w:before="200" w:line-rule="auto"/>
        <w:ind w:firstLine="540"/>
        <w:jc w:val="both"/>
      </w:pPr>
      <w:r>
        <w:rPr>
          <w:sz w:val="20"/>
        </w:rPr>
        <w:t xml:space="preserve">6.9.6. Встроенные и крышные котельные должны отделяться от смежных помещений и чердака противопожарными стенами 2-го типа или противопожарными перегородками 1-го типа, противопожарными перекрытиями 3-го типа.</w:t>
      </w:r>
    </w:p>
    <w:p>
      <w:pPr>
        <w:pStyle w:val="0"/>
        <w:spacing w:before="200" w:line-rule="auto"/>
        <w:ind w:firstLine="540"/>
        <w:jc w:val="both"/>
      </w:pPr>
      <w:r>
        <w:rPr>
          <w:sz w:val="20"/>
        </w:rPr>
        <w:t xml:space="preserve">Не допускается размещение встроенных котельных под жилыми помещениями, непосредственно на перекрытиях жилых помещений, смежными с жилыми помещениями, а также над и под помещениями категорий А и Б.</w:t>
      </w:r>
    </w:p>
    <w:p>
      <w:pPr>
        <w:pStyle w:val="0"/>
        <w:spacing w:before="200" w:line-rule="auto"/>
        <w:ind w:firstLine="540"/>
        <w:jc w:val="both"/>
      </w:pPr>
      <w:r>
        <w:rPr>
          <w:sz w:val="20"/>
        </w:rPr>
        <w:t xml:space="preserve">6.9.7. Встроенные в здание котельной помещения обслуживающего персонала отделяются от производственных помещений противопожарными перегородками 1-го типа и противопожарными перекрытиями 3-го типа.</w:t>
      </w:r>
    </w:p>
    <w:p>
      <w:pPr>
        <w:pStyle w:val="0"/>
        <w:spacing w:before="200" w:line-rule="auto"/>
        <w:ind w:firstLine="540"/>
        <w:jc w:val="both"/>
      </w:pPr>
      <w:r>
        <w:rPr>
          <w:sz w:val="20"/>
        </w:rPr>
        <w:t xml:space="preserve">6.9.7.1 Центральные котельные допускается составлять из нескольких блочных котельных полной заводской готовности, группируя их в один ярус рядом друг с другом в пределах допустимой площади пожарного отсека в соответствии с </w:t>
      </w:r>
      <w:hyperlink w:history="0" r:id="rId372" w:tooltip="Приказ МЧС России от 21.11.2012 N 693 (ред. от 23.10.2013) &quot;Об утверждении свода правил &quot;Системы противопожарной защиты. Обеспечение огнестойкости объектов защиты&quot; (вместе с &quot;СП 2.13130.2012. Свод правил...&quot;) ------------ Утратил силу или отменен {КонсультантПлюс}">
        <w:r>
          <w:rPr>
            <w:sz w:val="20"/>
            <w:color w:val="0000ff"/>
          </w:rPr>
          <w:t xml:space="preserve">СП 2.13130</w:t>
        </w:r>
      </w:hyperlink>
      <w:r>
        <w:rPr>
          <w:sz w:val="20"/>
        </w:rPr>
        <w:t xml:space="preserve">.</w:t>
      </w:r>
    </w:p>
    <w:p>
      <w:pPr>
        <w:pStyle w:val="0"/>
        <w:spacing w:before="200" w:line-rule="auto"/>
        <w:ind w:firstLine="540"/>
        <w:jc w:val="both"/>
      </w:pPr>
      <w:r>
        <w:rPr>
          <w:sz w:val="20"/>
        </w:rPr>
        <w:t xml:space="preserve">В центральных котельных, работающих на газовом топливе, для поддержания необходимого давления газа перед котлами, допускается предусматривать ГРУ, размещаемые непосредственно в котельные. Допускается устройство ГРП.</w:t>
      </w:r>
    </w:p>
    <w:p>
      <w:pPr>
        <w:pStyle w:val="0"/>
        <w:jc w:val="both"/>
      </w:pPr>
      <w:r>
        <w:rPr>
          <w:sz w:val="20"/>
        </w:rPr>
        <w:t xml:space="preserve">(п. 6.9.7.1 введен </w:t>
      </w:r>
      <w:hyperlink w:history="0" r:id="rId373"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Приказом</w:t>
        </w:r>
      </w:hyperlink>
      <w:r>
        <w:rPr>
          <w:sz w:val="20"/>
        </w:rPr>
        <w:t xml:space="preserve"> МЧС России от 14.02.2020 N 89)</w:t>
      </w:r>
    </w:p>
    <w:p>
      <w:pPr>
        <w:pStyle w:val="0"/>
        <w:spacing w:before="200" w:line-rule="auto"/>
        <w:ind w:firstLine="540"/>
        <w:jc w:val="both"/>
      </w:pPr>
      <w:r>
        <w:rPr>
          <w:sz w:val="20"/>
        </w:rPr>
        <w:t xml:space="preserve">6.9.8. Надбункерные галереи топливоподачи должны быть отделены от котельных залов противопожарными перегородками (без проемов) 2-го типа. Допускается, как исключение, устраивать в указанной перегородке дверной проем в качестве эвакуационного выхода через котельный зал. При этом сообщение между надбункерной галереей и котельным залом должно быть выполнено через тамбур. Предел огнестойкости ограждающих конструкций тамбура должен быть не менее REI 45, а предел огнестойкости дверей в перегородке и тамбуре - не менее EI 30.</w:t>
      </w:r>
    </w:p>
    <w:p>
      <w:pPr>
        <w:pStyle w:val="0"/>
        <w:jc w:val="both"/>
      </w:pPr>
      <w:r>
        <w:rPr>
          <w:sz w:val="20"/>
        </w:rPr>
        <w:t xml:space="preserve">(в ред. </w:t>
      </w:r>
      <w:hyperlink w:history="0" r:id="rId374"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6.9.9. Расходные баки жидкого топлива должны устанавливаться вне котельной.</w:t>
      </w:r>
    </w:p>
    <w:p>
      <w:pPr>
        <w:pStyle w:val="0"/>
        <w:spacing w:before="200" w:line-rule="auto"/>
        <w:ind w:firstLine="540"/>
        <w:jc w:val="both"/>
      </w:pPr>
      <w:r>
        <w:rPr>
          <w:sz w:val="20"/>
        </w:rPr>
        <w:t xml:space="preserve">В помещениях отдельно стоящих котельных (но не над котлами или экономайзерами) допускается устанавливать закрытые расходные баки жидкого топлива вместимостью не более 5 м</w:t>
      </w:r>
      <w:r>
        <w:rPr>
          <w:sz w:val="20"/>
          <w:vertAlign w:val="superscript"/>
        </w:rPr>
        <w:t xml:space="preserve">3</w:t>
      </w:r>
      <w:r>
        <w:rPr>
          <w:sz w:val="20"/>
        </w:rPr>
        <w:t xml:space="preserve"> для мазута и 1 м</w:t>
      </w:r>
      <w:r>
        <w:rPr>
          <w:sz w:val="20"/>
          <w:vertAlign w:val="superscript"/>
        </w:rPr>
        <w:t xml:space="preserve">3</w:t>
      </w:r>
      <w:r>
        <w:rPr>
          <w:sz w:val="20"/>
        </w:rPr>
        <w:t xml:space="preserve"> - для легкого жидкого топлива.</w:t>
      </w:r>
    </w:p>
    <w:p>
      <w:pPr>
        <w:pStyle w:val="0"/>
        <w:jc w:val="both"/>
      </w:pPr>
      <w:r>
        <w:rPr>
          <w:sz w:val="20"/>
        </w:rPr>
        <w:t xml:space="preserve">(п. 6.9.9 в ред. </w:t>
      </w:r>
      <w:hyperlink w:history="0" r:id="rId375"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6.9.10. Для встроенных и пристроенных котельных общая вместимость расходных баков, устанавливаемых в помещениях котельной, не должна превышать 0,8 м</w:t>
      </w:r>
      <w:r>
        <w:rPr>
          <w:sz w:val="20"/>
          <w:vertAlign w:val="superscript"/>
        </w:rPr>
        <w:t xml:space="preserve">3</w:t>
      </w:r>
      <w:r>
        <w:rPr>
          <w:sz w:val="20"/>
        </w:rPr>
        <w:t xml:space="preserve">.</w:t>
      </w:r>
    </w:p>
    <w:p>
      <w:pPr>
        <w:pStyle w:val="0"/>
        <w:spacing w:before="200" w:line-rule="auto"/>
        <w:ind w:firstLine="540"/>
        <w:jc w:val="both"/>
      </w:pPr>
      <w:r>
        <w:rPr>
          <w:sz w:val="20"/>
        </w:rPr>
        <w:t xml:space="preserve">6.9.11. Расходные баки в помещениях котельных следует рассматривать как технологический аппарат.</w:t>
      </w:r>
    </w:p>
    <w:p>
      <w:pPr>
        <w:pStyle w:val="0"/>
        <w:spacing w:before="200" w:line-rule="auto"/>
        <w:ind w:firstLine="540"/>
        <w:jc w:val="both"/>
      </w:pPr>
      <w:r>
        <w:rPr>
          <w:sz w:val="20"/>
        </w:rPr>
        <w:t xml:space="preserve">6.9.12. Допускается предусматривать установку резервуаров для топлива в помещениях, пристроенных к зданиям котельных. При этом общая емкость топливных резервуаров должна быть не более 150 м</w:t>
      </w:r>
      <w:r>
        <w:rPr>
          <w:sz w:val="20"/>
          <w:vertAlign w:val="superscript"/>
        </w:rPr>
        <w:t xml:space="preserve">3</w:t>
      </w:r>
      <w:r>
        <w:rPr>
          <w:sz w:val="20"/>
        </w:rPr>
        <w:t xml:space="preserve"> - для мазута и 50 м</w:t>
      </w:r>
      <w:r>
        <w:rPr>
          <w:sz w:val="20"/>
          <w:vertAlign w:val="superscript"/>
        </w:rPr>
        <w:t xml:space="preserve">3</w:t>
      </w:r>
      <w:r>
        <w:rPr>
          <w:sz w:val="20"/>
        </w:rPr>
        <w:t xml:space="preserve"> - для легкого нефтяного топлива.</w:t>
      </w:r>
    </w:p>
    <w:p>
      <w:pPr>
        <w:pStyle w:val="0"/>
        <w:spacing w:before="200" w:line-rule="auto"/>
        <w:ind w:firstLine="540"/>
        <w:jc w:val="both"/>
      </w:pPr>
      <w:r>
        <w:rPr>
          <w:sz w:val="20"/>
        </w:rPr>
        <w:t xml:space="preserve">6.9.13. Прокладку топливопроводов следует предусматривать надземной. Допускается подземная прокладка в непроходных каналах со съемными перекрытиями с минимальным заглублением каналов без засыпки. В местах примыкания каналов к наружной стене зданий канала должны быть засыпаны песком или иметь диафрагмы из материалов НГ.</w:t>
      </w:r>
    </w:p>
    <w:p>
      <w:pPr>
        <w:pStyle w:val="0"/>
        <w:spacing w:before="200" w:line-rule="auto"/>
        <w:ind w:firstLine="540"/>
        <w:jc w:val="both"/>
      </w:pPr>
      <w:r>
        <w:rPr>
          <w:sz w:val="20"/>
        </w:rPr>
        <w:t xml:space="preserve">Предел огнестойкости съемного перекрытия канала необходимо предусматривать не менее EI30.</w:t>
      </w:r>
    </w:p>
    <w:p>
      <w:pPr>
        <w:pStyle w:val="0"/>
        <w:jc w:val="both"/>
      </w:pPr>
      <w:r>
        <w:rPr>
          <w:sz w:val="20"/>
        </w:rPr>
        <w:t xml:space="preserve">(абзац введен </w:t>
      </w:r>
      <w:hyperlink w:history="0" r:id="rId376"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Приказом</w:t>
        </w:r>
      </w:hyperlink>
      <w:r>
        <w:rPr>
          <w:sz w:val="20"/>
        </w:rPr>
        <w:t xml:space="preserve"> МЧС России от 14.02.2020 N 89)</w:t>
      </w:r>
    </w:p>
    <w:p>
      <w:pPr>
        <w:pStyle w:val="0"/>
        <w:spacing w:before="200" w:line-rule="auto"/>
        <w:ind w:firstLine="540"/>
        <w:jc w:val="both"/>
      </w:pPr>
      <w:r>
        <w:rPr>
          <w:sz w:val="20"/>
        </w:rPr>
        <w:t xml:space="preserve">В местах примыкания каналов к наружной стене зданий каналы должны быть засыпаны песком или иметь несгораемые диафрагмы.</w:t>
      </w:r>
    </w:p>
    <w:p>
      <w:pPr>
        <w:pStyle w:val="0"/>
        <w:jc w:val="both"/>
      </w:pPr>
      <w:r>
        <w:rPr>
          <w:sz w:val="20"/>
        </w:rPr>
        <w:t xml:space="preserve">(абзац введен </w:t>
      </w:r>
      <w:hyperlink w:history="0" r:id="rId377"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Приказом</w:t>
        </w:r>
      </w:hyperlink>
      <w:r>
        <w:rPr>
          <w:sz w:val="20"/>
        </w:rPr>
        <w:t xml:space="preserve"> МЧС России от 14.02.2020 N 89)</w:t>
      </w:r>
    </w:p>
    <w:p>
      <w:pPr>
        <w:pStyle w:val="0"/>
        <w:spacing w:before="200" w:line-rule="auto"/>
        <w:ind w:firstLine="540"/>
        <w:jc w:val="both"/>
      </w:pPr>
      <w:r>
        <w:rPr>
          <w:sz w:val="20"/>
        </w:rPr>
        <w:t xml:space="preserve">6.9.14. Топливопроводы должны прокладываться с уклоном не менее 0,003. Запрещается прокладка топливопроводов непосредственно через газоходы, воздуховоды и вентиляционные шахты.</w:t>
      </w:r>
    </w:p>
    <w:p>
      <w:pPr>
        <w:pStyle w:val="0"/>
        <w:spacing w:before="200" w:line-rule="auto"/>
        <w:ind w:firstLine="540"/>
        <w:jc w:val="both"/>
      </w:pPr>
      <w:r>
        <w:rPr>
          <w:sz w:val="20"/>
        </w:rPr>
        <w:t xml:space="preserve">6.9.15. Для встроенных, пристроенных и крышных котельных открытые участки газопровода должны прокладываться по наружной стене зданий по простенку шириной не менее 1,5 м.</w:t>
      </w:r>
    </w:p>
    <w:p>
      <w:pPr>
        <w:pStyle w:val="0"/>
        <w:spacing w:before="200" w:line-rule="auto"/>
        <w:ind w:firstLine="540"/>
        <w:jc w:val="both"/>
      </w:pPr>
      <w:r>
        <w:rPr>
          <w:sz w:val="20"/>
        </w:rPr>
        <w:t xml:space="preserve">На подводящем газопроводе к котельной должны быть установлены:</w:t>
      </w:r>
    </w:p>
    <w:p>
      <w:pPr>
        <w:pStyle w:val="0"/>
        <w:spacing w:before="200" w:line-rule="auto"/>
        <w:ind w:firstLine="540"/>
        <w:jc w:val="both"/>
      </w:pPr>
      <w:r>
        <w:rPr>
          <w:sz w:val="20"/>
        </w:rPr>
        <w:t xml:space="preserve">отключающее устройство с изолирующим фланцем на наружной стене здания на высоте не более 1,8 м;</w:t>
      </w:r>
    </w:p>
    <w:p>
      <w:pPr>
        <w:pStyle w:val="0"/>
        <w:spacing w:before="200" w:line-rule="auto"/>
        <w:ind w:firstLine="540"/>
        <w:jc w:val="both"/>
      </w:pPr>
      <w:r>
        <w:rPr>
          <w:sz w:val="20"/>
        </w:rPr>
        <w:t xml:space="preserve">быстродействующий запорный клапан с электроприводом внутри помещения котельной;</w:t>
      </w:r>
    </w:p>
    <w:p>
      <w:pPr>
        <w:pStyle w:val="0"/>
        <w:spacing w:before="200" w:line-rule="auto"/>
        <w:ind w:firstLine="540"/>
        <w:jc w:val="both"/>
      </w:pPr>
      <w:r>
        <w:rPr>
          <w:sz w:val="20"/>
        </w:rPr>
        <w:t xml:space="preserve">запорная арматура на отводе к каждому котлу или газогорелочному устройству.</w:t>
      </w:r>
    </w:p>
    <w:p>
      <w:pPr>
        <w:pStyle w:val="0"/>
        <w:spacing w:before="200" w:line-rule="auto"/>
        <w:ind w:firstLine="540"/>
        <w:jc w:val="both"/>
      </w:pPr>
      <w:r>
        <w:rPr>
          <w:sz w:val="20"/>
        </w:rPr>
        <w:t xml:space="preserve">Расстояние от стенок канала топливопровода до подземных коммуникаций должно составлять не менее 0,2 м.</w:t>
      </w:r>
    </w:p>
    <w:p>
      <w:pPr>
        <w:pStyle w:val="0"/>
        <w:jc w:val="both"/>
      </w:pPr>
      <w:r>
        <w:rPr>
          <w:sz w:val="20"/>
        </w:rPr>
        <w:t xml:space="preserve">(абзац введен </w:t>
      </w:r>
      <w:hyperlink w:history="0" r:id="rId378"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Приказом</w:t>
        </w:r>
      </w:hyperlink>
      <w:r>
        <w:rPr>
          <w:sz w:val="20"/>
        </w:rPr>
        <w:t xml:space="preserve"> МЧС России от 14.02.2020 N 89)</w:t>
      </w:r>
    </w:p>
    <w:p>
      <w:pPr>
        <w:pStyle w:val="0"/>
        <w:spacing w:before="200" w:line-rule="auto"/>
        <w:ind w:firstLine="540"/>
        <w:jc w:val="both"/>
      </w:pPr>
      <w:r>
        <w:rPr>
          <w:sz w:val="20"/>
        </w:rPr>
        <w:t xml:space="preserve">Подвод жидкого и газообразного топлива к котельным, расположенным на этажах выше первого, должен осуществляться по наружной стене здания по центру простенка шириной не менее 1,5 м.</w:t>
      </w:r>
    </w:p>
    <w:p>
      <w:pPr>
        <w:pStyle w:val="0"/>
        <w:jc w:val="both"/>
      </w:pPr>
      <w:r>
        <w:rPr>
          <w:sz w:val="20"/>
        </w:rPr>
        <w:t xml:space="preserve">(абзац введен </w:t>
      </w:r>
      <w:hyperlink w:history="0" r:id="rId379"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Приказом</w:t>
        </w:r>
      </w:hyperlink>
      <w:r>
        <w:rPr>
          <w:sz w:val="20"/>
        </w:rPr>
        <w:t xml:space="preserve"> МЧС России от 14.02.2020 N 89)</w:t>
      </w:r>
    </w:p>
    <w:p>
      <w:pPr>
        <w:pStyle w:val="0"/>
        <w:spacing w:before="200" w:line-rule="auto"/>
        <w:ind w:firstLine="540"/>
        <w:jc w:val="both"/>
      </w:pPr>
      <w:r>
        <w:rPr>
          <w:sz w:val="20"/>
        </w:rPr>
        <w:t xml:space="preserve">Запрещается прокладка топливопроводов по стенам помещений категорий А и Б по взрывопожарной опасности.</w:t>
      </w:r>
    </w:p>
    <w:p>
      <w:pPr>
        <w:pStyle w:val="0"/>
        <w:jc w:val="both"/>
      </w:pPr>
      <w:r>
        <w:rPr>
          <w:sz w:val="20"/>
        </w:rPr>
        <w:t xml:space="preserve">(абзац введен </w:t>
      </w:r>
      <w:hyperlink w:history="0" r:id="rId380"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Приказом</w:t>
        </w:r>
      </w:hyperlink>
      <w:r>
        <w:rPr>
          <w:sz w:val="20"/>
        </w:rPr>
        <w:t xml:space="preserve"> МЧС России от 14.02.2020 N 89)</w:t>
      </w:r>
    </w:p>
    <w:p>
      <w:pPr>
        <w:pStyle w:val="0"/>
        <w:spacing w:before="200" w:line-rule="auto"/>
        <w:ind w:firstLine="540"/>
        <w:jc w:val="both"/>
      </w:pPr>
      <w:r>
        <w:rPr>
          <w:sz w:val="20"/>
        </w:rPr>
        <w:t xml:space="preserve">Прокладка топливопровода должна выполняться открыто по сплошным конструкциям из материалов группы НГ наружной стены с внешней стороны здания, а также навесной фасадной системы.</w:t>
      </w:r>
    </w:p>
    <w:p>
      <w:pPr>
        <w:pStyle w:val="0"/>
        <w:jc w:val="both"/>
      </w:pPr>
      <w:r>
        <w:rPr>
          <w:sz w:val="20"/>
        </w:rPr>
        <w:t xml:space="preserve">(абзац введен </w:t>
      </w:r>
      <w:hyperlink w:history="0" r:id="rId381"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Приказом</w:t>
        </w:r>
      </w:hyperlink>
      <w:r>
        <w:rPr>
          <w:sz w:val="20"/>
        </w:rPr>
        <w:t xml:space="preserve"> МЧС России от 14.02.2020 N 89)</w:t>
      </w:r>
    </w:p>
    <w:p>
      <w:pPr>
        <w:pStyle w:val="0"/>
        <w:spacing w:before="200" w:line-rule="auto"/>
        <w:ind w:firstLine="540"/>
        <w:jc w:val="both"/>
      </w:pPr>
      <w:r>
        <w:rPr>
          <w:sz w:val="20"/>
        </w:rPr>
        <w:t xml:space="preserve">Расстояние от трубопровода жидкого топлива до зданий и сооружений, не относящихся к котельной, должно составлять не менее 5 м, до открытых трансформаторных подстанций - 10 м, до воздушных линий электропередач - 1,5 высоты опоры.</w:t>
      </w:r>
    </w:p>
    <w:p>
      <w:pPr>
        <w:pStyle w:val="0"/>
        <w:jc w:val="both"/>
      </w:pPr>
      <w:r>
        <w:rPr>
          <w:sz w:val="20"/>
        </w:rPr>
        <w:t xml:space="preserve">(абзац введен </w:t>
      </w:r>
      <w:hyperlink w:history="0" r:id="rId382"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Приказом</w:t>
        </w:r>
      </w:hyperlink>
      <w:r>
        <w:rPr>
          <w:sz w:val="20"/>
        </w:rPr>
        <w:t xml:space="preserve"> МЧС России от 14.02.2020 N 89)</w:t>
      </w:r>
    </w:p>
    <w:p>
      <w:pPr>
        <w:pStyle w:val="0"/>
        <w:spacing w:before="200" w:line-rule="auto"/>
        <w:ind w:firstLine="540"/>
        <w:jc w:val="both"/>
      </w:pPr>
      <w:r>
        <w:rPr>
          <w:sz w:val="20"/>
        </w:rPr>
        <w:t xml:space="preserve">6.9.16. Наружные ограждающие конструкции наземной части зданий и помещений систем топливоподачи следует проектировать исходя из того, что площадь легкосбрасываемых конструкций должна быть не менее 0,03 м</w:t>
      </w:r>
      <w:r>
        <w:rPr>
          <w:sz w:val="20"/>
          <w:vertAlign w:val="superscript"/>
        </w:rPr>
        <w:t xml:space="preserve">2</w:t>
      </w:r>
      <w:r>
        <w:rPr>
          <w:sz w:val="20"/>
        </w:rPr>
        <w:t xml:space="preserve"> на 1 м</w:t>
      </w:r>
      <w:r>
        <w:rPr>
          <w:sz w:val="20"/>
          <w:vertAlign w:val="superscript"/>
        </w:rPr>
        <w:t xml:space="preserve">3</w:t>
      </w:r>
      <w:r>
        <w:rPr>
          <w:sz w:val="20"/>
        </w:rPr>
        <w:t xml:space="preserve"> свободного объема помещения.</w:t>
      </w:r>
    </w:p>
    <w:p>
      <w:pPr>
        <w:pStyle w:val="0"/>
        <w:jc w:val="both"/>
      </w:pPr>
      <w:r>
        <w:rPr>
          <w:sz w:val="20"/>
        </w:rPr>
        <w:t xml:space="preserve">(в ред. </w:t>
      </w:r>
      <w:hyperlink w:history="0" r:id="rId383"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При использовании твердого топлива в помещениях котельных, помещениях пылеприготовления площадь легкосбрасываемых конструкций должна определяться из расчета:</w:t>
      </w:r>
    </w:p>
    <w:p>
      <w:pPr>
        <w:pStyle w:val="0"/>
        <w:spacing w:before="200" w:line-rule="auto"/>
        <w:ind w:firstLine="540"/>
        <w:jc w:val="both"/>
      </w:pPr>
      <w:r>
        <w:rPr>
          <w:sz w:val="20"/>
        </w:rPr>
        <w:t xml:space="preserve">- при свободном объеме котельного зала до 10000 м</w:t>
      </w:r>
      <w:r>
        <w:rPr>
          <w:sz w:val="20"/>
          <w:vertAlign w:val="superscript"/>
        </w:rPr>
        <w:t xml:space="preserve">3</w:t>
      </w:r>
      <w:r>
        <w:rPr>
          <w:sz w:val="20"/>
        </w:rPr>
        <w:t xml:space="preserve"> - 0,015 м</w:t>
      </w:r>
      <w:r>
        <w:rPr>
          <w:sz w:val="20"/>
          <w:vertAlign w:val="superscript"/>
        </w:rPr>
        <w:t xml:space="preserve">2</w:t>
      </w:r>
      <w:r>
        <w:rPr>
          <w:sz w:val="20"/>
        </w:rPr>
        <w:t xml:space="preserve"> на 1 м</w:t>
      </w:r>
      <w:r>
        <w:rPr>
          <w:sz w:val="20"/>
          <w:vertAlign w:val="superscript"/>
        </w:rPr>
        <w:t xml:space="preserve">3</w:t>
      </w:r>
      <w:r>
        <w:rPr>
          <w:sz w:val="20"/>
        </w:rPr>
        <w:t xml:space="preserve"> свободного объема;</w:t>
      </w:r>
    </w:p>
    <w:p>
      <w:pPr>
        <w:pStyle w:val="0"/>
        <w:spacing w:before="200" w:line-rule="auto"/>
        <w:ind w:firstLine="540"/>
        <w:jc w:val="both"/>
      </w:pPr>
      <w:r>
        <w:rPr>
          <w:sz w:val="20"/>
        </w:rPr>
        <w:t xml:space="preserve">- при свободном объеме котельного зала более 10000 м</w:t>
      </w:r>
      <w:r>
        <w:rPr>
          <w:sz w:val="20"/>
          <w:vertAlign w:val="superscript"/>
        </w:rPr>
        <w:t xml:space="preserve">3</w:t>
      </w:r>
      <w:r>
        <w:rPr>
          <w:sz w:val="20"/>
        </w:rPr>
        <w:t xml:space="preserve"> - 0,006 м</w:t>
      </w:r>
      <w:r>
        <w:rPr>
          <w:sz w:val="20"/>
          <w:vertAlign w:val="superscript"/>
        </w:rPr>
        <w:t xml:space="preserve">2</w:t>
      </w:r>
      <w:r>
        <w:rPr>
          <w:sz w:val="20"/>
        </w:rPr>
        <w:t xml:space="preserve"> на 1 м</w:t>
      </w:r>
      <w:r>
        <w:rPr>
          <w:sz w:val="20"/>
          <w:vertAlign w:val="superscript"/>
        </w:rPr>
        <w:t xml:space="preserve">3</w:t>
      </w:r>
      <w:r>
        <w:rPr>
          <w:sz w:val="20"/>
        </w:rPr>
        <w:t xml:space="preserve"> свободного объема.</w:t>
      </w:r>
    </w:p>
    <w:p>
      <w:pPr>
        <w:pStyle w:val="0"/>
        <w:spacing w:before="200" w:line-rule="auto"/>
        <w:ind w:firstLine="540"/>
        <w:jc w:val="both"/>
      </w:pPr>
      <w:r>
        <w:rPr>
          <w:sz w:val="20"/>
        </w:rPr>
        <w:t xml:space="preserve">При использовании жидкого и газообразного топлива в помещении котельной следует предусматривать легкосбрасываемые ограждающие конструкции из расчета 0,03 м</w:t>
      </w:r>
      <w:r>
        <w:rPr>
          <w:sz w:val="20"/>
          <w:vertAlign w:val="superscript"/>
        </w:rPr>
        <w:t xml:space="preserve">2</w:t>
      </w:r>
      <w:r>
        <w:rPr>
          <w:sz w:val="20"/>
        </w:rPr>
        <w:t xml:space="preserve"> на 1 м</w:t>
      </w:r>
      <w:r>
        <w:rPr>
          <w:sz w:val="20"/>
          <w:vertAlign w:val="superscript"/>
        </w:rPr>
        <w:t xml:space="preserve">3</w:t>
      </w:r>
      <w:r>
        <w:rPr>
          <w:sz w:val="20"/>
        </w:rPr>
        <w:t xml:space="preserve"> свободного объема помещения, в котором находятся котлы, топливоподающее оборудование и трубопроводы.</w:t>
      </w:r>
    </w:p>
    <w:p>
      <w:pPr>
        <w:pStyle w:val="0"/>
        <w:spacing w:before="200" w:line-rule="auto"/>
        <w:ind w:firstLine="540"/>
        <w:jc w:val="both"/>
      </w:pPr>
      <w:r>
        <w:rPr>
          <w:sz w:val="20"/>
        </w:rPr>
        <w:t xml:space="preserve">Для снижения взрывного давления, возникающего при взрыве пыли или газов в помещении котельной, должны быть предусмотрены окна не менее чем на одной продольной наружной стене помещения. Площадь окон должна быть не менее 20% площади одной из наибольших наружных стен помещения котельной, в том числе с учетом площади наружных стен примыкающих к ней помещений газоочистки или тягодутьевых устройств. Окна (при их наличии) могут быть размещены на стенах котельной и указанных помещений. Площадь одного листа стекла и его толщина должны соответствовать требованиям настоящего свода правил. Применение армированного стекла, стеклоблоков, стеклопрофилита и поликарбоната для этих окон не допускается.</w:t>
      </w:r>
    </w:p>
    <w:p>
      <w:pPr>
        <w:pStyle w:val="0"/>
        <w:jc w:val="both"/>
      </w:pPr>
      <w:r>
        <w:rPr>
          <w:sz w:val="20"/>
        </w:rPr>
        <w:t xml:space="preserve">(п. 6.9.16 в ред. </w:t>
      </w:r>
      <w:hyperlink w:history="0" r:id="rId384"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6.9.17. Категории зданий и помещений по взрывопожарной и пожарной опасности котельных принимаются согласно </w:t>
      </w:r>
      <w:hyperlink w:history="0" r:id="rId385" w:tooltip="Приказ МЧС РФ от 25.03.2009 N 182 (ред. от 09.12.2010) &quot;Об утверждении свода правил &quot;Определение категорий помещений, зданий и наружных установок по взрывопожарной и пожарной опасности&quot; (вместе с &quot;СП 12.13130.2009...&quot;) {КонсультантПлюс}">
        <w:r>
          <w:rPr>
            <w:sz w:val="20"/>
            <w:color w:val="0000ff"/>
          </w:rPr>
          <w:t xml:space="preserve">СП 12.13130</w:t>
        </w:r>
      </w:hyperlink>
      <w:r>
        <w:rPr>
          <w:sz w:val="20"/>
        </w:rPr>
        <w:t xml:space="preserve">.</w:t>
      </w:r>
    </w:p>
    <w:p>
      <w:pPr>
        <w:pStyle w:val="0"/>
        <w:spacing w:before="200" w:line-rule="auto"/>
        <w:ind w:firstLine="540"/>
        <w:jc w:val="both"/>
      </w:pPr>
      <w:r>
        <w:rPr>
          <w:sz w:val="20"/>
        </w:rPr>
        <w:t xml:space="preserve">6.9.18. Выходы из встроенных и пристроенных на 1-ом этаже котельных надлежит предусматривать непосредственно наружу.</w:t>
      </w:r>
    </w:p>
    <w:p>
      <w:pPr>
        <w:pStyle w:val="0"/>
        <w:spacing w:before="200" w:line-rule="auto"/>
        <w:ind w:firstLine="540"/>
        <w:jc w:val="both"/>
      </w:pPr>
      <w:r>
        <w:rPr>
          <w:sz w:val="20"/>
        </w:rPr>
        <w:t xml:space="preserve">Встроенные котельные, расположенные выше 1-го этажа, должны иметь самостоятельный эвакуационный выход в лестничную клетку через тамбур с конструктивным исполнением, аналогичным тамбур-шлюзу 1-го типа, либо через незадымляемую воздушную зону в соответствии с </w:t>
      </w:r>
      <w:hyperlink w:history="0" r:id="rId386" w:tooltip="Приказ МЧС России от 21.02.2013 N 116 (ред. от 12.03.2020) &quot;Об утверждении свода правил СП 7.13130 &quot;Отопление, вентиляция и кондиционирование. Требования пожарной безопасности&quot; {КонсультантПлюс}">
        <w:r>
          <w:rPr>
            <w:sz w:val="20"/>
            <w:color w:val="0000ff"/>
          </w:rPr>
          <w:t xml:space="preserve">приложением Г</w:t>
        </w:r>
      </w:hyperlink>
      <w:r>
        <w:rPr>
          <w:sz w:val="20"/>
        </w:rPr>
        <w:t xml:space="preserve"> СП 7.13130.</w:t>
      </w:r>
    </w:p>
    <w:p>
      <w:pPr>
        <w:pStyle w:val="0"/>
        <w:jc w:val="both"/>
      </w:pPr>
      <w:r>
        <w:rPr>
          <w:sz w:val="20"/>
        </w:rPr>
        <w:t xml:space="preserve">(п. 6.9.18 в ред. </w:t>
      </w:r>
      <w:hyperlink w:history="0" r:id="rId387"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6.9.19. Для крышных котельных следует предусматривать:</w:t>
      </w:r>
    </w:p>
    <w:p>
      <w:pPr>
        <w:pStyle w:val="0"/>
        <w:spacing w:before="200" w:line-rule="auto"/>
        <w:ind w:firstLine="540"/>
        <w:jc w:val="both"/>
      </w:pPr>
      <w:r>
        <w:rPr>
          <w:sz w:val="20"/>
        </w:rPr>
        <w:t xml:space="preserve">выход из котельной непосредственно на кровлю;</w:t>
      </w:r>
    </w:p>
    <w:p>
      <w:pPr>
        <w:pStyle w:val="0"/>
        <w:spacing w:before="200" w:line-rule="auto"/>
        <w:ind w:firstLine="540"/>
        <w:jc w:val="both"/>
      </w:pPr>
      <w:r>
        <w:rPr>
          <w:sz w:val="20"/>
        </w:rPr>
        <w:t xml:space="preserve">выход на кровлю из основного здания по маршевой лестнице.</w:t>
      </w:r>
    </w:p>
    <w:p>
      <w:pPr>
        <w:pStyle w:val="0"/>
        <w:spacing w:before="200" w:line-rule="auto"/>
        <w:ind w:firstLine="540"/>
        <w:jc w:val="both"/>
      </w:pPr>
      <w:r>
        <w:rPr>
          <w:sz w:val="20"/>
        </w:rPr>
        <w:t xml:space="preserve">При уклоне кровли более 10% следует предусматривать ходовые мостики шириной 1 м, с перилами от выхода на кровлю до котельной и по периметру котельной. Конструкции мостиков и перил следует предусматривать из материалов НГ.</w:t>
      </w:r>
    </w:p>
    <w:p>
      <w:pPr>
        <w:pStyle w:val="0"/>
        <w:jc w:val="both"/>
      </w:pPr>
      <w:r>
        <w:rPr>
          <w:sz w:val="20"/>
        </w:rPr>
        <w:t xml:space="preserve">(в ред. </w:t>
      </w:r>
      <w:hyperlink w:history="0" r:id="rId388"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6.9.20. Для котельных, работающих на твердом топливе, дымовая труба, расположенная над кровлей из горючих материалов, должна иметь искрогаситель.</w:t>
      </w:r>
    </w:p>
    <w:p>
      <w:pPr>
        <w:pStyle w:val="0"/>
        <w:spacing w:before="200" w:line-rule="auto"/>
        <w:ind w:firstLine="540"/>
        <w:jc w:val="both"/>
      </w:pPr>
      <w:r>
        <w:rPr>
          <w:sz w:val="20"/>
        </w:rPr>
        <w:t xml:space="preserve">6.9.21. Расстояния между смежными штабелями угля следует принимать 1 м при высоте штабелей не более 3 м и 2 м - при большей высоте штабеля.</w:t>
      </w:r>
    </w:p>
    <w:p>
      <w:pPr>
        <w:pStyle w:val="0"/>
        <w:spacing w:before="200" w:line-rule="auto"/>
        <w:ind w:firstLine="540"/>
        <w:jc w:val="both"/>
      </w:pPr>
      <w:r>
        <w:rPr>
          <w:sz w:val="20"/>
        </w:rPr>
        <w:t xml:space="preserve">6.9.22. Размеры штабелей торфа следует предусматривать по длине не более 125 м, по ширине не более 30 м и по высоте не более 7 м; углы откоса штабелей необходимо предусматривать для кускового торфа - не менее 60°, для фрезерного торфа - не менее 40°.</w:t>
      </w:r>
    </w:p>
    <w:p>
      <w:pPr>
        <w:pStyle w:val="0"/>
        <w:spacing w:before="200" w:line-rule="auto"/>
        <w:ind w:firstLine="540"/>
        <w:jc w:val="both"/>
      </w:pPr>
      <w:r>
        <w:rPr>
          <w:sz w:val="20"/>
        </w:rPr>
        <w:t xml:space="preserve">6.9.23. Расположение штабелей торфа следует предусматривать попарное с разрывами между подошвами штабелей в одной паре 5 м; между парами штабелей - равными ширине штабеля по подошве, но не менее 12 м. Разрывы между торцами штабелей от их подошвы следует принимать для кускового торфа 20 м, для фрезерного торфа - 45 м.</w:t>
      </w:r>
    </w:p>
    <w:p>
      <w:pPr>
        <w:pStyle w:val="0"/>
        <w:spacing w:before="200" w:line-rule="auto"/>
        <w:ind w:firstLine="540"/>
        <w:jc w:val="both"/>
      </w:pPr>
      <w:r>
        <w:rPr>
          <w:sz w:val="20"/>
        </w:rPr>
        <w:t xml:space="preserve">6.9.24. Расстояние от подошвы штабеля топлива до ограждения следует принимать 5 м, до головки ближайшего рельса железнодорожного пути - 2 м и до края проезжей части автомобильной дороги - 1,5 м.</w:t>
      </w:r>
    </w:p>
    <w:p>
      <w:pPr>
        <w:pStyle w:val="0"/>
        <w:spacing w:before="200" w:line-rule="auto"/>
        <w:ind w:firstLine="540"/>
        <w:jc w:val="both"/>
      </w:pPr>
      <w:r>
        <w:rPr>
          <w:sz w:val="20"/>
        </w:rPr>
        <w:t xml:space="preserve">6.9.25. В зданиях котельных, подлежащих оборудованию внутренним противопожарным водопроводом, пожарные краны предусматриваются в помещениях категорий А, Б и В1 - В4 по взрывопожарной и пожарной опасности, а также в помещениях с трубопроводами жидкого и газообразного топлива.</w:t>
      </w:r>
    </w:p>
    <w:p>
      <w:pPr>
        <w:pStyle w:val="0"/>
        <w:jc w:val="both"/>
      </w:pPr>
      <w:r>
        <w:rPr>
          <w:sz w:val="20"/>
        </w:rPr>
        <w:t xml:space="preserve">(п. 6.9.25 в ред. </w:t>
      </w:r>
      <w:hyperlink w:history="0" r:id="rId389"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6.9.26. Пожарные краны надлежит размещать из расчета орошения каждой точки двумя пожарными струями воды производительностью не менее 2,5 л/с каждая, с учетом требуемой высоты компактной струи.</w:t>
      </w:r>
    </w:p>
    <w:p>
      <w:pPr>
        <w:pStyle w:val="0"/>
        <w:spacing w:before="200" w:line-rule="auto"/>
        <w:ind w:firstLine="540"/>
        <w:jc w:val="both"/>
      </w:pPr>
      <w:r>
        <w:rPr>
          <w:sz w:val="20"/>
        </w:rPr>
        <w:t xml:space="preserve">6.9.27. Дренчерные завесы предусматриваются в местах примыкания транспортерных галерей к главному корпусу котельной, узлам пересыпки и дробильному отделению.</w:t>
      </w:r>
    </w:p>
    <w:p>
      <w:pPr>
        <w:pStyle w:val="0"/>
        <w:spacing w:before="200" w:line-rule="auto"/>
        <w:ind w:firstLine="540"/>
        <w:jc w:val="both"/>
      </w:pPr>
      <w:r>
        <w:rPr>
          <w:sz w:val="20"/>
        </w:rPr>
        <w:t xml:space="preserve">Управление пуском дренчерных завес предусматривается со щита топливоподачи и дублируется пусковыми кнопками в местах установки дренчерных завес.</w:t>
      </w:r>
    </w:p>
    <w:p>
      <w:pPr>
        <w:pStyle w:val="0"/>
        <w:spacing w:before="200" w:line-rule="auto"/>
        <w:ind w:firstLine="540"/>
        <w:jc w:val="both"/>
      </w:pPr>
      <w:r>
        <w:rPr>
          <w:sz w:val="20"/>
        </w:rPr>
        <w:t xml:space="preserve">6.9.28 При проектировании котельных залов следует предусматривать:</w:t>
      </w:r>
    </w:p>
    <w:p>
      <w:pPr>
        <w:pStyle w:val="0"/>
        <w:spacing w:before="200" w:line-rule="auto"/>
        <w:ind w:firstLine="540"/>
        <w:jc w:val="both"/>
      </w:pPr>
      <w:r>
        <w:rPr>
          <w:sz w:val="20"/>
        </w:rPr>
        <w:t xml:space="preserve">а) датчики довзрывоопасных концентраций на горючие газы (при использовании котлов, работающих на газовом топливе), на пары горючих жидкостей (при использовании котлов, работающих на жидком топливе), выдающие световой и звуковой сигналы, отключающие подачу топлива, включающие аварийную вентиляцию и аварийное освещение во взрывозащищенном исполнении при достижении загазованности, равной 0,1 нижнего концентрационного предела распространения пламени (НКПР);</w:t>
      </w:r>
    </w:p>
    <w:p>
      <w:pPr>
        <w:pStyle w:val="0"/>
        <w:spacing w:before="200" w:line-rule="auto"/>
        <w:ind w:firstLine="540"/>
        <w:jc w:val="both"/>
      </w:pPr>
      <w:r>
        <w:rPr>
          <w:sz w:val="20"/>
        </w:rPr>
        <w:t xml:space="preserve">б) приточно-вытяжную вентиляцию, обеспечивающую не менее чем однократный воздухообмен (без учета воздуха, необходимого для горения) и аварийную вентиляцию, обеспечивающую недостижение содержания паров жидкого топлива или газа в помещении более 0,5 НКПР;</w:t>
      </w:r>
    </w:p>
    <w:p>
      <w:pPr>
        <w:pStyle w:val="0"/>
        <w:spacing w:before="200" w:line-rule="auto"/>
        <w:ind w:firstLine="540"/>
        <w:jc w:val="both"/>
      </w:pPr>
      <w:r>
        <w:rPr>
          <w:sz w:val="20"/>
        </w:rPr>
        <w:t xml:space="preserve">в) автоматическую пожарную сигнализацию, выдающую световой и звуковой сигналы и отключающую общую линию подачи топлива в помещение (при использовании котлов с камерными топками работающими на газообразном, жидком и твердом топливе в пылевидном состоянии);</w:t>
      </w:r>
    </w:p>
    <w:p>
      <w:pPr>
        <w:pStyle w:val="0"/>
        <w:spacing w:before="200" w:line-rule="auto"/>
        <w:ind w:firstLine="540"/>
        <w:jc w:val="both"/>
      </w:pPr>
      <w:r>
        <w:rPr>
          <w:sz w:val="20"/>
        </w:rPr>
        <w:t xml:space="preserve">г) аварийное освещение бесперебойного электроснабжения, автоматически включающееся при обнаружении загазованности или прекращении основного электроснабжения;</w:t>
      </w:r>
    </w:p>
    <w:p>
      <w:pPr>
        <w:pStyle w:val="0"/>
        <w:spacing w:before="200" w:line-rule="auto"/>
        <w:ind w:firstLine="540"/>
        <w:jc w:val="both"/>
      </w:pPr>
      <w:r>
        <w:rPr>
          <w:sz w:val="20"/>
        </w:rPr>
        <w:t xml:space="preserve">д) легкосбрасываемые ограждающие конструкции;</w:t>
      </w:r>
    </w:p>
    <w:p>
      <w:pPr>
        <w:pStyle w:val="0"/>
        <w:spacing w:before="200" w:line-rule="auto"/>
        <w:ind w:firstLine="540"/>
        <w:jc w:val="both"/>
      </w:pPr>
      <w:r>
        <w:rPr>
          <w:sz w:val="20"/>
        </w:rPr>
        <w:t xml:space="preserve">е) электродвигатели и пусковая аппаратура вытяжных вентиляторов, которые устанавливаются в помещениях газифицированных котельных, а также аварийное освещение котельных, работающих на газообразном топливе, выполняется во взрывозащищенном исполнении;</w:t>
      </w:r>
    </w:p>
    <w:p>
      <w:pPr>
        <w:pStyle w:val="0"/>
        <w:jc w:val="both"/>
      </w:pPr>
      <w:r>
        <w:rPr>
          <w:sz w:val="20"/>
        </w:rPr>
        <w:t xml:space="preserve">(пп. "е" в ред. </w:t>
      </w:r>
      <w:hyperlink w:history="0" r:id="rId390"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ж) локальное пожаротушение расходного топливного бака и участка размещения твердого топлива в соответствии с требованиями </w:t>
      </w:r>
      <w:hyperlink w:history="0" r:id="rId391" w:tooltip="Приказ МЧС России от 31.08.2020 N 628 &quot;Об утверждении свода правил &quot;Системы противопожарной защиты. Установки пожаротушения автоматические. Нормы и правила проектирования&quot; (вместе с &quot;СП 485.1311500.2020. Свод правил. Системы противопожарной защиты. Установки пожаротушения автоматические. Нормы и правила проектирования&quot;) {КонсультантПлюс}">
        <w:r>
          <w:rPr>
            <w:sz w:val="20"/>
            <w:color w:val="0000ff"/>
          </w:rPr>
          <w:t xml:space="preserve">СП 485.1311500</w:t>
        </w:r>
      </w:hyperlink>
      <w:r>
        <w:rPr>
          <w:sz w:val="20"/>
        </w:rPr>
        <w:t xml:space="preserve">.</w:t>
      </w:r>
    </w:p>
    <w:p>
      <w:pPr>
        <w:pStyle w:val="0"/>
        <w:jc w:val="both"/>
      </w:pPr>
      <w:r>
        <w:rPr>
          <w:sz w:val="20"/>
        </w:rPr>
        <w:t xml:space="preserve">(в ред. </w:t>
      </w:r>
      <w:hyperlink w:history="0" r:id="rId392"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jc w:val="both"/>
      </w:pPr>
      <w:r>
        <w:rPr>
          <w:sz w:val="20"/>
        </w:rPr>
        <w:t xml:space="preserve">(п. 6.9.28 введен </w:t>
      </w:r>
      <w:hyperlink w:history="0" r:id="rId393"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Приказом</w:t>
        </w:r>
      </w:hyperlink>
      <w:r>
        <w:rPr>
          <w:sz w:val="20"/>
        </w:rPr>
        <w:t xml:space="preserve"> МЧС России от 14.02.2020 N 89)</w:t>
      </w:r>
    </w:p>
    <w:p>
      <w:pPr>
        <w:pStyle w:val="0"/>
        <w:spacing w:before="200" w:line-rule="auto"/>
        <w:ind w:firstLine="540"/>
        <w:jc w:val="both"/>
      </w:pPr>
      <w:r>
        <w:rPr>
          <w:sz w:val="20"/>
        </w:rPr>
        <w:t xml:space="preserve">6.9.29 В котельных, расположенных в подвале, не допускается предусматривать агрегаты, работающие на газообразном, а также жидком топливе с температурой вспышки паров ниже 61 °C и твердом пылевидном топливе.</w:t>
      </w:r>
    </w:p>
    <w:p>
      <w:pPr>
        <w:pStyle w:val="0"/>
        <w:jc w:val="both"/>
      </w:pPr>
      <w:r>
        <w:rPr>
          <w:sz w:val="20"/>
        </w:rPr>
        <w:t xml:space="preserve">(п. 6.9.29 введен </w:t>
      </w:r>
      <w:hyperlink w:history="0" r:id="rId394"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Приказом</w:t>
        </w:r>
      </w:hyperlink>
      <w:r>
        <w:rPr>
          <w:sz w:val="20"/>
        </w:rPr>
        <w:t xml:space="preserve"> МЧС России от 14.02.2020 N 89)</w:t>
      </w:r>
    </w:p>
    <w:p>
      <w:pPr>
        <w:pStyle w:val="0"/>
        <w:spacing w:before="200" w:line-rule="auto"/>
        <w:ind w:firstLine="540"/>
        <w:jc w:val="both"/>
      </w:pPr>
      <w:r>
        <w:rPr>
          <w:sz w:val="20"/>
        </w:rPr>
        <w:t xml:space="preserve">6.9.30 При оборудовании зданий высотой более 28 м крышными котельными дополнительно должны быть предусмотрены следующие противопожарные мероприятия:</w:t>
      </w:r>
    </w:p>
    <w:p>
      <w:pPr>
        <w:pStyle w:val="0"/>
        <w:spacing w:before="200" w:line-rule="auto"/>
        <w:ind w:firstLine="540"/>
        <w:jc w:val="both"/>
      </w:pPr>
      <w:r>
        <w:rPr>
          <w:sz w:val="20"/>
        </w:rPr>
        <w:t xml:space="preserve">а) предел огнестойкости покрытия здания под крышной котельной не ниже REI 90;</w:t>
      </w:r>
    </w:p>
    <w:p>
      <w:pPr>
        <w:pStyle w:val="0"/>
        <w:spacing w:before="200" w:line-rule="auto"/>
        <w:ind w:firstLine="540"/>
        <w:jc w:val="both"/>
      </w:pPr>
      <w:r>
        <w:rPr>
          <w:sz w:val="20"/>
        </w:rPr>
        <w:t xml:space="preserve">б) один из лифтов должен быть с режимом "транспортирование пожарных подразделений".</w:t>
      </w:r>
    </w:p>
    <w:p>
      <w:pPr>
        <w:pStyle w:val="0"/>
        <w:jc w:val="both"/>
      </w:pPr>
      <w:r>
        <w:rPr>
          <w:sz w:val="20"/>
        </w:rPr>
        <w:t xml:space="preserve">(п. 6.9.30 введен </w:t>
      </w:r>
      <w:hyperlink w:history="0" r:id="rId395"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Приказом</w:t>
        </w:r>
      </w:hyperlink>
      <w:r>
        <w:rPr>
          <w:sz w:val="20"/>
        </w:rPr>
        <w:t xml:space="preserve"> МЧС России от 14.02.2020 N 89)</w:t>
      </w:r>
    </w:p>
    <w:p>
      <w:pPr>
        <w:pStyle w:val="0"/>
        <w:ind w:firstLine="540"/>
        <w:jc w:val="both"/>
      </w:pPr>
      <w:r>
        <w:rPr>
          <w:sz w:val="20"/>
        </w:rPr>
      </w:r>
    </w:p>
    <w:p>
      <w:pPr>
        <w:pStyle w:val="2"/>
        <w:outlineLvl w:val="2"/>
        <w:ind w:firstLine="540"/>
        <w:jc w:val="both"/>
      </w:pPr>
      <w:r>
        <w:rPr>
          <w:sz w:val="20"/>
        </w:rPr>
        <w:t xml:space="preserve">6.10. Требования к зданиям, сооружениям и наружным установкам нефтеперерабатывающих и нефтехимических предприятий</w:t>
      </w:r>
    </w:p>
    <w:p>
      <w:pPr>
        <w:pStyle w:val="0"/>
        <w:ind w:firstLine="540"/>
        <w:jc w:val="both"/>
      </w:pPr>
      <w:r>
        <w:rPr>
          <w:sz w:val="20"/>
        </w:rPr>
      </w:r>
    </w:p>
    <w:p>
      <w:pPr>
        <w:pStyle w:val="2"/>
        <w:outlineLvl w:val="3"/>
        <w:ind w:firstLine="540"/>
        <w:jc w:val="both"/>
      </w:pPr>
      <w:r>
        <w:rPr>
          <w:sz w:val="20"/>
        </w:rPr>
        <w:t xml:space="preserve">6.10.1. Общие положения</w:t>
      </w:r>
    </w:p>
    <w:p>
      <w:pPr>
        <w:pStyle w:val="0"/>
        <w:ind w:firstLine="540"/>
        <w:jc w:val="both"/>
      </w:pPr>
      <w:r>
        <w:rPr>
          <w:sz w:val="20"/>
        </w:rPr>
      </w:r>
    </w:p>
    <w:p>
      <w:pPr>
        <w:pStyle w:val="0"/>
        <w:ind w:firstLine="540"/>
        <w:jc w:val="both"/>
      </w:pPr>
      <w:r>
        <w:rPr>
          <w:sz w:val="20"/>
        </w:rPr>
        <w:t xml:space="preserve">6.10.1.1. При проектировании зданий, сооружений и наружных установок нефтеперерабатывающих и нефтехимических предприятий следует также руководствоваться другими нормативными документами по пожарной безопасности, если требования к данным объектам не определены настоящим подразделом.</w:t>
      </w:r>
    </w:p>
    <w:p>
      <w:pPr>
        <w:pStyle w:val="0"/>
        <w:spacing w:before="200" w:line-rule="auto"/>
        <w:ind w:firstLine="540"/>
        <w:jc w:val="both"/>
      </w:pPr>
      <w:r>
        <w:rPr>
          <w:sz w:val="20"/>
        </w:rPr>
        <w:t xml:space="preserve">Допускается применение дополнительных систем и средств обеспечения пожарной безопасности и альтернативных противопожарных мероприятий, имеющих подтверждение соответствия требованиям пожарной безопасности, или документация на которые согласована и утверждена в установленном порядке.</w:t>
      </w:r>
    </w:p>
    <w:p>
      <w:pPr>
        <w:pStyle w:val="0"/>
        <w:jc w:val="both"/>
      </w:pPr>
      <w:r>
        <w:rPr>
          <w:sz w:val="20"/>
        </w:rPr>
        <w:t xml:space="preserve">(абзац введен </w:t>
      </w:r>
      <w:hyperlink w:history="0" r:id="rId396"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Приказом</w:t>
        </w:r>
      </w:hyperlink>
      <w:r>
        <w:rPr>
          <w:sz w:val="20"/>
        </w:rPr>
        <w:t xml:space="preserve"> МЧС России от 15.06.2022 N 610)</w:t>
      </w:r>
    </w:p>
    <w:p>
      <w:pPr>
        <w:pStyle w:val="0"/>
        <w:spacing w:before="200" w:line-rule="auto"/>
        <w:ind w:firstLine="540"/>
        <w:jc w:val="both"/>
      </w:pPr>
      <w:r>
        <w:rPr>
          <w:sz w:val="20"/>
        </w:rPr>
        <w:t xml:space="preserve">6.10.1.2. Расстояния от размещаемых на территории нефтеперерабатывающих и нефтехимических предприятий производств, регламентируемых другими нормативными документами, до объектов предприятия принимаются согласно требованиям настоящего подраздела, если по другим нормативным документам для этих производств не требуются большие расстояния.</w:t>
      </w:r>
    </w:p>
    <w:p>
      <w:pPr>
        <w:pStyle w:val="0"/>
        <w:spacing w:before="200" w:line-rule="auto"/>
        <w:ind w:firstLine="540"/>
        <w:jc w:val="both"/>
      </w:pPr>
      <w:r>
        <w:rPr>
          <w:sz w:val="20"/>
        </w:rPr>
        <w:t xml:space="preserve">6.10.1.3. При определении расстояний, если иное не оговорено в данном подразделе, их следует принимать:</w:t>
      </w:r>
    </w:p>
    <w:p>
      <w:pPr>
        <w:pStyle w:val="0"/>
        <w:spacing w:before="200" w:line-rule="auto"/>
        <w:ind w:firstLine="540"/>
        <w:jc w:val="both"/>
      </w:pPr>
      <w:r>
        <w:rPr>
          <w:sz w:val="20"/>
        </w:rPr>
        <w:t xml:space="preserve">а) между установками, производственными, подсобными и вспомогательными зданиями, резервуарами и оборудованием - в свету между наружными стенами или конструкциями (без учета металлических лестниц);</w:t>
      </w:r>
    </w:p>
    <w:p>
      <w:pPr>
        <w:pStyle w:val="0"/>
        <w:spacing w:before="200" w:line-rule="auto"/>
        <w:ind w:firstLine="540"/>
        <w:jc w:val="both"/>
      </w:pPr>
      <w:r>
        <w:rPr>
          <w:sz w:val="20"/>
        </w:rPr>
        <w:t xml:space="preserve">б) до технологических эстакад и до трубопроводов, проложенных без эстакад, - до крайнего трубопровода;</w:t>
      </w:r>
    </w:p>
    <w:p>
      <w:pPr>
        <w:pStyle w:val="0"/>
        <w:spacing w:before="200" w:line-rule="auto"/>
        <w:ind w:firstLine="540"/>
        <w:jc w:val="both"/>
      </w:pPr>
      <w:r>
        <w:rPr>
          <w:sz w:val="20"/>
        </w:rPr>
        <w:t xml:space="preserve">в) до железнодорожных путей предприятия - до оси ближайшего железнодорожного пути;</w:t>
      </w:r>
    </w:p>
    <w:p>
      <w:pPr>
        <w:pStyle w:val="0"/>
        <w:spacing w:before="200" w:line-rule="auto"/>
        <w:ind w:firstLine="540"/>
        <w:jc w:val="both"/>
      </w:pPr>
      <w:r>
        <w:rPr>
          <w:sz w:val="20"/>
        </w:rPr>
        <w:t xml:space="preserve">г) до автомобильных дорог предприятия - до края проезжей части дорог;</w:t>
      </w:r>
    </w:p>
    <w:p>
      <w:pPr>
        <w:pStyle w:val="0"/>
        <w:spacing w:before="200" w:line-rule="auto"/>
        <w:ind w:firstLine="540"/>
        <w:jc w:val="both"/>
      </w:pPr>
      <w:r>
        <w:rPr>
          <w:sz w:val="20"/>
        </w:rPr>
        <w:t xml:space="preserve">д) до факельных установок - до ствола факела.</w:t>
      </w:r>
    </w:p>
    <w:p>
      <w:pPr>
        <w:pStyle w:val="0"/>
        <w:ind w:firstLine="540"/>
        <w:jc w:val="both"/>
      </w:pPr>
      <w:r>
        <w:rPr>
          <w:sz w:val="20"/>
        </w:rPr>
      </w:r>
    </w:p>
    <w:p>
      <w:pPr>
        <w:pStyle w:val="2"/>
        <w:outlineLvl w:val="3"/>
        <w:ind w:firstLine="540"/>
        <w:jc w:val="both"/>
      </w:pPr>
      <w:r>
        <w:rPr>
          <w:sz w:val="20"/>
        </w:rPr>
        <w:t xml:space="preserve">6.10.2. Требования к генеральному плану</w:t>
      </w:r>
    </w:p>
    <w:p>
      <w:pPr>
        <w:pStyle w:val="0"/>
        <w:ind w:firstLine="540"/>
        <w:jc w:val="both"/>
      </w:pPr>
      <w:r>
        <w:rPr>
          <w:sz w:val="20"/>
        </w:rPr>
      </w:r>
    </w:p>
    <w:p>
      <w:pPr>
        <w:pStyle w:val="0"/>
        <w:ind w:firstLine="540"/>
        <w:jc w:val="both"/>
      </w:pPr>
      <w:r>
        <w:rPr>
          <w:sz w:val="20"/>
        </w:rPr>
        <w:t xml:space="preserve">6.10.2.1. Ограждение территории предприятий и отдельно расположенных объектов выполняется из несгораемых материалов.</w:t>
      </w:r>
    </w:p>
    <w:p>
      <w:pPr>
        <w:pStyle w:val="0"/>
        <w:spacing w:before="200" w:line-rule="auto"/>
        <w:ind w:firstLine="540"/>
        <w:jc w:val="both"/>
      </w:pPr>
      <w:r>
        <w:rPr>
          <w:sz w:val="20"/>
        </w:rPr>
        <w:t xml:space="preserve">6.10.2.2. Расстояния от ограждения до наружных установок, сооружений, производственных подсобных и вспомогательных зданий, оборудования и обвалований резервуаров должны приниматься с учетом возможности свободного проезда пожарных автомобилей и создания охранной зоны, но не менее 10 м.</w:t>
      </w:r>
    </w:p>
    <w:p>
      <w:pPr>
        <w:pStyle w:val="0"/>
        <w:spacing w:before="200" w:line-rule="auto"/>
        <w:ind w:firstLine="540"/>
        <w:jc w:val="both"/>
      </w:pPr>
      <w:r>
        <w:rPr>
          <w:sz w:val="20"/>
        </w:rPr>
        <w:t xml:space="preserve">6.10.2.3. С территории предприятия должно быть не менее двух выездов на автомобильные дороги общего пользования или тупиковые подъезды к территории предприятия.</w:t>
      </w:r>
    </w:p>
    <w:p>
      <w:pPr>
        <w:pStyle w:val="0"/>
        <w:spacing w:before="200" w:line-rule="auto"/>
        <w:ind w:firstLine="540"/>
        <w:jc w:val="both"/>
      </w:pPr>
      <w:r>
        <w:rPr>
          <w:sz w:val="20"/>
        </w:rPr>
        <w:t xml:space="preserve">6.10.2.4. Объекты общезаводского назначения (здания управления, общественного питания, здравоохранения, конструкторских бюро, учебного назначения, общественных организаций, культурного обслуживания и другие) должны располагаться в предзаводской зоне предприятия на расстоянии не менее:</w:t>
      </w:r>
    </w:p>
    <w:p>
      <w:pPr>
        <w:pStyle w:val="0"/>
        <w:spacing w:before="200" w:line-rule="auto"/>
        <w:ind w:firstLine="540"/>
        <w:jc w:val="both"/>
      </w:pPr>
      <w:r>
        <w:rPr>
          <w:sz w:val="20"/>
        </w:rPr>
        <w:t xml:space="preserve">а) от зданий категорий А, Б, наружных установок категорий АН и БН, промежуточных складов легковоспламеняющихся и горючих жидкостей - 80 м;</w:t>
      </w:r>
    </w:p>
    <w:p>
      <w:pPr>
        <w:pStyle w:val="0"/>
        <w:spacing w:before="200" w:line-rule="auto"/>
        <w:ind w:firstLine="540"/>
        <w:jc w:val="both"/>
      </w:pPr>
      <w:r>
        <w:rPr>
          <w:sz w:val="20"/>
        </w:rPr>
        <w:t xml:space="preserve">б) от зданий категории В и наружных установок категории ВН - 30 м;</w:t>
      </w:r>
    </w:p>
    <w:p>
      <w:pPr>
        <w:pStyle w:val="0"/>
        <w:spacing w:before="200" w:line-rule="auto"/>
        <w:ind w:firstLine="540"/>
        <w:jc w:val="both"/>
      </w:pPr>
      <w:r>
        <w:rPr>
          <w:sz w:val="20"/>
        </w:rPr>
        <w:t xml:space="preserve">в) от промежуточных складов сжиженных горючих газов - 100 м;</w:t>
      </w:r>
    </w:p>
    <w:p>
      <w:pPr>
        <w:pStyle w:val="0"/>
        <w:spacing w:before="200" w:line-rule="auto"/>
        <w:ind w:firstLine="540"/>
        <w:jc w:val="both"/>
      </w:pPr>
      <w:r>
        <w:rPr>
          <w:sz w:val="20"/>
        </w:rPr>
        <w:t xml:space="preserve">г) от товарно-сырьевых складов (парков) легковоспламеняющихся и горючих жидкостей - 200 м;</w:t>
      </w:r>
    </w:p>
    <w:p>
      <w:pPr>
        <w:pStyle w:val="0"/>
        <w:spacing w:before="200" w:line-rule="auto"/>
        <w:ind w:firstLine="540"/>
        <w:jc w:val="both"/>
      </w:pPr>
      <w:r>
        <w:rPr>
          <w:sz w:val="20"/>
        </w:rPr>
        <w:t xml:space="preserve">д) от поршневых газгольдеров горючих газов - 150 м;</w:t>
      </w:r>
    </w:p>
    <w:p>
      <w:pPr>
        <w:pStyle w:val="0"/>
        <w:spacing w:before="200" w:line-rule="auto"/>
        <w:ind w:firstLine="540"/>
        <w:jc w:val="both"/>
      </w:pPr>
      <w:r>
        <w:rPr>
          <w:sz w:val="20"/>
        </w:rPr>
        <w:t xml:space="preserve">е) от газгольдеров постоянного объема и газгольдеров с водяным бассейном - 100 м;</w:t>
      </w:r>
    </w:p>
    <w:p>
      <w:pPr>
        <w:pStyle w:val="0"/>
        <w:spacing w:before="200" w:line-rule="auto"/>
        <w:ind w:firstLine="540"/>
        <w:jc w:val="both"/>
      </w:pPr>
      <w:r>
        <w:rPr>
          <w:sz w:val="20"/>
        </w:rPr>
        <w:t xml:space="preserve">ж) от трубопроводов с взрывопожароопасными продуктами - 50 м.</w:t>
      </w:r>
    </w:p>
    <w:p>
      <w:pPr>
        <w:pStyle w:val="0"/>
        <w:spacing w:before="200" w:line-rule="auto"/>
        <w:ind w:firstLine="540"/>
        <w:jc w:val="both"/>
      </w:pPr>
      <w:r>
        <w:rPr>
          <w:sz w:val="20"/>
        </w:rPr>
        <w:t xml:space="preserve">Эти требования не распространяются на караульные помещения и проходные, располагаемые по периметру ограждения.</w:t>
      </w:r>
    </w:p>
    <w:p>
      <w:pPr>
        <w:pStyle w:val="0"/>
        <w:spacing w:before="200" w:line-rule="auto"/>
        <w:ind w:firstLine="540"/>
        <w:jc w:val="both"/>
      </w:pPr>
      <w:r>
        <w:rPr>
          <w:sz w:val="20"/>
        </w:rPr>
        <w:t xml:space="preserve">В административных зданиях, инженерных корпусах и зданиях учебного назначения разрешается располагать залы заседаний и актовые залы с киноаппаратными, при этом актовые залы и залы заседаний вместимостью более 200 мест не должны располагаться выше 5 этажа.</w:t>
      </w:r>
    </w:p>
    <w:p>
      <w:pPr>
        <w:pStyle w:val="0"/>
        <w:spacing w:before="200" w:line-rule="auto"/>
        <w:ind w:firstLine="540"/>
        <w:jc w:val="both"/>
      </w:pPr>
      <w:r>
        <w:rPr>
          <w:sz w:val="20"/>
        </w:rPr>
        <w:t xml:space="preserve">6.10.2.5. Противопожарное расстояние от зданий, сооружений и наружных установок категорий (далее - объектов категорий) А, Б, АН, БН, до границы полосы отвода общих железных дорог должно приниматься не менее 100 м, до границы полосы отвода автомобильных дорог общего пользования - не менее 50 м.</w:t>
      </w:r>
    </w:p>
    <w:p>
      <w:pPr>
        <w:pStyle w:val="0"/>
        <w:spacing w:before="200" w:line-rule="auto"/>
        <w:ind w:firstLine="540"/>
        <w:jc w:val="both"/>
      </w:pPr>
      <w:r>
        <w:rPr>
          <w:sz w:val="20"/>
        </w:rPr>
        <w:t xml:space="preserve">Противопожарное расстояние от ограждения территории предприятия до трамвайных путей должно быть не менее 30 м.</w:t>
      </w:r>
    </w:p>
    <w:p>
      <w:pPr>
        <w:pStyle w:val="0"/>
        <w:spacing w:before="200" w:line-rule="auto"/>
        <w:ind w:firstLine="540"/>
        <w:jc w:val="both"/>
      </w:pPr>
      <w:r>
        <w:rPr>
          <w:sz w:val="20"/>
        </w:rPr>
        <w:t xml:space="preserve">6.10.2.6. Территория предприятия должна разделяться на зоны, в которых в основном размещаются:</w:t>
      </w:r>
    </w:p>
    <w:p>
      <w:pPr>
        <w:pStyle w:val="0"/>
        <w:spacing w:before="200" w:line-rule="auto"/>
        <w:ind w:firstLine="540"/>
        <w:jc w:val="both"/>
      </w:pPr>
      <w:r>
        <w:rPr>
          <w:sz w:val="20"/>
        </w:rPr>
        <w:t xml:space="preserve">а) предзаводская зона - административные и бытовые здания, здания общественного питания, здравоохранения, культурного обслуживания, конструкторских бюро, учебного назначения, торговли, пожарные депо (посты), гаражи и т.п.;</w:t>
      </w:r>
    </w:p>
    <w:p>
      <w:pPr>
        <w:pStyle w:val="0"/>
        <w:spacing w:before="200" w:line-rule="auto"/>
        <w:ind w:firstLine="540"/>
        <w:jc w:val="both"/>
      </w:pPr>
      <w:r>
        <w:rPr>
          <w:sz w:val="20"/>
        </w:rPr>
        <w:t xml:space="preserve">б) производственная зона - производственные здания и сооружения, технологические установки, цеха, а также входящие в их состав подсобно-производственные и вспомогательные здания и сооружения, промежуточные склады (парки);</w:t>
      </w:r>
    </w:p>
    <w:p>
      <w:pPr>
        <w:pStyle w:val="0"/>
        <w:spacing w:before="200" w:line-rule="auto"/>
        <w:ind w:firstLine="540"/>
        <w:jc w:val="both"/>
      </w:pPr>
      <w:r>
        <w:rPr>
          <w:sz w:val="20"/>
        </w:rPr>
        <w:t xml:space="preserve">в) подсобная зона - здания и сооружения подсобно-производственного назначения (ремонтно-механические, ремонтно-строительные, тарные и другие цеха, заводские лаборатории и т.п.);</w:t>
      </w:r>
    </w:p>
    <w:p>
      <w:pPr>
        <w:pStyle w:val="0"/>
        <w:spacing w:before="200" w:line-rule="auto"/>
        <w:ind w:firstLine="540"/>
        <w:jc w:val="both"/>
      </w:pPr>
      <w:r>
        <w:rPr>
          <w:sz w:val="20"/>
        </w:rPr>
        <w:t xml:space="preserve">г) складская зона - склады материальные, оборудования, реагентов, масел, готовой продукции и др.</w:t>
      </w:r>
    </w:p>
    <w:p>
      <w:pPr>
        <w:pStyle w:val="0"/>
        <w:spacing w:before="200" w:line-rule="auto"/>
        <w:ind w:firstLine="540"/>
        <w:jc w:val="both"/>
      </w:pPr>
      <w:r>
        <w:rPr>
          <w:sz w:val="20"/>
        </w:rPr>
        <w:t xml:space="preserve">д) зона сырьевых и товарных складов (парков) - сырьевые и товарные склады (парки) горючих газов, легковоспламеняющихся и горючих жидкостей, а также входящие в их состав подсобно-производственные здания и сооружения, сливоналивные эстакады.</w:t>
      </w:r>
    </w:p>
    <w:p>
      <w:pPr>
        <w:pStyle w:val="0"/>
        <w:spacing w:before="200" w:line-rule="auto"/>
        <w:ind w:firstLine="540"/>
        <w:jc w:val="both"/>
      </w:pPr>
      <w:r>
        <w:rPr>
          <w:sz w:val="20"/>
        </w:rPr>
        <w:t xml:space="preserve">6.10.2.7. Производственная, подсобная, складская зоны предприятия должны делиться на кварталы.</w:t>
      </w:r>
    </w:p>
    <w:p>
      <w:pPr>
        <w:pStyle w:val="0"/>
        <w:spacing w:before="200" w:line-rule="auto"/>
        <w:ind w:firstLine="540"/>
        <w:jc w:val="both"/>
      </w:pPr>
      <w:r>
        <w:rPr>
          <w:sz w:val="20"/>
        </w:rPr>
        <w:t xml:space="preserve">Площадь каждого квартала предприятия в красных линиях застройки не должна превышать 16 га при длине одной из сторон квартала не более 300 м.</w:t>
      </w:r>
    </w:p>
    <w:p>
      <w:pPr>
        <w:pStyle w:val="0"/>
        <w:spacing w:before="200" w:line-rule="auto"/>
        <w:ind w:firstLine="540"/>
        <w:jc w:val="both"/>
      </w:pPr>
      <w:r>
        <w:rPr>
          <w:sz w:val="20"/>
        </w:rPr>
        <w:t xml:space="preserve">Противопожарное расстояние между красными линиями застройки двух смежных кварталов предприятия и зон определяется из условия размещения между ними автомобильных дорог, инженерных сетей, эстакад, зеленых насаждений и т.п., но должно быть не менее 40 м.</w:t>
      </w:r>
    </w:p>
    <w:p>
      <w:pPr>
        <w:pStyle w:val="0"/>
        <w:spacing w:before="200" w:line-rule="auto"/>
        <w:ind w:firstLine="540"/>
        <w:jc w:val="both"/>
      </w:pPr>
      <w:r>
        <w:rPr>
          <w:sz w:val="20"/>
        </w:rPr>
        <w:t xml:space="preserve">6.10.2.8. Расположение зданий и сооружений внутри кварталов предприятий должно обеспечивать хорошую проветриваемость.</w:t>
      </w:r>
    </w:p>
    <w:p>
      <w:pPr>
        <w:pStyle w:val="0"/>
        <w:spacing w:before="200" w:line-rule="auto"/>
        <w:ind w:firstLine="540"/>
        <w:jc w:val="both"/>
      </w:pPr>
      <w:r>
        <w:rPr>
          <w:sz w:val="20"/>
        </w:rPr>
        <w:t xml:space="preserve">6.10.2.9. Планировка территории предприятия должна предотвращать попадание продуктов при аварийном разливе с участков одних объектов на участки других, а также обеспечивать организацию отвода разлившихся продуктов и защиту территории от скапливания талых и ливневых вод.</w:t>
      </w:r>
    </w:p>
    <w:p>
      <w:pPr>
        <w:pStyle w:val="0"/>
        <w:spacing w:before="200" w:line-rule="auto"/>
        <w:ind w:firstLine="540"/>
        <w:jc w:val="both"/>
      </w:pPr>
      <w:r>
        <w:rPr>
          <w:sz w:val="20"/>
        </w:rPr>
        <w:t xml:space="preserve">6.10.2.10. При расположении предприятий в лесистой местности, а также на участках массового залегания торфа расстояние от границы лесного массива и участка массового залегания торфа до ограждения предприятий должно быть не менее:</w:t>
      </w:r>
    </w:p>
    <w:p>
      <w:pPr>
        <w:pStyle w:val="0"/>
        <w:spacing w:before="200" w:line-rule="auto"/>
        <w:ind w:firstLine="540"/>
        <w:jc w:val="both"/>
      </w:pPr>
      <w:r>
        <w:rPr>
          <w:sz w:val="20"/>
        </w:rPr>
        <w:t xml:space="preserve">а) для хвойных пород и участков массового залегания торфа - 100 м;</w:t>
      </w:r>
    </w:p>
    <w:p>
      <w:pPr>
        <w:pStyle w:val="0"/>
        <w:spacing w:before="200" w:line-rule="auto"/>
        <w:ind w:firstLine="540"/>
        <w:jc w:val="both"/>
      </w:pPr>
      <w:r>
        <w:rPr>
          <w:sz w:val="20"/>
        </w:rPr>
        <w:t xml:space="preserve">б) для лиственных пород 20 м.</w:t>
      </w:r>
    </w:p>
    <w:p>
      <w:pPr>
        <w:pStyle w:val="0"/>
        <w:spacing w:before="200" w:line-rule="auto"/>
        <w:ind w:firstLine="540"/>
        <w:jc w:val="both"/>
      </w:pPr>
      <w:r>
        <w:rPr>
          <w:sz w:val="20"/>
        </w:rPr>
        <w:t xml:space="preserve">Вдоль границы лесного массива вокруг предприятия должна предусматриваться вспаханная полоса земли шириной не менее 5 м.</w:t>
      </w:r>
    </w:p>
    <w:p>
      <w:pPr>
        <w:pStyle w:val="0"/>
        <w:spacing w:before="200" w:line-rule="auto"/>
        <w:ind w:firstLine="540"/>
        <w:jc w:val="both"/>
      </w:pPr>
      <w:r>
        <w:rPr>
          <w:sz w:val="20"/>
        </w:rPr>
        <w:t xml:space="preserve">6.10.2.11. Предприятия должны размещаться на расстоянии не менее 200 м от берегов рек и ниже (по течению) пристаней, речных вокзалов, крупных рейдов и мест постоянной стоянки флота, гидроэлектростанций, судостроительных и судоремонтных заводов, мостов, водозаборов, на расстоянии от них не менее 300 м, если от указанных объектов нормативными документами не требуется большего расстояния.</w:t>
      </w:r>
    </w:p>
    <w:p>
      <w:pPr>
        <w:pStyle w:val="0"/>
        <w:spacing w:before="200" w:line-rule="auto"/>
        <w:ind w:firstLine="540"/>
        <w:jc w:val="both"/>
      </w:pPr>
      <w:r>
        <w:rPr>
          <w:sz w:val="20"/>
        </w:rPr>
        <w:t xml:space="preserve">При расположении предприятий выше (по течению реки) указанных сооружений они должны размещаться от последних на расстоянии не менее 3000 м.</w:t>
      </w:r>
    </w:p>
    <w:p>
      <w:pPr>
        <w:pStyle w:val="0"/>
        <w:spacing w:before="200" w:line-rule="auto"/>
        <w:ind w:firstLine="540"/>
        <w:jc w:val="both"/>
      </w:pPr>
      <w:r>
        <w:rPr>
          <w:sz w:val="20"/>
        </w:rPr>
        <w:t xml:space="preserve">6.10.2.12. Минимальные расстояния между зданиями, сооружениями и технологическими установками предприятия должны приниматься по </w:t>
      </w:r>
      <w:hyperlink w:history="0" w:anchor="P3243" w:tooltip="Таблица 40">
        <w:r>
          <w:rPr>
            <w:sz w:val="20"/>
            <w:color w:val="0000ff"/>
          </w:rPr>
          <w:t xml:space="preserve">таблице 40</w:t>
        </w:r>
      </w:hyperlink>
      <w:r>
        <w:rPr>
          <w:sz w:val="20"/>
        </w:rPr>
        <w:t xml:space="preserve">.</w:t>
      </w:r>
    </w:p>
    <w:p>
      <w:pPr>
        <w:pStyle w:val="0"/>
        <w:ind w:firstLine="540"/>
        <w:jc w:val="both"/>
      </w:pPr>
      <w:r>
        <w:rPr>
          <w:sz w:val="20"/>
        </w:rPr>
      </w:r>
    </w:p>
    <w:bookmarkStart w:id="3243" w:name="P3243"/>
    <w:bookmarkEnd w:id="3243"/>
    <w:p>
      <w:pPr>
        <w:pStyle w:val="0"/>
        <w:outlineLvl w:val="4"/>
      </w:pPr>
      <w:r>
        <w:rPr>
          <w:sz w:val="20"/>
        </w:rPr>
        <w:t xml:space="preserve">Таблица 40</w:t>
      </w:r>
    </w:p>
    <w:p>
      <w:pPr>
        <w:pStyle w:val="0"/>
        <w:jc w:val="center"/>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3795"/>
        <w:gridCol w:w="2805"/>
        <w:gridCol w:w="1815"/>
        <w:gridCol w:w="3135"/>
      </w:tblGrid>
      <w:tr>
        <w:tc>
          <w:tcPr>
            <w:tcW w:w="660" w:type="dxa"/>
            <w:vMerge w:val="restart"/>
          </w:tcPr>
          <w:p>
            <w:pPr>
              <w:pStyle w:val="0"/>
              <w:jc w:val="center"/>
            </w:pPr>
            <w:r>
              <w:rPr>
                <w:sz w:val="20"/>
              </w:rPr>
              <w:t xml:space="preserve">N п/п</w:t>
            </w:r>
          </w:p>
        </w:tc>
        <w:tc>
          <w:tcPr>
            <w:tcW w:w="3795" w:type="dxa"/>
            <w:vMerge w:val="restart"/>
          </w:tcPr>
          <w:p>
            <w:pPr>
              <w:pStyle w:val="0"/>
              <w:jc w:val="center"/>
            </w:pPr>
            <w:r>
              <w:rPr>
                <w:sz w:val="20"/>
              </w:rPr>
              <w:t xml:space="preserve">Здания и сооружения, от которых определяется расстояние</w:t>
            </w:r>
          </w:p>
        </w:tc>
        <w:tc>
          <w:tcPr>
            <w:gridSpan w:val="3"/>
            <w:tcW w:w="7755" w:type="dxa"/>
          </w:tcPr>
          <w:p>
            <w:pPr>
              <w:pStyle w:val="0"/>
              <w:jc w:val="center"/>
            </w:pPr>
            <w:r>
              <w:rPr>
                <w:sz w:val="20"/>
              </w:rPr>
              <w:t xml:space="preserve">Наименьшие расстояния (м) до</w:t>
            </w:r>
          </w:p>
        </w:tc>
      </w:tr>
      <w:tr>
        <w:tc>
          <w:tcPr>
            <w:vMerge w:val="continue"/>
          </w:tcPr>
          <w:p/>
        </w:tc>
        <w:tc>
          <w:tcPr>
            <w:vMerge w:val="continue"/>
          </w:tcPr>
          <w:p/>
        </w:tc>
        <w:tc>
          <w:tcPr>
            <w:tcW w:w="2805" w:type="dxa"/>
          </w:tcPr>
          <w:p>
            <w:pPr>
              <w:pStyle w:val="0"/>
              <w:jc w:val="center"/>
            </w:pPr>
            <w:r>
              <w:rPr>
                <w:sz w:val="20"/>
              </w:rPr>
              <w:t xml:space="preserve">технологической установки с объектами категорий А, или Б, или АН, или БН</w:t>
            </w:r>
          </w:p>
        </w:tc>
        <w:tc>
          <w:tcPr>
            <w:tcW w:w="1815" w:type="dxa"/>
          </w:tcPr>
          <w:p>
            <w:pPr>
              <w:pStyle w:val="0"/>
              <w:jc w:val="center"/>
            </w:pPr>
            <w:r>
              <w:rPr>
                <w:sz w:val="20"/>
              </w:rPr>
              <w:t xml:space="preserve">цеха с объектами категорий А, или Б, или АН, или БН</w:t>
            </w:r>
          </w:p>
        </w:tc>
        <w:tc>
          <w:tcPr>
            <w:tcW w:w="3135" w:type="dxa"/>
          </w:tcPr>
          <w:p>
            <w:pPr>
              <w:pStyle w:val="0"/>
              <w:jc w:val="center"/>
            </w:pPr>
            <w:r>
              <w:rPr>
                <w:sz w:val="20"/>
              </w:rPr>
              <w:t xml:space="preserve">факельной установки для сжигания избыточных газов, сбрасываемых из технологического оборудования</w:t>
            </w:r>
          </w:p>
        </w:tc>
      </w:tr>
      <w:tr>
        <w:tc>
          <w:tcPr>
            <w:tcW w:w="660" w:type="dxa"/>
          </w:tcPr>
          <w:p>
            <w:pPr>
              <w:pStyle w:val="0"/>
              <w:jc w:val="center"/>
            </w:pPr>
            <w:r>
              <w:rPr>
                <w:sz w:val="20"/>
              </w:rPr>
              <w:t xml:space="preserve">1</w:t>
            </w:r>
          </w:p>
        </w:tc>
        <w:tc>
          <w:tcPr>
            <w:tcW w:w="3795" w:type="dxa"/>
          </w:tcPr>
          <w:p>
            <w:pPr>
              <w:pStyle w:val="0"/>
            </w:pPr>
            <w:r>
              <w:rPr>
                <w:sz w:val="20"/>
              </w:rPr>
              <w:t xml:space="preserve">Технологическая установка с объектами категорий А, или Б, или АН, или БН</w:t>
            </w:r>
          </w:p>
        </w:tc>
        <w:tc>
          <w:tcPr>
            <w:tcW w:w="2805" w:type="dxa"/>
          </w:tcPr>
          <w:p>
            <w:pPr>
              <w:pStyle w:val="0"/>
              <w:jc w:val="center"/>
            </w:pPr>
            <w:r>
              <w:rPr>
                <w:sz w:val="20"/>
              </w:rPr>
              <w:t xml:space="preserve">25</w:t>
            </w:r>
          </w:p>
        </w:tc>
        <w:tc>
          <w:tcPr>
            <w:tcW w:w="1815" w:type="dxa"/>
          </w:tcPr>
          <w:p>
            <w:pPr>
              <w:pStyle w:val="0"/>
              <w:jc w:val="center"/>
            </w:pPr>
            <w:r>
              <w:rPr>
                <w:sz w:val="20"/>
              </w:rPr>
              <w:t xml:space="preserve">25</w:t>
            </w:r>
          </w:p>
        </w:tc>
        <w:tc>
          <w:tcPr>
            <w:tcW w:w="3135" w:type="dxa"/>
          </w:tcPr>
          <w:p>
            <w:pPr>
              <w:pStyle w:val="0"/>
              <w:jc w:val="center"/>
            </w:pPr>
            <w:r>
              <w:rPr>
                <w:sz w:val="20"/>
              </w:rPr>
              <w:t xml:space="preserve">100</w:t>
            </w:r>
          </w:p>
        </w:tc>
      </w:tr>
      <w:tr>
        <w:tc>
          <w:tcPr>
            <w:tcW w:w="660" w:type="dxa"/>
          </w:tcPr>
          <w:p>
            <w:pPr>
              <w:pStyle w:val="0"/>
              <w:jc w:val="center"/>
            </w:pPr>
            <w:r>
              <w:rPr>
                <w:sz w:val="20"/>
              </w:rPr>
              <w:t xml:space="preserve">2</w:t>
            </w:r>
          </w:p>
        </w:tc>
        <w:tc>
          <w:tcPr>
            <w:tcW w:w="3795" w:type="dxa"/>
          </w:tcPr>
          <w:p>
            <w:pPr>
              <w:pStyle w:val="0"/>
            </w:pPr>
            <w:r>
              <w:rPr>
                <w:sz w:val="20"/>
              </w:rPr>
              <w:t xml:space="preserve">Цех с объектами категорий А, или Б, или АН, или БН</w:t>
            </w:r>
          </w:p>
        </w:tc>
        <w:tc>
          <w:tcPr>
            <w:tcW w:w="2805" w:type="dxa"/>
          </w:tcPr>
          <w:p>
            <w:pPr>
              <w:pStyle w:val="0"/>
              <w:jc w:val="center"/>
            </w:pPr>
            <w:r>
              <w:rPr>
                <w:sz w:val="20"/>
              </w:rPr>
              <w:t xml:space="preserve">25</w:t>
            </w:r>
          </w:p>
        </w:tc>
        <w:tc>
          <w:tcPr>
            <w:tcW w:w="1815" w:type="dxa"/>
          </w:tcPr>
          <w:p>
            <w:pPr>
              <w:pStyle w:val="0"/>
              <w:jc w:val="center"/>
            </w:pPr>
            <w:r>
              <w:rPr>
                <w:sz w:val="20"/>
              </w:rPr>
              <w:t xml:space="preserve">15</w:t>
            </w:r>
          </w:p>
        </w:tc>
        <w:tc>
          <w:tcPr>
            <w:tcW w:w="3135" w:type="dxa"/>
          </w:tcPr>
          <w:p>
            <w:pPr>
              <w:pStyle w:val="0"/>
              <w:jc w:val="center"/>
            </w:pPr>
            <w:r>
              <w:rPr>
                <w:sz w:val="20"/>
              </w:rPr>
              <w:t xml:space="preserve">100</w:t>
            </w:r>
          </w:p>
        </w:tc>
      </w:tr>
      <w:tr>
        <w:tc>
          <w:tcPr>
            <w:tcW w:w="660" w:type="dxa"/>
          </w:tcPr>
          <w:p>
            <w:pPr>
              <w:pStyle w:val="0"/>
              <w:jc w:val="center"/>
            </w:pPr>
            <w:r>
              <w:rPr>
                <w:sz w:val="20"/>
              </w:rPr>
              <w:t xml:space="preserve">3</w:t>
            </w:r>
          </w:p>
        </w:tc>
        <w:tc>
          <w:tcPr>
            <w:tcW w:w="3795" w:type="dxa"/>
          </w:tcPr>
          <w:p>
            <w:pPr>
              <w:pStyle w:val="0"/>
            </w:pPr>
            <w:r>
              <w:rPr>
                <w:sz w:val="20"/>
              </w:rPr>
              <w:t xml:space="preserve">Другие технологическая установка или цех</w:t>
            </w:r>
          </w:p>
        </w:tc>
        <w:tc>
          <w:tcPr>
            <w:tcW w:w="2805" w:type="dxa"/>
          </w:tcPr>
          <w:p>
            <w:pPr>
              <w:pStyle w:val="0"/>
              <w:jc w:val="center"/>
            </w:pPr>
            <w:r>
              <w:rPr>
                <w:sz w:val="20"/>
              </w:rPr>
              <w:t xml:space="preserve">40</w:t>
            </w:r>
          </w:p>
        </w:tc>
        <w:tc>
          <w:tcPr>
            <w:tcW w:w="1815" w:type="dxa"/>
          </w:tcPr>
          <w:p>
            <w:pPr>
              <w:pStyle w:val="0"/>
              <w:jc w:val="center"/>
            </w:pPr>
            <w:r>
              <w:rPr>
                <w:sz w:val="20"/>
              </w:rPr>
              <w:t xml:space="preserve">40</w:t>
            </w:r>
          </w:p>
        </w:tc>
        <w:tc>
          <w:tcPr>
            <w:tcW w:w="3135" w:type="dxa"/>
          </w:tcPr>
          <w:p>
            <w:pPr>
              <w:pStyle w:val="0"/>
              <w:jc w:val="center"/>
            </w:pPr>
            <w:r>
              <w:rPr>
                <w:sz w:val="20"/>
              </w:rPr>
              <w:t xml:space="preserve">50</w:t>
            </w:r>
          </w:p>
        </w:tc>
      </w:tr>
      <w:tr>
        <w:tc>
          <w:tcPr>
            <w:tcW w:w="660" w:type="dxa"/>
          </w:tcPr>
          <w:p>
            <w:pPr>
              <w:pStyle w:val="0"/>
              <w:jc w:val="center"/>
            </w:pPr>
            <w:r>
              <w:rPr>
                <w:sz w:val="20"/>
              </w:rPr>
              <w:t xml:space="preserve">4</w:t>
            </w:r>
          </w:p>
        </w:tc>
        <w:tc>
          <w:tcPr>
            <w:tcW w:w="3795" w:type="dxa"/>
          </w:tcPr>
          <w:p>
            <w:pPr>
              <w:pStyle w:val="0"/>
            </w:pPr>
            <w:r>
              <w:rPr>
                <w:sz w:val="20"/>
              </w:rPr>
              <w:t xml:space="preserve">Административные, бытовые и подсобного производственного назначения здания</w:t>
            </w:r>
          </w:p>
        </w:tc>
        <w:tc>
          <w:tcPr>
            <w:tcW w:w="2805" w:type="dxa"/>
          </w:tcPr>
          <w:p>
            <w:pPr>
              <w:pStyle w:val="0"/>
              <w:jc w:val="center"/>
            </w:pPr>
            <w:r>
              <w:rPr>
                <w:sz w:val="20"/>
              </w:rPr>
              <w:t xml:space="preserve">30</w:t>
            </w:r>
          </w:p>
        </w:tc>
        <w:tc>
          <w:tcPr>
            <w:tcW w:w="1815" w:type="dxa"/>
          </w:tcPr>
          <w:p>
            <w:pPr>
              <w:pStyle w:val="0"/>
              <w:jc w:val="center"/>
            </w:pPr>
            <w:r>
              <w:rPr>
                <w:sz w:val="20"/>
              </w:rPr>
              <w:t xml:space="preserve">30</w:t>
            </w:r>
          </w:p>
        </w:tc>
        <w:tc>
          <w:tcPr>
            <w:tcW w:w="3135" w:type="dxa"/>
          </w:tcPr>
          <w:p>
            <w:pPr>
              <w:pStyle w:val="0"/>
              <w:jc w:val="center"/>
            </w:pPr>
            <w:r>
              <w:rPr>
                <w:sz w:val="20"/>
              </w:rPr>
              <w:t xml:space="preserve">50</w:t>
            </w:r>
          </w:p>
        </w:tc>
      </w:tr>
      <w:tr>
        <w:tc>
          <w:tcPr>
            <w:tcW w:w="660" w:type="dxa"/>
          </w:tcPr>
          <w:p>
            <w:pPr>
              <w:pStyle w:val="0"/>
              <w:jc w:val="center"/>
            </w:pPr>
            <w:r>
              <w:rPr>
                <w:sz w:val="20"/>
              </w:rPr>
              <w:t xml:space="preserve">5</w:t>
            </w:r>
          </w:p>
        </w:tc>
        <w:tc>
          <w:tcPr>
            <w:tcW w:w="3795" w:type="dxa"/>
          </w:tcPr>
          <w:p>
            <w:pPr>
              <w:pStyle w:val="0"/>
            </w:pPr>
            <w:r>
              <w:rPr>
                <w:sz w:val="20"/>
              </w:rPr>
              <w:t xml:space="preserve">Отдельно стоящие здания управления технологическими процессами, трансформаторных подстанций и распределительных устройств</w:t>
            </w:r>
          </w:p>
        </w:tc>
        <w:tc>
          <w:tcPr>
            <w:tcW w:w="2805" w:type="dxa"/>
          </w:tcPr>
          <w:p>
            <w:pPr>
              <w:pStyle w:val="0"/>
              <w:jc w:val="center"/>
            </w:pPr>
            <w:r>
              <w:rPr>
                <w:sz w:val="20"/>
              </w:rPr>
              <w:t xml:space="preserve">По </w:t>
            </w:r>
            <w:hyperlink w:history="0" w:anchor="P4427" w:tooltip="[1]        ПУЭ        &quot;Правила устройства электроустановок&quot;, издание 6 и 7.">
              <w:r>
                <w:rPr>
                  <w:sz w:val="20"/>
                  <w:color w:val="0000ff"/>
                </w:rPr>
                <w:t xml:space="preserve">[1]</w:t>
              </w:r>
            </w:hyperlink>
          </w:p>
        </w:tc>
        <w:tc>
          <w:tcPr>
            <w:tcW w:w="1815" w:type="dxa"/>
          </w:tcPr>
          <w:p>
            <w:pPr>
              <w:pStyle w:val="0"/>
              <w:jc w:val="center"/>
            </w:pPr>
            <w:r>
              <w:rPr>
                <w:sz w:val="20"/>
              </w:rPr>
              <w:t xml:space="preserve">По </w:t>
            </w:r>
            <w:hyperlink w:history="0" w:anchor="P4427" w:tooltip="[1]        ПУЭ        &quot;Правила устройства электроустановок&quot;, издание 6 и 7.">
              <w:r>
                <w:rPr>
                  <w:sz w:val="20"/>
                  <w:color w:val="0000ff"/>
                </w:rPr>
                <w:t xml:space="preserve">[1]</w:t>
              </w:r>
            </w:hyperlink>
          </w:p>
        </w:tc>
        <w:tc>
          <w:tcPr>
            <w:tcW w:w="3135" w:type="dxa"/>
          </w:tcPr>
          <w:p>
            <w:pPr>
              <w:pStyle w:val="0"/>
              <w:jc w:val="center"/>
            </w:pPr>
            <w:r>
              <w:rPr>
                <w:sz w:val="20"/>
              </w:rPr>
              <w:t xml:space="preserve">50</w:t>
            </w:r>
          </w:p>
        </w:tc>
      </w:tr>
      <w:tr>
        <w:tc>
          <w:tcPr>
            <w:tcW w:w="660" w:type="dxa"/>
          </w:tcPr>
          <w:p>
            <w:pPr>
              <w:pStyle w:val="0"/>
              <w:jc w:val="center"/>
            </w:pPr>
            <w:r>
              <w:rPr>
                <w:sz w:val="20"/>
              </w:rPr>
              <w:t xml:space="preserve">6</w:t>
            </w:r>
          </w:p>
        </w:tc>
        <w:tc>
          <w:tcPr>
            <w:tcW w:w="3795" w:type="dxa"/>
          </w:tcPr>
          <w:p>
            <w:pPr>
              <w:pStyle w:val="0"/>
            </w:pPr>
            <w:r>
              <w:rPr>
                <w:sz w:val="20"/>
              </w:rPr>
              <w:t xml:space="preserve">Внутризаводские железнодорожные пути</w:t>
            </w:r>
          </w:p>
        </w:tc>
        <w:tc>
          <w:tcPr>
            <w:tcW w:w="2805" w:type="dxa"/>
          </w:tcPr>
          <w:p>
            <w:pPr>
              <w:pStyle w:val="0"/>
              <w:jc w:val="center"/>
            </w:pPr>
            <w:r>
              <w:rPr>
                <w:sz w:val="20"/>
              </w:rPr>
              <w:t xml:space="preserve">20</w:t>
            </w:r>
          </w:p>
        </w:tc>
        <w:tc>
          <w:tcPr>
            <w:tcW w:w="1815" w:type="dxa"/>
          </w:tcPr>
          <w:p>
            <w:pPr>
              <w:pStyle w:val="0"/>
              <w:jc w:val="center"/>
            </w:pPr>
            <w:r>
              <w:rPr>
                <w:sz w:val="20"/>
              </w:rPr>
              <w:t xml:space="preserve">20</w:t>
            </w:r>
          </w:p>
        </w:tc>
        <w:tc>
          <w:tcPr>
            <w:tcW w:w="3135" w:type="dxa"/>
          </w:tcPr>
          <w:p>
            <w:pPr>
              <w:pStyle w:val="0"/>
              <w:jc w:val="center"/>
            </w:pPr>
            <w:r>
              <w:rPr>
                <w:sz w:val="20"/>
              </w:rPr>
              <w:t xml:space="preserve">50</w:t>
            </w:r>
          </w:p>
        </w:tc>
      </w:tr>
      <w:tr>
        <w:tblPrEx>
          <w:tblBorders>
            <w:insideH w:val="nil"/>
          </w:tblBorders>
        </w:tblPrEx>
        <w:tc>
          <w:tcPr>
            <w:tcW w:w="660" w:type="dxa"/>
            <w:tcBorders>
              <w:bottom w:val="nil"/>
            </w:tcBorders>
          </w:tcPr>
          <w:p>
            <w:pPr>
              <w:pStyle w:val="0"/>
              <w:jc w:val="center"/>
            </w:pPr>
            <w:r>
              <w:rPr>
                <w:sz w:val="20"/>
              </w:rPr>
              <w:t xml:space="preserve">7</w:t>
            </w:r>
          </w:p>
        </w:tc>
        <w:tc>
          <w:tcPr>
            <w:tcW w:w="3795" w:type="dxa"/>
            <w:tcBorders>
              <w:bottom w:val="nil"/>
            </w:tcBorders>
          </w:tcPr>
          <w:p>
            <w:pPr>
              <w:pStyle w:val="0"/>
            </w:pPr>
            <w:r>
              <w:rPr>
                <w:sz w:val="20"/>
              </w:rPr>
              <w:t xml:space="preserve">Границы территории смежных предприятий:</w:t>
            </w:r>
          </w:p>
        </w:tc>
        <w:tc>
          <w:tcPr>
            <w:tcW w:w="2805" w:type="dxa"/>
            <w:tcBorders>
              <w:bottom w:val="nil"/>
            </w:tcBorders>
          </w:tcPr>
          <w:p>
            <w:pPr>
              <w:pStyle w:val="0"/>
              <w:jc w:val="both"/>
            </w:pPr>
            <w:r>
              <w:rPr>
                <w:sz w:val="20"/>
              </w:rPr>
            </w:r>
          </w:p>
        </w:tc>
        <w:tc>
          <w:tcPr>
            <w:tcW w:w="1815" w:type="dxa"/>
            <w:tcBorders>
              <w:bottom w:val="nil"/>
            </w:tcBorders>
          </w:tcPr>
          <w:p>
            <w:pPr>
              <w:pStyle w:val="0"/>
              <w:jc w:val="both"/>
            </w:pPr>
            <w:r>
              <w:rPr>
                <w:sz w:val="20"/>
              </w:rPr>
            </w:r>
          </w:p>
        </w:tc>
        <w:tc>
          <w:tcPr>
            <w:tcW w:w="3135" w:type="dxa"/>
            <w:tcBorders>
              <w:bottom w:val="nil"/>
            </w:tcBorders>
          </w:tcPr>
          <w:p>
            <w:pPr>
              <w:pStyle w:val="0"/>
              <w:jc w:val="both"/>
            </w:pPr>
            <w:r>
              <w:rPr>
                <w:sz w:val="20"/>
              </w:rPr>
            </w:r>
          </w:p>
        </w:tc>
      </w:tr>
      <w:tr>
        <w:tblPrEx>
          <w:tblBorders>
            <w:insideH w:val="nil"/>
          </w:tblBorders>
        </w:tblPrEx>
        <w:tc>
          <w:tcPr>
            <w:tcW w:w="660" w:type="dxa"/>
            <w:tcBorders>
              <w:top w:val="nil"/>
              <w:bottom w:val="nil"/>
            </w:tcBorders>
          </w:tcPr>
          <w:p>
            <w:pPr>
              <w:pStyle w:val="0"/>
              <w:jc w:val="both"/>
            </w:pPr>
            <w:r>
              <w:rPr>
                <w:sz w:val="20"/>
              </w:rPr>
            </w:r>
          </w:p>
        </w:tc>
        <w:tc>
          <w:tcPr>
            <w:tcW w:w="3795" w:type="dxa"/>
            <w:tcBorders>
              <w:top w:val="nil"/>
              <w:bottom w:val="nil"/>
            </w:tcBorders>
          </w:tcPr>
          <w:p>
            <w:pPr>
              <w:pStyle w:val="0"/>
            </w:pPr>
            <w:r>
              <w:rPr>
                <w:sz w:val="20"/>
              </w:rPr>
              <w:t xml:space="preserve">а) технологически связанных (поставщики сырья, потребители продукции)</w:t>
            </w:r>
          </w:p>
        </w:tc>
        <w:tc>
          <w:tcPr>
            <w:tcW w:w="2805" w:type="dxa"/>
            <w:tcBorders>
              <w:top w:val="nil"/>
              <w:bottom w:val="nil"/>
            </w:tcBorders>
          </w:tcPr>
          <w:p>
            <w:pPr>
              <w:pStyle w:val="0"/>
              <w:jc w:val="center"/>
            </w:pPr>
            <w:r>
              <w:rPr>
                <w:sz w:val="20"/>
              </w:rPr>
              <w:t xml:space="preserve">100</w:t>
            </w:r>
          </w:p>
        </w:tc>
        <w:tc>
          <w:tcPr>
            <w:tcW w:w="1815" w:type="dxa"/>
            <w:tcBorders>
              <w:top w:val="nil"/>
              <w:bottom w:val="nil"/>
            </w:tcBorders>
          </w:tcPr>
          <w:p>
            <w:pPr>
              <w:pStyle w:val="0"/>
              <w:jc w:val="center"/>
            </w:pPr>
            <w:r>
              <w:rPr>
                <w:sz w:val="20"/>
              </w:rPr>
              <w:t xml:space="preserve">100</w:t>
            </w:r>
          </w:p>
        </w:tc>
        <w:tc>
          <w:tcPr>
            <w:tcW w:w="3135" w:type="dxa"/>
            <w:tcBorders>
              <w:top w:val="nil"/>
              <w:bottom w:val="nil"/>
            </w:tcBorders>
          </w:tcPr>
          <w:p>
            <w:pPr>
              <w:pStyle w:val="0"/>
              <w:jc w:val="center"/>
            </w:pPr>
            <w:r>
              <w:rPr>
                <w:sz w:val="20"/>
              </w:rPr>
              <w:t xml:space="preserve">100</w:t>
            </w:r>
          </w:p>
        </w:tc>
      </w:tr>
      <w:tr>
        <w:tblPrEx>
          <w:tblBorders>
            <w:insideH w:val="nil"/>
          </w:tblBorders>
        </w:tblPrEx>
        <w:tc>
          <w:tcPr>
            <w:tcW w:w="660" w:type="dxa"/>
            <w:tcBorders>
              <w:top w:val="nil"/>
            </w:tcBorders>
          </w:tcPr>
          <w:p>
            <w:pPr>
              <w:pStyle w:val="0"/>
              <w:jc w:val="both"/>
            </w:pPr>
            <w:r>
              <w:rPr>
                <w:sz w:val="20"/>
              </w:rPr>
            </w:r>
          </w:p>
        </w:tc>
        <w:tc>
          <w:tcPr>
            <w:tcW w:w="3795" w:type="dxa"/>
            <w:tcBorders>
              <w:top w:val="nil"/>
            </w:tcBorders>
          </w:tcPr>
          <w:p>
            <w:pPr>
              <w:pStyle w:val="0"/>
            </w:pPr>
            <w:r>
              <w:rPr>
                <w:sz w:val="20"/>
              </w:rPr>
              <w:t xml:space="preserve">б) технологически не связанных</w:t>
            </w:r>
          </w:p>
        </w:tc>
        <w:tc>
          <w:tcPr>
            <w:tcW w:w="2805" w:type="dxa"/>
            <w:tcBorders>
              <w:top w:val="nil"/>
            </w:tcBorders>
          </w:tcPr>
          <w:p>
            <w:pPr>
              <w:pStyle w:val="0"/>
              <w:jc w:val="center"/>
            </w:pPr>
            <w:r>
              <w:rPr>
                <w:sz w:val="20"/>
              </w:rPr>
              <w:t xml:space="preserve">200</w:t>
            </w:r>
          </w:p>
        </w:tc>
        <w:tc>
          <w:tcPr>
            <w:tcW w:w="1815" w:type="dxa"/>
            <w:tcBorders>
              <w:top w:val="nil"/>
            </w:tcBorders>
          </w:tcPr>
          <w:p>
            <w:pPr>
              <w:pStyle w:val="0"/>
              <w:jc w:val="center"/>
            </w:pPr>
            <w:r>
              <w:rPr>
                <w:sz w:val="20"/>
              </w:rPr>
              <w:t xml:space="preserve">200</w:t>
            </w:r>
          </w:p>
        </w:tc>
        <w:tc>
          <w:tcPr>
            <w:tcW w:w="3135" w:type="dxa"/>
            <w:tcBorders>
              <w:top w:val="nil"/>
            </w:tcBorders>
          </w:tcPr>
          <w:p>
            <w:pPr>
              <w:pStyle w:val="0"/>
              <w:jc w:val="center"/>
            </w:pPr>
            <w:r>
              <w:rPr>
                <w:sz w:val="20"/>
              </w:rPr>
              <w:t xml:space="preserve">200</w:t>
            </w:r>
          </w:p>
        </w:tc>
      </w:tr>
      <w:tr>
        <w:tc>
          <w:tcPr>
            <w:tcW w:w="660" w:type="dxa"/>
          </w:tcPr>
          <w:p>
            <w:pPr>
              <w:pStyle w:val="0"/>
              <w:jc w:val="center"/>
            </w:pPr>
            <w:r>
              <w:rPr>
                <w:sz w:val="20"/>
              </w:rPr>
              <w:t xml:space="preserve">8</w:t>
            </w:r>
          </w:p>
        </w:tc>
        <w:tc>
          <w:tcPr>
            <w:tcW w:w="3795" w:type="dxa"/>
          </w:tcPr>
          <w:p>
            <w:pPr>
              <w:pStyle w:val="0"/>
            </w:pPr>
            <w:r>
              <w:rPr>
                <w:sz w:val="20"/>
              </w:rPr>
              <w:t xml:space="preserve">ТЭЦ предприятия</w:t>
            </w:r>
          </w:p>
        </w:tc>
        <w:tc>
          <w:tcPr>
            <w:tcW w:w="2805" w:type="dxa"/>
          </w:tcPr>
          <w:p>
            <w:pPr>
              <w:pStyle w:val="0"/>
              <w:jc w:val="center"/>
            </w:pPr>
            <w:r>
              <w:rPr>
                <w:sz w:val="20"/>
              </w:rPr>
              <w:t xml:space="preserve">100</w:t>
            </w:r>
          </w:p>
        </w:tc>
        <w:tc>
          <w:tcPr>
            <w:tcW w:w="1815" w:type="dxa"/>
          </w:tcPr>
          <w:p>
            <w:pPr>
              <w:pStyle w:val="0"/>
              <w:jc w:val="center"/>
            </w:pPr>
            <w:r>
              <w:rPr>
                <w:sz w:val="20"/>
              </w:rPr>
              <w:t xml:space="preserve">100</w:t>
            </w:r>
          </w:p>
        </w:tc>
        <w:tc>
          <w:tcPr>
            <w:tcW w:w="3135" w:type="dxa"/>
          </w:tcPr>
          <w:p>
            <w:pPr>
              <w:pStyle w:val="0"/>
              <w:jc w:val="center"/>
            </w:pPr>
            <w:r>
              <w:rPr>
                <w:sz w:val="20"/>
              </w:rPr>
              <w:t xml:space="preserve">100</w:t>
            </w:r>
          </w:p>
        </w:tc>
      </w:tr>
      <w:tr>
        <w:tc>
          <w:tcPr>
            <w:tcW w:w="660" w:type="dxa"/>
          </w:tcPr>
          <w:p>
            <w:pPr>
              <w:pStyle w:val="0"/>
              <w:jc w:val="center"/>
            </w:pPr>
            <w:r>
              <w:rPr>
                <w:sz w:val="20"/>
              </w:rPr>
              <w:t xml:space="preserve">9</w:t>
            </w:r>
          </w:p>
        </w:tc>
        <w:tc>
          <w:tcPr>
            <w:tcW w:w="3795" w:type="dxa"/>
          </w:tcPr>
          <w:p>
            <w:pPr>
              <w:pStyle w:val="0"/>
            </w:pPr>
            <w:r>
              <w:rPr>
                <w:sz w:val="20"/>
              </w:rPr>
              <w:t xml:space="preserve">Печи для сжигания сбрасываемых газов и отходов производства</w:t>
            </w:r>
          </w:p>
        </w:tc>
        <w:tc>
          <w:tcPr>
            <w:tcW w:w="2805" w:type="dxa"/>
          </w:tcPr>
          <w:p>
            <w:pPr>
              <w:pStyle w:val="0"/>
              <w:jc w:val="center"/>
            </w:pPr>
            <w:r>
              <w:rPr>
                <w:sz w:val="20"/>
              </w:rPr>
              <w:t xml:space="preserve">40</w:t>
            </w:r>
          </w:p>
        </w:tc>
        <w:tc>
          <w:tcPr>
            <w:tcW w:w="1815" w:type="dxa"/>
          </w:tcPr>
          <w:p>
            <w:pPr>
              <w:pStyle w:val="0"/>
              <w:jc w:val="center"/>
            </w:pPr>
            <w:r>
              <w:rPr>
                <w:sz w:val="20"/>
              </w:rPr>
              <w:t xml:space="preserve">40</w:t>
            </w:r>
          </w:p>
        </w:tc>
        <w:tc>
          <w:tcPr>
            <w:tcW w:w="3135" w:type="dxa"/>
          </w:tcPr>
          <w:p>
            <w:pPr>
              <w:pStyle w:val="0"/>
              <w:jc w:val="center"/>
            </w:pPr>
            <w:r>
              <w:rPr>
                <w:sz w:val="20"/>
              </w:rPr>
              <w:t xml:space="preserve">50</w:t>
            </w:r>
          </w:p>
        </w:tc>
      </w:tr>
      <w:tr>
        <w:tc>
          <w:tcPr>
            <w:tcW w:w="660" w:type="dxa"/>
          </w:tcPr>
          <w:p>
            <w:pPr>
              <w:pStyle w:val="0"/>
            </w:pPr>
            <w:r>
              <w:rPr>
                <w:sz w:val="20"/>
              </w:rPr>
              <w:t xml:space="preserve">10</w:t>
            </w:r>
          </w:p>
        </w:tc>
        <w:tc>
          <w:tcPr>
            <w:tcW w:w="3795" w:type="dxa"/>
          </w:tcPr>
          <w:p>
            <w:pPr>
              <w:pStyle w:val="0"/>
              <w:jc w:val="both"/>
            </w:pPr>
            <w:r>
              <w:rPr>
                <w:sz w:val="20"/>
              </w:rPr>
              <w:t xml:space="preserve">Здания пожарных депо и газоспасательных служб</w:t>
            </w:r>
          </w:p>
        </w:tc>
        <w:tc>
          <w:tcPr>
            <w:tcW w:w="2805" w:type="dxa"/>
          </w:tcPr>
          <w:p>
            <w:pPr>
              <w:pStyle w:val="0"/>
              <w:jc w:val="center"/>
            </w:pPr>
            <w:r>
              <w:rPr>
                <w:sz w:val="20"/>
              </w:rPr>
              <w:t xml:space="preserve">80</w:t>
            </w:r>
          </w:p>
        </w:tc>
        <w:tc>
          <w:tcPr>
            <w:tcW w:w="1815" w:type="dxa"/>
          </w:tcPr>
          <w:p>
            <w:pPr>
              <w:pStyle w:val="0"/>
              <w:jc w:val="center"/>
            </w:pPr>
            <w:r>
              <w:rPr>
                <w:sz w:val="20"/>
              </w:rPr>
              <w:t xml:space="preserve">80</w:t>
            </w:r>
          </w:p>
        </w:tc>
        <w:tc>
          <w:tcPr>
            <w:tcW w:w="3135" w:type="dxa"/>
          </w:tcPr>
          <w:p>
            <w:pPr>
              <w:pStyle w:val="0"/>
              <w:jc w:val="center"/>
            </w:pPr>
            <w:r>
              <w:rPr>
                <w:sz w:val="20"/>
              </w:rPr>
              <w:t xml:space="preserve">100</w:t>
            </w:r>
          </w:p>
        </w:tc>
      </w:tr>
      <w:tr>
        <w:tc>
          <w:tcPr>
            <w:tcW w:w="660" w:type="dxa"/>
          </w:tcPr>
          <w:p>
            <w:pPr>
              <w:pStyle w:val="0"/>
            </w:pPr>
            <w:r>
              <w:rPr>
                <w:sz w:val="20"/>
              </w:rPr>
              <w:t xml:space="preserve">11</w:t>
            </w:r>
          </w:p>
        </w:tc>
        <w:tc>
          <w:tcPr>
            <w:tcW w:w="3795" w:type="dxa"/>
          </w:tcPr>
          <w:p>
            <w:pPr>
              <w:pStyle w:val="0"/>
              <w:jc w:val="both"/>
            </w:pPr>
            <w:r>
              <w:rPr>
                <w:sz w:val="20"/>
              </w:rPr>
              <w:t xml:space="preserve">Здания пожарных постов</w:t>
            </w:r>
          </w:p>
        </w:tc>
        <w:tc>
          <w:tcPr>
            <w:tcW w:w="2805" w:type="dxa"/>
          </w:tcPr>
          <w:p>
            <w:pPr>
              <w:pStyle w:val="0"/>
              <w:jc w:val="center"/>
            </w:pPr>
            <w:r>
              <w:rPr>
                <w:sz w:val="20"/>
              </w:rPr>
              <w:t xml:space="preserve">50</w:t>
            </w:r>
          </w:p>
        </w:tc>
        <w:tc>
          <w:tcPr>
            <w:tcW w:w="1815" w:type="dxa"/>
          </w:tcPr>
          <w:p>
            <w:pPr>
              <w:pStyle w:val="0"/>
              <w:jc w:val="center"/>
            </w:pPr>
            <w:r>
              <w:rPr>
                <w:sz w:val="20"/>
              </w:rPr>
              <w:t xml:space="preserve">50</w:t>
            </w:r>
          </w:p>
        </w:tc>
        <w:tc>
          <w:tcPr>
            <w:tcW w:w="3135" w:type="dxa"/>
          </w:tcPr>
          <w:p>
            <w:pPr>
              <w:pStyle w:val="0"/>
              <w:jc w:val="center"/>
            </w:pPr>
            <w:r>
              <w:rPr>
                <w:sz w:val="20"/>
              </w:rPr>
              <w:t xml:space="preserve">100</w:t>
            </w:r>
          </w:p>
        </w:tc>
      </w:tr>
      <w:tr>
        <w:tc>
          <w:tcPr>
            <w:tcW w:w="660" w:type="dxa"/>
          </w:tcPr>
          <w:p>
            <w:pPr>
              <w:pStyle w:val="0"/>
            </w:pPr>
            <w:r>
              <w:rPr>
                <w:sz w:val="20"/>
              </w:rPr>
              <w:t xml:space="preserve">12</w:t>
            </w:r>
          </w:p>
        </w:tc>
        <w:tc>
          <w:tcPr>
            <w:tcW w:w="3795" w:type="dxa"/>
          </w:tcPr>
          <w:p>
            <w:pPr>
              <w:pStyle w:val="0"/>
            </w:pPr>
            <w:r>
              <w:rPr>
                <w:sz w:val="20"/>
              </w:rPr>
              <w:t xml:space="preserve">Сырьевые и товарные склады (парки) легковоспламеняющихся и горючих жидкостей</w:t>
            </w:r>
          </w:p>
        </w:tc>
        <w:tc>
          <w:tcPr>
            <w:tcW w:w="2805" w:type="dxa"/>
          </w:tcPr>
          <w:p>
            <w:pPr>
              <w:pStyle w:val="0"/>
              <w:jc w:val="center"/>
            </w:pPr>
            <w:r>
              <w:rPr>
                <w:sz w:val="20"/>
              </w:rPr>
              <w:t xml:space="preserve">100</w:t>
            </w:r>
          </w:p>
        </w:tc>
        <w:tc>
          <w:tcPr>
            <w:tcW w:w="1815" w:type="dxa"/>
          </w:tcPr>
          <w:p>
            <w:pPr>
              <w:pStyle w:val="0"/>
              <w:jc w:val="center"/>
            </w:pPr>
            <w:r>
              <w:rPr>
                <w:sz w:val="20"/>
              </w:rPr>
              <w:t xml:space="preserve">100</w:t>
            </w:r>
          </w:p>
        </w:tc>
        <w:tc>
          <w:tcPr>
            <w:tcW w:w="3135" w:type="dxa"/>
          </w:tcPr>
          <w:p>
            <w:pPr>
              <w:pStyle w:val="0"/>
              <w:jc w:val="center"/>
            </w:pPr>
            <w:r>
              <w:rPr>
                <w:sz w:val="20"/>
              </w:rPr>
              <w:t xml:space="preserve">100</w:t>
            </w:r>
          </w:p>
        </w:tc>
      </w:tr>
      <w:tr>
        <w:tc>
          <w:tcPr>
            <w:tcW w:w="660" w:type="dxa"/>
          </w:tcPr>
          <w:p>
            <w:pPr>
              <w:pStyle w:val="0"/>
            </w:pPr>
            <w:r>
              <w:rPr>
                <w:sz w:val="20"/>
              </w:rPr>
              <w:t xml:space="preserve">13</w:t>
            </w:r>
          </w:p>
        </w:tc>
        <w:tc>
          <w:tcPr>
            <w:tcW w:w="3795" w:type="dxa"/>
          </w:tcPr>
          <w:p>
            <w:pPr>
              <w:pStyle w:val="0"/>
            </w:pPr>
            <w:r>
              <w:rPr>
                <w:sz w:val="20"/>
              </w:rPr>
              <w:t xml:space="preserve">Промежуточные склады (парки) легковоспламеняющихся и горючих жидкостей, сжиженных газов</w:t>
            </w:r>
          </w:p>
        </w:tc>
        <w:tc>
          <w:tcPr>
            <w:tcW w:w="2805" w:type="dxa"/>
          </w:tcPr>
          <w:p>
            <w:pPr>
              <w:pStyle w:val="0"/>
              <w:jc w:val="center"/>
            </w:pPr>
            <w:r>
              <w:rPr>
                <w:sz w:val="20"/>
              </w:rPr>
              <w:t xml:space="preserve">40</w:t>
            </w:r>
          </w:p>
        </w:tc>
        <w:tc>
          <w:tcPr>
            <w:tcW w:w="1815" w:type="dxa"/>
          </w:tcPr>
          <w:p>
            <w:pPr>
              <w:pStyle w:val="0"/>
              <w:jc w:val="center"/>
            </w:pPr>
            <w:r>
              <w:rPr>
                <w:sz w:val="20"/>
              </w:rPr>
              <w:t xml:space="preserve">40</w:t>
            </w:r>
          </w:p>
        </w:tc>
        <w:tc>
          <w:tcPr>
            <w:tcW w:w="3135" w:type="dxa"/>
          </w:tcPr>
          <w:p>
            <w:pPr>
              <w:pStyle w:val="0"/>
              <w:jc w:val="center"/>
            </w:pPr>
            <w:r>
              <w:rPr>
                <w:sz w:val="20"/>
              </w:rPr>
              <w:t xml:space="preserve">50</w:t>
            </w:r>
          </w:p>
        </w:tc>
      </w:tr>
      <w:tr>
        <w:tblPrEx>
          <w:tblBorders>
            <w:insideH w:val="nil"/>
          </w:tblBorders>
        </w:tblPrEx>
        <w:tc>
          <w:tcPr>
            <w:tcW w:w="660" w:type="dxa"/>
            <w:tcBorders>
              <w:bottom w:val="nil"/>
            </w:tcBorders>
          </w:tcPr>
          <w:p>
            <w:pPr>
              <w:pStyle w:val="0"/>
            </w:pPr>
            <w:r>
              <w:rPr>
                <w:sz w:val="20"/>
              </w:rPr>
              <w:t xml:space="preserve">14</w:t>
            </w:r>
          </w:p>
        </w:tc>
        <w:tc>
          <w:tcPr>
            <w:tcW w:w="3795" w:type="dxa"/>
            <w:tcBorders>
              <w:bottom w:val="nil"/>
            </w:tcBorders>
          </w:tcPr>
          <w:p>
            <w:pPr>
              <w:pStyle w:val="0"/>
            </w:pPr>
            <w:r>
              <w:rPr>
                <w:sz w:val="20"/>
              </w:rPr>
              <w:t xml:space="preserve">Открытый склад комовой серы емкостью</w:t>
            </w:r>
          </w:p>
        </w:tc>
        <w:tc>
          <w:tcPr>
            <w:tcW w:w="2805" w:type="dxa"/>
            <w:tcBorders>
              <w:bottom w:val="nil"/>
            </w:tcBorders>
          </w:tcPr>
          <w:p>
            <w:pPr>
              <w:pStyle w:val="0"/>
              <w:jc w:val="both"/>
            </w:pPr>
            <w:r>
              <w:rPr>
                <w:sz w:val="20"/>
              </w:rPr>
            </w:r>
          </w:p>
        </w:tc>
        <w:tc>
          <w:tcPr>
            <w:tcW w:w="1815" w:type="dxa"/>
            <w:tcBorders>
              <w:bottom w:val="nil"/>
            </w:tcBorders>
          </w:tcPr>
          <w:p>
            <w:pPr>
              <w:pStyle w:val="0"/>
              <w:jc w:val="both"/>
            </w:pPr>
            <w:r>
              <w:rPr>
                <w:sz w:val="20"/>
              </w:rPr>
            </w:r>
          </w:p>
        </w:tc>
        <w:tc>
          <w:tcPr>
            <w:tcW w:w="3135" w:type="dxa"/>
            <w:tcBorders>
              <w:bottom w:val="nil"/>
            </w:tcBorders>
          </w:tcPr>
          <w:p>
            <w:pPr>
              <w:pStyle w:val="0"/>
              <w:jc w:val="both"/>
            </w:pPr>
            <w:r>
              <w:rPr>
                <w:sz w:val="20"/>
              </w:rPr>
            </w:r>
          </w:p>
        </w:tc>
      </w:tr>
      <w:tr>
        <w:tblPrEx>
          <w:tblBorders>
            <w:insideH w:val="nil"/>
          </w:tblBorders>
        </w:tblPrEx>
        <w:tc>
          <w:tcPr>
            <w:tcW w:w="660" w:type="dxa"/>
            <w:tcBorders>
              <w:top w:val="nil"/>
              <w:bottom w:val="nil"/>
            </w:tcBorders>
          </w:tcPr>
          <w:p>
            <w:pPr>
              <w:pStyle w:val="0"/>
              <w:jc w:val="both"/>
            </w:pPr>
            <w:r>
              <w:rPr>
                <w:sz w:val="20"/>
              </w:rPr>
            </w:r>
          </w:p>
        </w:tc>
        <w:tc>
          <w:tcPr>
            <w:tcW w:w="3795" w:type="dxa"/>
            <w:tcBorders>
              <w:top w:val="nil"/>
              <w:bottom w:val="nil"/>
            </w:tcBorders>
          </w:tcPr>
          <w:p>
            <w:pPr>
              <w:pStyle w:val="0"/>
            </w:pPr>
            <w:r>
              <w:rPr>
                <w:sz w:val="20"/>
              </w:rPr>
              <w:t xml:space="preserve">до 1000 т</w:t>
            </w:r>
          </w:p>
        </w:tc>
        <w:tc>
          <w:tcPr>
            <w:tcW w:w="2805" w:type="dxa"/>
            <w:tcBorders>
              <w:top w:val="nil"/>
              <w:bottom w:val="nil"/>
            </w:tcBorders>
          </w:tcPr>
          <w:p>
            <w:pPr>
              <w:pStyle w:val="0"/>
              <w:jc w:val="center"/>
            </w:pPr>
            <w:r>
              <w:rPr>
                <w:sz w:val="20"/>
              </w:rPr>
              <w:t xml:space="preserve">10</w:t>
            </w:r>
          </w:p>
        </w:tc>
        <w:tc>
          <w:tcPr>
            <w:tcW w:w="1815" w:type="dxa"/>
            <w:tcBorders>
              <w:top w:val="nil"/>
              <w:bottom w:val="nil"/>
            </w:tcBorders>
          </w:tcPr>
          <w:p>
            <w:pPr>
              <w:pStyle w:val="0"/>
              <w:jc w:val="center"/>
            </w:pPr>
            <w:r>
              <w:rPr>
                <w:sz w:val="20"/>
              </w:rPr>
              <w:t xml:space="preserve">-</w:t>
            </w:r>
          </w:p>
        </w:tc>
        <w:tc>
          <w:tcPr>
            <w:tcW w:w="3135" w:type="dxa"/>
            <w:tcBorders>
              <w:top w:val="nil"/>
              <w:bottom w:val="nil"/>
            </w:tcBorders>
          </w:tcPr>
          <w:p>
            <w:pPr>
              <w:pStyle w:val="0"/>
              <w:jc w:val="center"/>
            </w:pPr>
            <w:r>
              <w:rPr>
                <w:sz w:val="20"/>
              </w:rPr>
              <w:t xml:space="preserve">-</w:t>
            </w:r>
          </w:p>
        </w:tc>
      </w:tr>
      <w:tr>
        <w:tblPrEx>
          <w:tblBorders>
            <w:insideH w:val="nil"/>
          </w:tblBorders>
        </w:tblPrEx>
        <w:tc>
          <w:tcPr>
            <w:tcW w:w="660" w:type="dxa"/>
            <w:tcBorders>
              <w:top w:val="nil"/>
              <w:bottom w:val="nil"/>
            </w:tcBorders>
          </w:tcPr>
          <w:p>
            <w:pPr>
              <w:pStyle w:val="0"/>
              <w:jc w:val="both"/>
            </w:pPr>
            <w:r>
              <w:rPr>
                <w:sz w:val="20"/>
              </w:rPr>
            </w:r>
          </w:p>
        </w:tc>
        <w:tc>
          <w:tcPr>
            <w:tcW w:w="3795" w:type="dxa"/>
            <w:tcBorders>
              <w:top w:val="nil"/>
              <w:bottom w:val="nil"/>
            </w:tcBorders>
          </w:tcPr>
          <w:p>
            <w:pPr>
              <w:pStyle w:val="0"/>
            </w:pPr>
            <w:r>
              <w:rPr>
                <w:sz w:val="20"/>
              </w:rPr>
              <w:t xml:space="preserve">до 4000 т</w:t>
            </w:r>
          </w:p>
        </w:tc>
        <w:tc>
          <w:tcPr>
            <w:tcW w:w="2805" w:type="dxa"/>
            <w:tcBorders>
              <w:top w:val="nil"/>
              <w:bottom w:val="nil"/>
            </w:tcBorders>
          </w:tcPr>
          <w:p>
            <w:pPr>
              <w:pStyle w:val="0"/>
              <w:jc w:val="center"/>
            </w:pPr>
            <w:r>
              <w:rPr>
                <w:sz w:val="20"/>
              </w:rPr>
              <w:t xml:space="preserve">15</w:t>
            </w:r>
          </w:p>
        </w:tc>
        <w:tc>
          <w:tcPr>
            <w:tcW w:w="1815" w:type="dxa"/>
            <w:tcBorders>
              <w:top w:val="nil"/>
              <w:bottom w:val="nil"/>
            </w:tcBorders>
          </w:tcPr>
          <w:p>
            <w:pPr>
              <w:pStyle w:val="0"/>
              <w:jc w:val="center"/>
            </w:pPr>
            <w:r>
              <w:rPr>
                <w:sz w:val="20"/>
              </w:rPr>
              <w:t xml:space="preserve">-</w:t>
            </w:r>
          </w:p>
        </w:tc>
        <w:tc>
          <w:tcPr>
            <w:tcW w:w="3135" w:type="dxa"/>
            <w:tcBorders>
              <w:top w:val="nil"/>
              <w:bottom w:val="nil"/>
            </w:tcBorders>
          </w:tcPr>
          <w:p>
            <w:pPr>
              <w:pStyle w:val="0"/>
              <w:jc w:val="center"/>
            </w:pPr>
            <w:r>
              <w:rPr>
                <w:sz w:val="20"/>
              </w:rPr>
              <w:t xml:space="preserve">-</w:t>
            </w:r>
          </w:p>
        </w:tc>
      </w:tr>
      <w:tr>
        <w:tblPrEx>
          <w:tblBorders>
            <w:insideH w:val="nil"/>
          </w:tblBorders>
        </w:tblPrEx>
        <w:tc>
          <w:tcPr>
            <w:tcW w:w="660" w:type="dxa"/>
            <w:tcBorders>
              <w:top w:val="nil"/>
            </w:tcBorders>
          </w:tcPr>
          <w:p>
            <w:pPr>
              <w:pStyle w:val="0"/>
              <w:jc w:val="both"/>
            </w:pPr>
            <w:r>
              <w:rPr>
                <w:sz w:val="20"/>
              </w:rPr>
            </w:r>
          </w:p>
        </w:tc>
        <w:tc>
          <w:tcPr>
            <w:tcW w:w="3795" w:type="dxa"/>
            <w:tcBorders>
              <w:top w:val="nil"/>
            </w:tcBorders>
          </w:tcPr>
          <w:p>
            <w:pPr>
              <w:pStyle w:val="0"/>
            </w:pPr>
            <w:r>
              <w:rPr>
                <w:sz w:val="20"/>
              </w:rPr>
              <w:t xml:space="preserve">до 10000 т</w:t>
            </w:r>
          </w:p>
        </w:tc>
        <w:tc>
          <w:tcPr>
            <w:tcW w:w="2805" w:type="dxa"/>
            <w:tcBorders>
              <w:top w:val="nil"/>
            </w:tcBorders>
          </w:tcPr>
          <w:p>
            <w:pPr>
              <w:pStyle w:val="0"/>
              <w:jc w:val="center"/>
            </w:pPr>
            <w:r>
              <w:rPr>
                <w:sz w:val="20"/>
              </w:rPr>
              <w:t xml:space="preserve">25</w:t>
            </w:r>
          </w:p>
        </w:tc>
        <w:tc>
          <w:tcPr>
            <w:tcW w:w="1815" w:type="dxa"/>
            <w:tcBorders>
              <w:top w:val="nil"/>
            </w:tcBorders>
          </w:tcPr>
          <w:p>
            <w:pPr>
              <w:pStyle w:val="0"/>
              <w:jc w:val="center"/>
            </w:pPr>
            <w:r>
              <w:rPr>
                <w:sz w:val="20"/>
              </w:rPr>
              <w:t xml:space="preserve">-</w:t>
            </w:r>
          </w:p>
        </w:tc>
        <w:tc>
          <w:tcPr>
            <w:tcW w:w="3135" w:type="dxa"/>
            <w:tcBorders>
              <w:top w:val="nil"/>
            </w:tcBorders>
          </w:tcPr>
          <w:p>
            <w:pPr>
              <w:pStyle w:val="0"/>
              <w:jc w:val="center"/>
            </w:pPr>
            <w:r>
              <w:rPr>
                <w:sz w:val="20"/>
              </w:rPr>
              <w:t xml:space="preserve">-</w:t>
            </w:r>
          </w:p>
        </w:tc>
      </w:tr>
      <w:tr>
        <w:tc>
          <w:tcPr>
            <w:tcW w:w="660" w:type="dxa"/>
          </w:tcPr>
          <w:p>
            <w:pPr>
              <w:pStyle w:val="0"/>
            </w:pPr>
            <w:r>
              <w:rPr>
                <w:sz w:val="20"/>
              </w:rPr>
              <w:t xml:space="preserve">15</w:t>
            </w:r>
          </w:p>
        </w:tc>
        <w:tc>
          <w:tcPr>
            <w:tcW w:w="3795" w:type="dxa"/>
          </w:tcPr>
          <w:p>
            <w:pPr>
              <w:pStyle w:val="0"/>
            </w:pPr>
            <w:r>
              <w:rPr>
                <w:sz w:val="20"/>
              </w:rPr>
              <w:t xml:space="preserve">Открытые нефтеловушки и нефтеотделители</w:t>
            </w:r>
          </w:p>
        </w:tc>
        <w:tc>
          <w:tcPr>
            <w:tcW w:w="2805" w:type="dxa"/>
          </w:tcPr>
          <w:p>
            <w:pPr>
              <w:pStyle w:val="0"/>
              <w:jc w:val="center"/>
            </w:pPr>
            <w:r>
              <w:rPr>
                <w:sz w:val="20"/>
              </w:rPr>
              <w:t xml:space="preserve">30</w:t>
            </w:r>
          </w:p>
        </w:tc>
        <w:tc>
          <w:tcPr>
            <w:tcW w:w="1815" w:type="dxa"/>
          </w:tcPr>
          <w:p>
            <w:pPr>
              <w:pStyle w:val="0"/>
              <w:jc w:val="center"/>
            </w:pPr>
            <w:r>
              <w:rPr>
                <w:sz w:val="20"/>
              </w:rPr>
              <w:t xml:space="preserve">30</w:t>
            </w:r>
          </w:p>
        </w:tc>
        <w:tc>
          <w:tcPr>
            <w:tcW w:w="3135" w:type="dxa"/>
          </w:tcPr>
          <w:p>
            <w:pPr>
              <w:pStyle w:val="0"/>
              <w:jc w:val="center"/>
            </w:pPr>
            <w:r>
              <w:rPr>
                <w:sz w:val="20"/>
              </w:rPr>
              <w:t xml:space="preserve">100</w:t>
            </w:r>
          </w:p>
        </w:tc>
      </w:tr>
      <w:tr>
        <w:tc>
          <w:tcPr>
            <w:tcW w:w="660" w:type="dxa"/>
            <w:vMerge w:val="restart"/>
          </w:tcPr>
          <w:p>
            <w:pPr>
              <w:pStyle w:val="0"/>
            </w:pPr>
            <w:r>
              <w:rPr>
                <w:sz w:val="20"/>
              </w:rPr>
              <w:t xml:space="preserve">16</w:t>
            </w:r>
          </w:p>
        </w:tc>
        <w:tc>
          <w:tcPr>
            <w:tcW w:w="3795" w:type="dxa"/>
            <w:vMerge w:val="restart"/>
          </w:tcPr>
          <w:p>
            <w:pPr>
              <w:pStyle w:val="0"/>
            </w:pPr>
            <w:r>
              <w:rPr>
                <w:sz w:val="20"/>
              </w:rPr>
              <w:t xml:space="preserve">Закрытые нефтеловушки емкостью</w:t>
            </w:r>
          </w:p>
          <w:p>
            <w:pPr>
              <w:pStyle w:val="0"/>
            </w:pPr>
            <w:r>
              <w:rPr>
                <w:sz w:val="20"/>
              </w:rPr>
              <w:t xml:space="preserve">до 100 м</w:t>
            </w:r>
            <w:r>
              <w:rPr>
                <w:sz w:val="20"/>
                <w:vertAlign w:val="superscript"/>
              </w:rPr>
              <w:t xml:space="preserve">3</w:t>
            </w:r>
          </w:p>
          <w:p>
            <w:pPr>
              <w:pStyle w:val="0"/>
            </w:pPr>
            <w:r>
              <w:rPr>
                <w:sz w:val="20"/>
              </w:rPr>
            </w:r>
          </w:p>
          <w:p>
            <w:pPr>
              <w:pStyle w:val="0"/>
            </w:pPr>
            <w:r>
              <w:rPr>
                <w:sz w:val="20"/>
              </w:rPr>
              <w:t xml:space="preserve">до 50 м</w:t>
            </w:r>
            <w:r>
              <w:rPr>
                <w:sz w:val="20"/>
                <w:vertAlign w:val="superscript"/>
              </w:rPr>
              <w:t xml:space="preserve">3</w:t>
            </w:r>
          </w:p>
        </w:tc>
        <w:tc>
          <w:tcPr>
            <w:tcW w:w="2805" w:type="dxa"/>
            <w:vAlign w:val="bottom"/>
            <w:vMerge w:val="restart"/>
          </w:tcPr>
          <w:p>
            <w:pPr>
              <w:pStyle w:val="0"/>
              <w:jc w:val="center"/>
            </w:pPr>
            <w:r>
              <w:rPr>
                <w:sz w:val="20"/>
              </w:rPr>
              <w:t xml:space="preserve">15</w:t>
            </w:r>
          </w:p>
          <w:p>
            <w:pPr>
              <w:pStyle w:val="0"/>
              <w:jc w:val="center"/>
            </w:pPr>
            <w:r>
              <w:rPr>
                <w:sz w:val="20"/>
              </w:rPr>
            </w:r>
          </w:p>
          <w:p>
            <w:pPr>
              <w:pStyle w:val="0"/>
              <w:jc w:val="center"/>
            </w:pPr>
            <w:r>
              <w:rPr>
                <w:sz w:val="20"/>
              </w:rPr>
              <w:t xml:space="preserve">8</w:t>
            </w:r>
          </w:p>
        </w:tc>
        <w:tc>
          <w:tcPr>
            <w:tcW w:w="1815" w:type="dxa"/>
          </w:tcPr>
          <w:p>
            <w:pPr>
              <w:pStyle w:val="0"/>
              <w:jc w:val="both"/>
            </w:pPr>
            <w:r>
              <w:rPr>
                <w:sz w:val="20"/>
              </w:rPr>
            </w:r>
          </w:p>
        </w:tc>
        <w:tc>
          <w:tcPr>
            <w:tcW w:w="3135" w:type="dxa"/>
            <w:vAlign w:val="bottom"/>
            <w:vMerge w:val="restart"/>
          </w:tcPr>
          <w:p>
            <w:pPr>
              <w:pStyle w:val="0"/>
              <w:jc w:val="center"/>
            </w:pPr>
            <w:r>
              <w:rPr>
                <w:sz w:val="20"/>
              </w:rPr>
              <w:t xml:space="preserve">75</w:t>
            </w:r>
          </w:p>
          <w:p>
            <w:pPr>
              <w:pStyle w:val="0"/>
              <w:jc w:val="center"/>
            </w:pPr>
            <w:r>
              <w:rPr>
                <w:sz w:val="20"/>
              </w:rPr>
            </w:r>
          </w:p>
          <w:p>
            <w:pPr>
              <w:pStyle w:val="0"/>
              <w:jc w:val="center"/>
            </w:pPr>
            <w:r>
              <w:rPr>
                <w:sz w:val="20"/>
              </w:rPr>
              <w:t xml:space="preserve">75</w:t>
            </w:r>
          </w:p>
        </w:tc>
      </w:tr>
      <w:tr>
        <w:tc>
          <w:tcPr>
            <w:vMerge w:val="continue"/>
          </w:tcPr>
          <w:p/>
        </w:tc>
        <w:tc>
          <w:tcPr>
            <w:vMerge w:val="continue"/>
          </w:tcPr>
          <w:p/>
        </w:tc>
        <w:tc>
          <w:tcPr>
            <w:vMerge w:val="continue"/>
          </w:tcPr>
          <w:p/>
        </w:tc>
        <w:tc>
          <w:tcPr>
            <w:tcW w:w="1815" w:type="dxa"/>
          </w:tcPr>
          <w:p>
            <w:pPr>
              <w:pStyle w:val="0"/>
              <w:jc w:val="center"/>
            </w:pPr>
            <w:r>
              <w:rPr>
                <w:sz w:val="20"/>
              </w:rPr>
              <w:t xml:space="preserve">15</w:t>
            </w:r>
          </w:p>
        </w:tc>
        <w:tc>
          <w:tcPr>
            <w:vMerge w:val="continue"/>
          </w:tcPr>
          <w:p/>
        </w:tc>
      </w:tr>
      <w:tr>
        <w:tc>
          <w:tcPr>
            <w:vMerge w:val="continue"/>
          </w:tcPr>
          <w:p/>
        </w:tc>
        <w:tc>
          <w:tcPr>
            <w:vMerge w:val="continue"/>
          </w:tcPr>
          <w:p/>
        </w:tc>
        <w:tc>
          <w:tcPr>
            <w:vMerge w:val="continue"/>
          </w:tcPr>
          <w:p/>
        </w:tc>
        <w:tc>
          <w:tcPr>
            <w:tcW w:w="1815" w:type="dxa"/>
          </w:tcPr>
          <w:p>
            <w:pPr>
              <w:pStyle w:val="0"/>
              <w:jc w:val="center"/>
            </w:pPr>
            <w:r>
              <w:rPr>
                <w:sz w:val="20"/>
              </w:rPr>
              <w:t xml:space="preserve">8</w:t>
            </w:r>
          </w:p>
        </w:tc>
        <w:tc>
          <w:tcPr>
            <w:vMerge w:val="continue"/>
          </w:tcPr>
          <w:p/>
        </w:tc>
      </w:tr>
      <w:tr>
        <w:tc>
          <w:tcPr>
            <w:tcW w:w="660" w:type="dxa"/>
          </w:tcPr>
          <w:p>
            <w:pPr>
              <w:pStyle w:val="0"/>
            </w:pPr>
            <w:r>
              <w:rPr>
                <w:sz w:val="20"/>
              </w:rPr>
              <w:t xml:space="preserve">17</w:t>
            </w:r>
          </w:p>
        </w:tc>
        <w:tc>
          <w:tcPr>
            <w:tcW w:w="3795" w:type="dxa"/>
          </w:tcPr>
          <w:p>
            <w:pPr>
              <w:pStyle w:val="0"/>
            </w:pPr>
            <w:r>
              <w:rPr>
                <w:sz w:val="20"/>
              </w:rPr>
              <w:t xml:space="preserve">Аварийный амбар для резервуарных парков</w:t>
            </w:r>
          </w:p>
        </w:tc>
        <w:tc>
          <w:tcPr>
            <w:tcW w:w="2805" w:type="dxa"/>
          </w:tcPr>
          <w:p>
            <w:pPr>
              <w:pStyle w:val="0"/>
              <w:jc w:val="center"/>
            </w:pPr>
            <w:r>
              <w:rPr>
                <w:sz w:val="20"/>
              </w:rPr>
              <w:t xml:space="preserve">100</w:t>
            </w:r>
          </w:p>
        </w:tc>
        <w:tc>
          <w:tcPr>
            <w:tcW w:w="1815" w:type="dxa"/>
          </w:tcPr>
          <w:p>
            <w:pPr>
              <w:pStyle w:val="0"/>
              <w:jc w:val="center"/>
            </w:pPr>
            <w:r>
              <w:rPr>
                <w:sz w:val="20"/>
              </w:rPr>
              <w:t xml:space="preserve">-</w:t>
            </w:r>
          </w:p>
        </w:tc>
        <w:tc>
          <w:tcPr>
            <w:tcW w:w="3135" w:type="dxa"/>
          </w:tcPr>
          <w:p>
            <w:pPr>
              <w:pStyle w:val="0"/>
              <w:jc w:val="center"/>
            </w:pPr>
            <w:r>
              <w:rPr>
                <w:sz w:val="20"/>
              </w:rPr>
              <w:t xml:space="preserve">100</w:t>
            </w:r>
          </w:p>
        </w:tc>
      </w:tr>
    </w:tbl>
    <w:p>
      <w:pPr>
        <w:sectPr>
          <w:headerReference w:type="default" r:id="rId212"/>
          <w:headerReference w:type="first" r:id="rId212"/>
          <w:footerReference w:type="default" r:id="rId213"/>
          <w:footerReference w:type="first" r:id="rId213"/>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Под технологической установкой понимается производственный комплекс зданий, сооружений и наружных установок, расположенных на отдельной площадке предприятия и предназначенный для осуществления технологического процесса нефтеперерабатывающего производства.</w:t>
      </w:r>
    </w:p>
    <w:p>
      <w:pPr>
        <w:pStyle w:val="0"/>
        <w:spacing w:before="200" w:line-rule="auto"/>
        <w:ind w:firstLine="540"/>
        <w:jc w:val="both"/>
      </w:pPr>
      <w:r>
        <w:rPr>
          <w:sz w:val="20"/>
        </w:rPr>
        <w:t xml:space="preserve">2. Под цехом понимается аналогичный производственный комплекс в нефтехимических производствах.</w:t>
      </w:r>
    </w:p>
    <w:p>
      <w:pPr>
        <w:pStyle w:val="0"/>
        <w:ind w:firstLine="540"/>
        <w:jc w:val="both"/>
      </w:pPr>
      <w:r>
        <w:rPr>
          <w:sz w:val="20"/>
        </w:rPr>
      </w:r>
    </w:p>
    <w:p>
      <w:pPr>
        <w:pStyle w:val="0"/>
        <w:ind w:firstLine="540"/>
        <w:jc w:val="both"/>
      </w:pPr>
      <w:r>
        <w:rPr>
          <w:sz w:val="20"/>
        </w:rPr>
        <w:t xml:space="preserve">Расстояние от подземного хранилища жидкой серы до технологических установок и цехов не нормируется.</w:t>
      </w:r>
    </w:p>
    <w:p>
      <w:pPr>
        <w:pStyle w:val="0"/>
        <w:spacing w:before="200" w:line-rule="auto"/>
        <w:ind w:firstLine="540"/>
        <w:jc w:val="both"/>
      </w:pPr>
      <w:r>
        <w:rPr>
          <w:sz w:val="20"/>
        </w:rPr>
        <w:t xml:space="preserve">Расстояние до факельных установок от различных производственных объектов должно приниматься по расчету, но не менее указанных в </w:t>
      </w:r>
      <w:hyperlink w:history="0" w:anchor="P3243" w:tooltip="Таблица 40">
        <w:r>
          <w:rPr>
            <w:sz w:val="20"/>
            <w:color w:val="0000ff"/>
          </w:rPr>
          <w:t xml:space="preserve">таблице</w:t>
        </w:r>
      </w:hyperlink>
      <w:r>
        <w:rPr>
          <w:sz w:val="20"/>
        </w:rPr>
        <w:t xml:space="preserve">, за исключением случаев размещения факелов непосредственно на установках.</w:t>
      </w:r>
    </w:p>
    <w:p>
      <w:pPr>
        <w:pStyle w:val="0"/>
        <w:spacing w:before="200" w:line-rule="auto"/>
        <w:ind w:firstLine="540"/>
        <w:jc w:val="both"/>
      </w:pPr>
      <w:r>
        <w:rPr>
          <w:sz w:val="20"/>
        </w:rPr>
        <w:t xml:space="preserve">Отдельно стоящие здания управления технологическими процессами должны располагаться на расстоянии не менее 10 м от наружных установок категорий АН и БН при условии выполнения в них требований пункта 7.3.85 </w:t>
      </w:r>
      <w:hyperlink w:history="0" w:anchor="P4427" w:tooltip="[1]        ПУЭ        &quot;Правила устройства электроустановок&quot;, издание 6 и 7.">
        <w:r>
          <w:rPr>
            <w:sz w:val="20"/>
            <w:color w:val="0000ff"/>
          </w:rPr>
          <w:t xml:space="preserve">[1]</w:t>
        </w:r>
      </w:hyperlink>
      <w:r>
        <w:rPr>
          <w:sz w:val="20"/>
        </w:rPr>
        <w:t xml:space="preserve">.</w:t>
      </w:r>
    </w:p>
    <w:p>
      <w:pPr>
        <w:pStyle w:val="0"/>
        <w:spacing w:before="200" w:line-rule="auto"/>
        <w:ind w:firstLine="540"/>
        <w:jc w:val="both"/>
      </w:pPr>
      <w:r>
        <w:rPr>
          <w:sz w:val="20"/>
        </w:rPr>
        <w:t xml:space="preserve">6.10.2.13. В производственных зонах со взрывопожароопасными установками и в зонах товарно-сырьевых складов электропомещения, помещения управления технологическими процессами должны иметь отметки пола, дна кабельных каналов и приямков выше поверхности окружающей земли не менее чем на 0,15 м и иметь гарантированный подпор воздуха.</w:t>
      </w:r>
    </w:p>
    <w:p>
      <w:pPr>
        <w:pStyle w:val="0"/>
        <w:spacing w:before="200" w:line-rule="auto"/>
        <w:ind w:firstLine="540"/>
        <w:jc w:val="both"/>
      </w:pPr>
      <w:r>
        <w:rPr>
          <w:sz w:val="20"/>
        </w:rPr>
        <w:t xml:space="preserve">6.10.2.14. Лаборатории, в которых производятся работы с горючими газами, легковоспламеняющимися и горючими жидкостями, размещаемые в зданиях другого назначения, должны быть отделены от соседних помещений стеной с пределом огнестойкости не менее REI 60.</w:t>
      </w:r>
    </w:p>
    <w:p>
      <w:pPr>
        <w:pStyle w:val="0"/>
        <w:spacing w:before="200" w:line-rule="auto"/>
        <w:ind w:firstLine="540"/>
        <w:jc w:val="both"/>
      </w:pPr>
      <w:r>
        <w:rPr>
          <w:sz w:val="20"/>
        </w:rPr>
        <w:t xml:space="preserve">6.10.2.15. На территориях расположения технологических установок, складов (парков) и сливоналивных устройств нефтеперерабатывающих предприятий, а также складов (парков) и сливоналивных устройств нефтехимических предприятий, для предотвращения разлива легковоспламеняющихся и горючих жидкостей на автомобильные дороги планировочные отметки проезжей части дорог должны быть выше планировочных отметок прилегающей территории не менее чем на 0,3 м, считая от бровки земляного полотна.</w:t>
      </w:r>
    </w:p>
    <w:p>
      <w:pPr>
        <w:pStyle w:val="0"/>
        <w:spacing w:before="200" w:line-rule="auto"/>
        <w:ind w:firstLine="540"/>
        <w:jc w:val="both"/>
      </w:pPr>
      <w:r>
        <w:rPr>
          <w:sz w:val="20"/>
        </w:rPr>
        <w:t xml:space="preserve">При невозможности выполнения указанного требования автомобильные дороги должны быть спланированы так, чтобы разлившаяся жидкость не могла попасть на проезжую часть (устройство кюветов и т.п.).</w:t>
      </w:r>
    </w:p>
    <w:p>
      <w:pPr>
        <w:pStyle w:val="0"/>
        <w:spacing w:before="200" w:line-rule="auto"/>
        <w:ind w:firstLine="540"/>
        <w:jc w:val="both"/>
      </w:pPr>
      <w:r>
        <w:rPr>
          <w:sz w:val="20"/>
        </w:rPr>
        <w:t xml:space="preserve">6.10.2.16. Мосты на территории предприятия должны быть из материалов НГ, а ширина их должна быть не менее ширины проезжей и пешеходной части дорог.</w:t>
      </w:r>
    </w:p>
    <w:p>
      <w:pPr>
        <w:pStyle w:val="0"/>
        <w:spacing w:before="200" w:line-rule="auto"/>
        <w:ind w:firstLine="540"/>
        <w:jc w:val="both"/>
      </w:pPr>
      <w:r>
        <w:rPr>
          <w:sz w:val="20"/>
        </w:rPr>
        <w:t xml:space="preserve">Доски дна балластного корыта и настила под противопожарный слой щебня железнодорожных мостов и элементы нижнего настила проезжей части автодорожных и городских мостов укладываются с зазором 2 - 3 см.</w:t>
      </w:r>
    </w:p>
    <w:p>
      <w:pPr>
        <w:pStyle w:val="2"/>
        <w:spacing w:before="200" w:line-rule="auto"/>
        <w:outlineLvl w:val="3"/>
        <w:ind w:firstLine="540"/>
        <w:jc w:val="both"/>
      </w:pPr>
      <w:r>
        <w:rPr>
          <w:sz w:val="20"/>
        </w:rPr>
        <w:t xml:space="preserve">6.10.3. Сырьевые и товарные склады (парки) легковоспламеняющихся и горючих жидкостей. Промежуточные склады сжиженных углеводородных газов, легковоспламеняющихся и горючих жидкостей в производственной зоне.</w:t>
      </w:r>
    </w:p>
    <w:p>
      <w:pPr>
        <w:pStyle w:val="0"/>
        <w:spacing w:before="200" w:line-rule="auto"/>
        <w:ind w:firstLine="540"/>
        <w:jc w:val="both"/>
      </w:pPr>
      <w:r>
        <w:rPr>
          <w:sz w:val="20"/>
        </w:rPr>
        <w:t xml:space="preserve">6.10.3.1. Проектирование сырьевых, товарных и промежуточных складов (парков) легковоспламеняющихся и горючих жидкостей (склады нефти и нефтепродуктов) следует выполнять в соответствии с </w:t>
      </w:r>
      <w:hyperlink w:history="0" r:id="rId397" w:tooltip="Приказ МЧС России от 26.12.2013 N 837 (ред. от 09.03.2017) &quot;Об утверждении свода правил &quot;Склады нефти и нефтепродуктов. Требования пожарной безопасности&quot; (вместе с &quot;СП 155.13130.2014. Свод правил...&quot;) {КонсультантПлюс}">
        <w:r>
          <w:rPr>
            <w:sz w:val="20"/>
            <w:color w:val="0000ff"/>
          </w:rPr>
          <w:t xml:space="preserve">СП 155.13130</w:t>
        </w:r>
      </w:hyperlink>
      <w:r>
        <w:rPr>
          <w:sz w:val="20"/>
        </w:rPr>
        <w:t xml:space="preserve"> настоящего свода правил, если иное не оговорено в данном подразделе.</w:t>
      </w:r>
    </w:p>
    <w:p>
      <w:pPr>
        <w:pStyle w:val="0"/>
        <w:jc w:val="both"/>
      </w:pPr>
      <w:r>
        <w:rPr>
          <w:sz w:val="20"/>
        </w:rPr>
        <w:t xml:space="preserve">(в ред. </w:t>
      </w:r>
      <w:hyperlink w:history="0" r:id="rId398"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bookmarkStart w:id="3387" w:name="P3387"/>
    <w:bookmarkEnd w:id="3387"/>
    <w:p>
      <w:pPr>
        <w:pStyle w:val="0"/>
        <w:spacing w:before="200" w:line-rule="auto"/>
        <w:ind w:firstLine="540"/>
        <w:jc w:val="both"/>
      </w:pPr>
      <w:r>
        <w:rPr>
          <w:sz w:val="20"/>
        </w:rPr>
        <w:t xml:space="preserve">6.10.3.2. Общий объем промежуточного склада (парка) легковоспламеняющихся и горючих жидкостей в производственной зоне не должен превышать 6000 м</w:t>
      </w:r>
      <w:r>
        <w:rPr>
          <w:sz w:val="20"/>
          <w:vertAlign w:val="superscript"/>
        </w:rPr>
        <w:t xml:space="preserve">3</w:t>
      </w:r>
      <w:r>
        <w:rPr>
          <w:sz w:val="20"/>
        </w:rPr>
        <w:t xml:space="preserve">, сжиженных углеводородных газов - 2000 м</w:t>
      </w:r>
      <w:r>
        <w:rPr>
          <w:sz w:val="20"/>
          <w:vertAlign w:val="superscript"/>
        </w:rPr>
        <w:t xml:space="preserve">3</w:t>
      </w:r>
      <w:r>
        <w:rPr>
          <w:sz w:val="20"/>
        </w:rPr>
        <w:t xml:space="preserve">.</w:t>
      </w:r>
    </w:p>
    <w:p>
      <w:pPr>
        <w:pStyle w:val="0"/>
        <w:spacing w:before="200" w:line-rule="auto"/>
        <w:ind w:firstLine="540"/>
        <w:jc w:val="both"/>
      </w:pPr>
      <w:r>
        <w:rPr>
          <w:sz w:val="20"/>
        </w:rPr>
        <w:t xml:space="preserve">6.10.3.3. При необходимости устройства промежуточных складов (парков) для нескольких установок (цехов) объем каждого склада (парка) не должен превышать указанных величин, а расстояние между ними должно быть не менее 100 м для продуктов, хранящихся под давлением, и не менее 50 м для продуктов, хранящихся без давления.</w:t>
      </w:r>
    </w:p>
    <w:p>
      <w:pPr>
        <w:pStyle w:val="0"/>
        <w:spacing w:before="200" w:line-rule="auto"/>
        <w:ind w:firstLine="540"/>
        <w:jc w:val="both"/>
      </w:pPr>
      <w:r>
        <w:rPr>
          <w:sz w:val="20"/>
        </w:rPr>
        <w:t xml:space="preserve">6.10.3.4. Хранение нефти, мазутов и других горючих жидкостей в открытых ямах-амбарах не допускается.</w:t>
      </w:r>
    </w:p>
    <w:p>
      <w:pPr>
        <w:pStyle w:val="0"/>
        <w:spacing w:before="200" w:line-rule="auto"/>
        <w:ind w:firstLine="540"/>
        <w:jc w:val="both"/>
      </w:pPr>
      <w:r>
        <w:rPr>
          <w:sz w:val="20"/>
        </w:rPr>
        <w:t xml:space="preserve">6.10.3.5. Подземные резервуары для нефти, мазутов и ловушечного продукта должны иметь общее для всей группы резервуаров ограждение земляным валом или стеной высотой не менее 1 м.</w:t>
      </w:r>
    </w:p>
    <w:p>
      <w:pPr>
        <w:pStyle w:val="0"/>
        <w:spacing w:before="200" w:line-rule="auto"/>
        <w:ind w:firstLine="540"/>
        <w:jc w:val="both"/>
      </w:pPr>
      <w:r>
        <w:rPr>
          <w:sz w:val="20"/>
        </w:rPr>
        <w:t xml:space="preserve">При этом расстояние от земляного вала или ограждающей стены до стенки подземного резервуара должно быть не менее 10 м. В качестве обвалования подземных резервуаров может быть принято полотно автомобильных дорог вокруг резервуаров при условии обеспечения удержания автодорогами не менее 10% объема жидкости (нефти и мазута) наибольшего резервуара.</w:t>
      </w:r>
    </w:p>
    <w:p>
      <w:pPr>
        <w:pStyle w:val="0"/>
        <w:spacing w:before="200" w:line-rule="auto"/>
        <w:ind w:firstLine="540"/>
        <w:jc w:val="both"/>
      </w:pPr>
      <w:r>
        <w:rPr>
          <w:sz w:val="20"/>
        </w:rPr>
        <w:t xml:space="preserve">Подземные железобетонные резервуары могут проектироваться только для хранения темных нефтепродуктов.</w:t>
      </w:r>
    </w:p>
    <w:p>
      <w:pPr>
        <w:pStyle w:val="0"/>
        <w:spacing w:before="200" w:line-rule="auto"/>
        <w:ind w:firstLine="540"/>
        <w:jc w:val="both"/>
      </w:pPr>
      <w:r>
        <w:rPr>
          <w:sz w:val="20"/>
        </w:rPr>
        <w:t xml:space="preserve">6.10.3.6. Группы резервуаров должны примыкать один к другому по короткой стороне.</w:t>
      </w:r>
    </w:p>
    <w:p>
      <w:pPr>
        <w:pStyle w:val="0"/>
        <w:spacing w:before="200" w:line-rule="auto"/>
        <w:ind w:firstLine="540"/>
        <w:jc w:val="both"/>
      </w:pPr>
      <w:r>
        <w:rPr>
          <w:sz w:val="20"/>
        </w:rPr>
        <w:t xml:space="preserve">Если из условий планировки группы резервуаров обращены один к другому длинной стороной, а общая ширина их при этом составляет больше 70 м, каждая группа должна иметь собственное обвалование или ограждающую стену.</w:t>
      </w:r>
    </w:p>
    <w:p>
      <w:pPr>
        <w:pStyle w:val="0"/>
        <w:spacing w:before="200" w:line-rule="auto"/>
        <w:ind w:firstLine="540"/>
        <w:jc w:val="both"/>
      </w:pPr>
      <w:r>
        <w:rPr>
          <w:sz w:val="20"/>
        </w:rPr>
        <w:t xml:space="preserve">6.10.3.7. При хранении на одном складе (парке) легковоспламеняющихся жидкостей под давлением и без давления резервуары под давлением должны размещаться в отдельных группах.</w:t>
      </w:r>
    </w:p>
    <w:p>
      <w:pPr>
        <w:pStyle w:val="0"/>
        <w:spacing w:before="200" w:line-rule="auto"/>
        <w:ind w:firstLine="540"/>
        <w:jc w:val="both"/>
      </w:pPr>
      <w:r>
        <w:rPr>
          <w:sz w:val="20"/>
        </w:rPr>
        <w:t xml:space="preserve">В отдельных случаях допускается размещение в пределах одной группы склада (парка) легковоспламеняющихся жидкостей резервуаров под давлением и без давления при условии обеспечения между ними проезда механизированных средств шириной не менее 3,5 м.</w:t>
      </w:r>
    </w:p>
    <w:p>
      <w:pPr>
        <w:pStyle w:val="0"/>
        <w:spacing w:before="200" w:line-rule="auto"/>
        <w:ind w:firstLine="540"/>
        <w:jc w:val="both"/>
      </w:pPr>
      <w:r>
        <w:rPr>
          <w:sz w:val="20"/>
        </w:rPr>
        <w:t xml:space="preserve">6.10.3.8. Резервуары для мазутов, гудрона, крекинг-остатков и ловушечного продукта должны быть выделены в самостоятельную группу от других продуктов.</w:t>
      </w:r>
    </w:p>
    <w:p>
      <w:pPr>
        <w:pStyle w:val="0"/>
        <w:spacing w:before="200" w:line-rule="auto"/>
        <w:ind w:firstLine="540"/>
        <w:jc w:val="both"/>
      </w:pPr>
      <w:r>
        <w:rPr>
          <w:sz w:val="20"/>
        </w:rPr>
        <w:t xml:space="preserve">6.10.3.9. При размещении резервуара или группы наземных резервуаров на более высоких отметках, чем предприятие, общая сеть железных дорог или населенный пункт и на расстоянии от них менее 200 м необходимо выполнить требования </w:t>
      </w:r>
      <w:hyperlink w:history="0" r:id="rId399" w:tooltip="&quot;ГОСТ Р 53324-2009. Национальный стандарт Российской Федерации. Ограждения резервуаров. Требования пожарной безопасности&quot; (утв. Приказом Ростехрегулирования от 18.02.2009 N 100-ст) {КонсультантПлюс}">
        <w:r>
          <w:rPr>
            <w:sz w:val="20"/>
            <w:color w:val="0000ff"/>
          </w:rPr>
          <w:t xml:space="preserve">ГОСТ Р 53324</w:t>
        </w:r>
      </w:hyperlink>
      <w:r>
        <w:rPr>
          <w:sz w:val="20"/>
        </w:rPr>
        <w:t xml:space="preserve">.</w:t>
      </w:r>
    </w:p>
    <w:p>
      <w:pPr>
        <w:pStyle w:val="0"/>
        <w:spacing w:before="200" w:line-rule="auto"/>
        <w:ind w:firstLine="540"/>
        <w:jc w:val="both"/>
      </w:pPr>
      <w:r>
        <w:rPr>
          <w:sz w:val="20"/>
        </w:rPr>
        <w:t xml:space="preserve">6.10.3.10. Коренные задвижки у резервуаров должны быть с ручным приводом и дублироваться электроприводными задвижками, установленными вне обвалования.</w:t>
      </w:r>
    </w:p>
    <w:p>
      <w:pPr>
        <w:pStyle w:val="0"/>
        <w:spacing w:before="200" w:line-rule="auto"/>
        <w:ind w:firstLine="540"/>
        <w:jc w:val="both"/>
      </w:pPr>
      <w:r>
        <w:rPr>
          <w:sz w:val="20"/>
        </w:rPr>
        <w:t xml:space="preserve">6.10.3.11. Трубопроводы, проложенные внутри обвалования, не должны иметь фланцевых соединений, за исключением мест присоединения арматуры с применением негорючих прокладок.</w:t>
      </w:r>
    </w:p>
    <w:p>
      <w:pPr>
        <w:pStyle w:val="0"/>
        <w:spacing w:before="200" w:line-rule="auto"/>
        <w:ind w:firstLine="540"/>
        <w:jc w:val="both"/>
      </w:pPr>
      <w:r>
        <w:rPr>
          <w:sz w:val="20"/>
        </w:rPr>
        <w:t xml:space="preserve">6.10.3.12. При прокладке трубопроводов сквозь обвалование в месте прохода труб должна обеспечиваться герметичность.</w:t>
      </w:r>
    </w:p>
    <w:p>
      <w:pPr>
        <w:pStyle w:val="0"/>
        <w:spacing w:before="200" w:line-rule="auto"/>
        <w:ind w:firstLine="540"/>
        <w:jc w:val="both"/>
      </w:pPr>
      <w:r>
        <w:rPr>
          <w:sz w:val="20"/>
        </w:rPr>
        <w:t xml:space="preserve">6.10.3.13. Коммуникации склада (парка) должны обеспечивать возможность перекачки продукта в случае аварии из резервуаров одной группы в резервуары другой группы, а при наличии на складе (в парке) одной группы - из резервуара в резервуар.</w:t>
      </w:r>
    </w:p>
    <w:p>
      <w:pPr>
        <w:pStyle w:val="0"/>
        <w:spacing w:before="200" w:line-rule="auto"/>
        <w:ind w:firstLine="540"/>
        <w:jc w:val="both"/>
      </w:pPr>
      <w:r>
        <w:rPr>
          <w:sz w:val="20"/>
        </w:rPr>
        <w:t xml:space="preserve">Допускается не предусматривать перекачку продукта в резервуары, если применен другой пожаробезопасный способ опорожнения резервуаров при аварии (дренирование, откачка в другие сооружения и т.д.).</w:t>
      </w:r>
    </w:p>
    <w:p>
      <w:pPr>
        <w:pStyle w:val="0"/>
        <w:jc w:val="both"/>
      </w:pPr>
      <w:r>
        <w:rPr>
          <w:sz w:val="20"/>
        </w:rPr>
        <w:t xml:space="preserve">(абзац введен </w:t>
      </w:r>
      <w:hyperlink w:history="0" r:id="rId400"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Приказом</w:t>
        </w:r>
      </w:hyperlink>
      <w:r>
        <w:rPr>
          <w:sz w:val="20"/>
        </w:rPr>
        <w:t xml:space="preserve"> МЧС России от 15.06.2022 N 610)</w:t>
      </w:r>
    </w:p>
    <w:p>
      <w:pPr>
        <w:pStyle w:val="0"/>
        <w:spacing w:before="200" w:line-rule="auto"/>
        <w:ind w:firstLine="540"/>
        <w:jc w:val="both"/>
      </w:pPr>
      <w:r>
        <w:rPr>
          <w:sz w:val="20"/>
        </w:rPr>
        <w:t xml:space="preserve">6.10.3.14. Установка электрооборудования и прокладка электрокабельных линий внутри обвалования не допускается, за исключением устройств для контроля и автоматики, а также приборов местного освещения, выполненных во взрывозащищенном исполнении.</w:t>
      </w:r>
    </w:p>
    <w:p>
      <w:pPr>
        <w:pStyle w:val="0"/>
        <w:spacing w:before="200" w:line-rule="auto"/>
        <w:ind w:firstLine="540"/>
        <w:jc w:val="both"/>
      </w:pPr>
      <w:r>
        <w:rPr>
          <w:sz w:val="20"/>
        </w:rPr>
        <w:t xml:space="preserve">6.10.3.15. В товарно-сырьевых и промежуточных парках легковоспламеняющихся, горючих жидкостей и сжиженных углеводородных газов шкафы управления электрозадвижками следует размещать только в закрытых вентилируемых электропомещениях.</w:t>
      </w:r>
    </w:p>
    <w:p>
      <w:pPr>
        <w:pStyle w:val="0"/>
        <w:spacing w:before="200" w:line-rule="auto"/>
        <w:ind w:firstLine="540"/>
        <w:jc w:val="both"/>
      </w:pPr>
      <w:r>
        <w:rPr>
          <w:sz w:val="20"/>
        </w:rPr>
        <w:t xml:space="preserve">6.10.3.16. Прием и отпуск легковоспламеняющихся и горючих жидкостей, сжиженных углеводородных газов на промежуточных складах (в парках) должен производиться по трубопроводам без сливоналивных устройств.</w:t>
      </w:r>
    </w:p>
    <w:p>
      <w:pPr>
        <w:pStyle w:val="0"/>
        <w:spacing w:before="200" w:line-rule="auto"/>
        <w:ind w:firstLine="540"/>
        <w:jc w:val="both"/>
      </w:pPr>
      <w:r>
        <w:rPr>
          <w:sz w:val="20"/>
        </w:rPr>
        <w:t xml:space="preserve">6.10.3.17. При хранении на промежуточном складе ЛВЖ под давлением в резервуарах объемом 600 м</w:t>
      </w:r>
      <w:r>
        <w:rPr>
          <w:sz w:val="20"/>
          <w:vertAlign w:val="superscript"/>
        </w:rPr>
        <w:t xml:space="preserve">3</w:t>
      </w:r>
      <w:r>
        <w:rPr>
          <w:sz w:val="20"/>
        </w:rPr>
        <w:t xml:space="preserve"> и более каждый из них должен находиться в отдельном обваловании или отделяться от соседних стенкой. Емкость обвалования должна вмещать 100% объема хранимого продукта.</w:t>
      </w:r>
    </w:p>
    <w:p>
      <w:pPr>
        <w:pStyle w:val="0"/>
        <w:spacing w:before="200" w:line-rule="auto"/>
        <w:ind w:firstLine="540"/>
        <w:jc w:val="both"/>
      </w:pPr>
      <w:r>
        <w:rPr>
          <w:sz w:val="20"/>
        </w:rPr>
        <w:t xml:space="preserve">6.10.3.18. На промежуточных складах сжиженных углеводородных газов и легковоспламеняющихся жидкостей, хранящихся под давлением, расстояние между соседними резервуарами должно быть не менее диаметра наибольшего смежного резервуара. Расстояние от подошвы обвалования или ограждающей стены до резервуара должно быть не менее половины диаметра ближайшего большего резервуара, но не менее 2 м.</w:t>
      </w:r>
    </w:p>
    <w:p>
      <w:pPr>
        <w:pStyle w:val="0"/>
        <w:spacing w:before="200" w:line-rule="auto"/>
        <w:ind w:firstLine="540"/>
        <w:jc w:val="both"/>
      </w:pPr>
      <w:r>
        <w:rPr>
          <w:sz w:val="20"/>
        </w:rPr>
        <w:t xml:space="preserve">6.10.3.19. Минимальные расстояния от резервуаров промежуточных складов сжиженных углеводородных газов до насосных и компрессорных, обслуживающих эти склады, должны быть не менее 15 м.</w:t>
      </w:r>
    </w:p>
    <w:p>
      <w:pPr>
        <w:pStyle w:val="0"/>
        <w:spacing w:before="200" w:line-rule="auto"/>
        <w:ind w:firstLine="540"/>
        <w:jc w:val="both"/>
      </w:pPr>
      <w:r>
        <w:rPr>
          <w:sz w:val="20"/>
        </w:rPr>
        <w:t xml:space="preserve">6.10.3.20. Расстояния от резервуаров промежуточного склада сжиженных углеводородных газов до других объектов и сооружений предприятия, не относящихся к этому складу, должны быть не менее 40 м.</w:t>
      </w:r>
    </w:p>
    <w:p>
      <w:pPr>
        <w:pStyle w:val="0"/>
        <w:spacing w:before="200" w:line-rule="auto"/>
        <w:ind w:firstLine="540"/>
        <w:jc w:val="both"/>
      </w:pPr>
      <w:r>
        <w:rPr>
          <w:sz w:val="20"/>
        </w:rPr>
        <w:t xml:space="preserve">6.10.3.21. Хранение легковоспламеняющихся и горючих жидкостей допускается в пределах одного обвалования.</w:t>
      </w:r>
    </w:p>
    <w:p>
      <w:pPr>
        <w:pStyle w:val="0"/>
        <w:spacing w:before="200" w:line-rule="auto"/>
        <w:ind w:firstLine="540"/>
        <w:jc w:val="both"/>
      </w:pPr>
      <w:r>
        <w:rPr>
          <w:sz w:val="20"/>
        </w:rPr>
        <w:t xml:space="preserve">6.10.3.22. На промежуточных складах (в парках) допускается совместное хранение легковоспламеняющихся и горючих жидкостей, сжиженных углеводородных газов при соблюдении следующих условий:</w:t>
      </w:r>
    </w:p>
    <w:p>
      <w:pPr>
        <w:pStyle w:val="0"/>
        <w:spacing w:before="200" w:line-rule="auto"/>
        <w:ind w:firstLine="540"/>
        <w:jc w:val="both"/>
      </w:pPr>
      <w:r>
        <w:rPr>
          <w:sz w:val="20"/>
        </w:rPr>
        <w:t xml:space="preserve">а) суммарный объем сжиженных углеводородных газов, легковоспламеняющихся и горючих жидкостей на складе сжиженных горючих газов не должен превышать 2000 м</w:t>
      </w:r>
      <w:r>
        <w:rPr>
          <w:sz w:val="20"/>
          <w:vertAlign w:val="superscript"/>
        </w:rPr>
        <w:t xml:space="preserve">3</w:t>
      </w:r>
      <w:r>
        <w:rPr>
          <w:sz w:val="20"/>
        </w:rPr>
        <w:t xml:space="preserve">;</w:t>
      </w:r>
    </w:p>
    <w:p>
      <w:pPr>
        <w:pStyle w:val="0"/>
        <w:spacing w:before="200" w:line-rule="auto"/>
        <w:ind w:firstLine="540"/>
        <w:jc w:val="both"/>
      </w:pPr>
      <w:r>
        <w:rPr>
          <w:sz w:val="20"/>
        </w:rPr>
        <w:t xml:space="preserve">б) при хранении сжиженных углеводородных газов на складе (в парке) легковоспламеняющихся или горючих жидкостей общий объем склада не должен превышать указанный в </w:t>
      </w:r>
      <w:hyperlink w:history="0" w:anchor="P3387" w:tooltip="6.10.3.2. Общий объем промежуточного склада (парка) легковоспламеняющихся и горючих жидкостей в производственной зоне не должен превышать 6000 м3, сжиженных углеводородных газов - 2000 м3.">
        <w:r>
          <w:rPr>
            <w:sz w:val="20"/>
            <w:color w:val="0000ff"/>
          </w:rPr>
          <w:t xml:space="preserve">подпункте 6.10.3.2</w:t>
        </w:r>
      </w:hyperlink>
      <w:r>
        <w:rPr>
          <w:sz w:val="20"/>
        </w:rPr>
        <w:t xml:space="preserve">, при этом к 1 м</w:t>
      </w:r>
      <w:r>
        <w:rPr>
          <w:sz w:val="20"/>
          <w:vertAlign w:val="superscript"/>
        </w:rPr>
        <w:t xml:space="preserve">3</w:t>
      </w:r>
      <w:r>
        <w:rPr>
          <w:sz w:val="20"/>
        </w:rPr>
        <w:t xml:space="preserve"> сжиженного углеводородного газа приравнивается 5 м</w:t>
      </w:r>
      <w:r>
        <w:rPr>
          <w:sz w:val="20"/>
          <w:vertAlign w:val="superscript"/>
        </w:rPr>
        <w:t xml:space="preserve">3</w:t>
      </w:r>
      <w:r>
        <w:rPr>
          <w:sz w:val="20"/>
        </w:rPr>
        <w:t xml:space="preserve"> легковоспламеняющихся жидкостей или 25 м</w:t>
      </w:r>
      <w:r>
        <w:rPr>
          <w:sz w:val="20"/>
          <w:vertAlign w:val="superscript"/>
        </w:rPr>
        <w:t xml:space="preserve">3</w:t>
      </w:r>
      <w:r>
        <w:rPr>
          <w:sz w:val="20"/>
        </w:rPr>
        <w:t xml:space="preserve"> горючих жидкостей;</w:t>
      </w:r>
    </w:p>
    <w:p>
      <w:pPr>
        <w:pStyle w:val="0"/>
        <w:spacing w:before="200" w:line-rule="auto"/>
        <w:ind w:firstLine="540"/>
        <w:jc w:val="both"/>
      </w:pPr>
      <w:r>
        <w:rPr>
          <w:sz w:val="20"/>
        </w:rPr>
        <w:t xml:space="preserve">в) резервуары со сжиженными углеводородными газами и резервуары с легковоспламеняющимися и горючими жидкостями должны располагаться в разных группах в отдельных обвалованиях;</w:t>
      </w:r>
    </w:p>
    <w:p>
      <w:pPr>
        <w:pStyle w:val="0"/>
        <w:spacing w:before="200" w:line-rule="auto"/>
        <w:ind w:firstLine="540"/>
        <w:jc w:val="both"/>
      </w:pPr>
      <w:r>
        <w:rPr>
          <w:sz w:val="20"/>
        </w:rPr>
        <w:t xml:space="preserve">г) между обвалованиями этих групп следует принимать расстояние не менее 10 м.</w:t>
      </w:r>
    </w:p>
    <w:p>
      <w:pPr>
        <w:pStyle w:val="0"/>
        <w:spacing w:before="200" w:line-rule="auto"/>
        <w:ind w:firstLine="540"/>
        <w:jc w:val="both"/>
      </w:pPr>
      <w:r>
        <w:rPr>
          <w:sz w:val="20"/>
        </w:rPr>
        <w:t xml:space="preserve">6.10.3.23. На складах (в парках) внутри обвалования, кроме основных складских емкостей, разрешается устанавливать только емкости для приема продуктов из цехов в случае необходимости аварийного освобождения системы.</w:t>
      </w:r>
    </w:p>
    <w:p>
      <w:pPr>
        <w:pStyle w:val="0"/>
        <w:spacing w:before="200" w:line-rule="auto"/>
        <w:ind w:firstLine="540"/>
        <w:jc w:val="both"/>
      </w:pPr>
      <w:r>
        <w:rPr>
          <w:sz w:val="20"/>
        </w:rPr>
        <w:t xml:space="preserve">Число и объем этих емкостей рассчитывается на количество продуктов в освобождаемой системе и в общую емкость складов (парков) не включается.</w:t>
      </w:r>
    </w:p>
    <w:p>
      <w:pPr>
        <w:pStyle w:val="0"/>
        <w:spacing w:before="200" w:line-rule="auto"/>
        <w:ind w:firstLine="540"/>
        <w:jc w:val="both"/>
      </w:pPr>
      <w:r>
        <w:rPr>
          <w:sz w:val="20"/>
        </w:rPr>
        <w:t xml:space="preserve">Аварийные емкости в общий объем складов (парков) не включаются. Расположение их на складе (в парке) определяется требованиями, предъявленными к расположению основных складских емкостей.</w:t>
      </w:r>
    </w:p>
    <w:p>
      <w:pPr>
        <w:pStyle w:val="0"/>
        <w:ind w:firstLine="540"/>
        <w:jc w:val="both"/>
      </w:pPr>
      <w:r>
        <w:rPr>
          <w:sz w:val="20"/>
        </w:rPr>
      </w:r>
    </w:p>
    <w:p>
      <w:pPr>
        <w:pStyle w:val="2"/>
        <w:outlineLvl w:val="3"/>
        <w:ind w:firstLine="540"/>
        <w:jc w:val="both"/>
      </w:pPr>
      <w:r>
        <w:rPr>
          <w:sz w:val="20"/>
        </w:rPr>
        <w:t xml:space="preserve">6.10.4. Технологические трубопроводы</w:t>
      </w:r>
    </w:p>
    <w:p>
      <w:pPr>
        <w:pStyle w:val="0"/>
        <w:ind w:firstLine="540"/>
        <w:jc w:val="both"/>
      </w:pPr>
      <w:r>
        <w:rPr>
          <w:sz w:val="20"/>
        </w:rPr>
      </w:r>
    </w:p>
    <w:p>
      <w:pPr>
        <w:pStyle w:val="0"/>
        <w:ind w:firstLine="540"/>
        <w:jc w:val="both"/>
      </w:pPr>
      <w:r>
        <w:rPr>
          <w:sz w:val="20"/>
        </w:rPr>
        <w:t xml:space="preserve">6.10.4.1. Технологические трубопроводы с горючими и сжиженными горючими газами, легковоспламеняющимися и горючими жидкостями, прокладываемые на территории предприятия, должны быть наземными или надземными на опорах и эстакадах из материалов НГ.</w:t>
      </w:r>
    </w:p>
    <w:p>
      <w:pPr>
        <w:pStyle w:val="0"/>
        <w:spacing w:before="200" w:line-rule="auto"/>
        <w:ind w:firstLine="540"/>
        <w:jc w:val="both"/>
      </w:pPr>
      <w:r>
        <w:rPr>
          <w:sz w:val="20"/>
        </w:rPr>
        <w:t xml:space="preserve">Предел огнестойкости колонн эстакад на высоту первого яруса должен быть не менее R 60.</w:t>
      </w:r>
    </w:p>
    <w:p>
      <w:pPr>
        <w:pStyle w:val="0"/>
        <w:spacing w:before="200" w:line-rule="auto"/>
        <w:ind w:firstLine="540"/>
        <w:jc w:val="both"/>
      </w:pPr>
      <w:r>
        <w:rPr>
          <w:sz w:val="20"/>
        </w:rPr>
        <w:t xml:space="preserve">6.10.4.2. Для транспортировки горючих и сжиженных углеводородных газов, легковоспламеняющихся и горючих жидкостей применение труб из стекла и других хрупких материалов, а также из горючих и трудногорючих материалов (фторопласта, полиэтилена, винипласта и др.) не допускается.</w:t>
      </w:r>
    </w:p>
    <w:p>
      <w:pPr>
        <w:pStyle w:val="0"/>
        <w:spacing w:before="200" w:line-rule="auto"/>
        <w:ind w:firstLine="540"/>
        <w:jc w:val="both"/>
      </w:pPr>
      <w:r>
        <w:rPr>
          <w:sz w:val="20"/>
        </w:rPr>
        <w:t xml:space="preserve">6.10.4.3. Технологические трубопроводы с горючими и сжиженными углеводородными газами, легковоспламеняющимися и горючими жидкостями на входе и выходе с территории предприятия должны иметь отключающие устройства в пределах территории предприятия на случай аварии.</w:t>
      </w:r>
    </w:p>
    <w:p>
      <w:pPr>
        <w:pStyle w:val="0"/>
        <w:spacing w:before="200" w:line-rule="auto"/>
        <w:ind w:firstLine="540"/>
        <w:jc w:val="both"/>
      </w:pPr>
      <w:r>
        <w:rPr>
          <w:sz w:val="20"/>
        </w:rPr>
        <w:t xml:space="preserve">6.10.4.4. Над технологическими трубопроводами, проходящими под линиями электропередач, необходимо предусматривать защитные устройства, предотвращающие попадание электропроводов при их обрыве на трубопроводы. Эти защитные устройства должны выступать за крайние провода линии электропередач не менее чем на 5 м и быть из негорючих материалов.</w:t>
      </w:r>
    </w:p>
    <w:p>
      <w:pPr>
        <w:pStyle w:val="0"/>
        <w:spacing w:before="200" w:line-rule="auto"/>
        <w:ind w:firstLine="540"/>
        <w:jc w:val="both"/>
      </w:pPr>
      <w:r>
        <w:rPr>
          <w:sz w:val="20"/>
        </w:rPr>
        <w:t xml:space="preserve">6.10.4.5. Расстояния по вертикали от железнодорожных путей и линий электропередач до технологических трубопроводов принимается до защитных устройств этих трубопроводов.</w:t>
      </w:r>
    </w:p>
    <w:p>
      <w:pPr>
        <w:pStyle w:val="0"/>
        <w:spacing w:before="200" w:line-rule="auto"/>
        <w:ind w:firstLine="540"/>
        <w:jc w:val="both"/>
      </w:pPr>
      <w:r>
        <w:rPr>
          <w:sz w:val="20"/>
        </w:rPr>
        <w:t xml:space="preserve">6.10.4.6. Расстояния от зданий, сооружений и других объектов до межцеховых технологических трубопроводов, транспортирующих горючие и сжиженные углеводородные газы, легковоспламеняющиеся и горючие жидкости должны быть не менее указанных в </w:t>
      </w:r>
      <w:hyperlink w:history="0" w:anchor="P3432" w:tooltip="Таблица 41">
        <w:r>
          <w:rPr>
            <w:sz w:val="20"/>
            <w:color w:val="0000ff"/>
          </w:rPr>
          <w:t xml:space="preserve">таблице 41</w:t>
        </w:r>
      </w:hyperlink>
      <w:r>
        <w:rPr>
          <w:sz w:val="20"/>
        </w:rPr>
        <w:t xml:space="preserve">.</w:t>
      </w:r>
    </w:p>
    <w:p>
      <w:pPr>
        <w:pStyle w:val="0"/>
        <w:ind w:firstLine="540"/>
        <w:jc w:val="both"/>
      </w:pPr>
      <w:r>
        <w:rPr>
          <w:sz w:val="20"/>
        </w:rPr>
      </w:r>
    </w:p>
    <w:bookmarkStart w:id="3432" w:name="P3432"/>
    <w:bookmarkEnd w:id="3432"/>
    <w:p>
      <w:pPr>
        <w:pStyle w:val="0"/>
        <w:outlineLvl w:val="4"/>
      </w:pPr>
      <w:r>
        <w:rPr>
          <w:sz w:val="20"/>
        </w:rPr>
        <w:t xml:space="preserve">Таблица 41</w:t>
      </w:r>
    </w:p>
    <w:p>
      <w:pPr>
        <w:pStyle w:val="0"/>
        <w:jc w:val="center"/>
      </w:pPr>
      <w:r>
        <w:rPr>
          <w:sz w:val="20"/>
        </w:rPr>
      </w:r>
    </w:p>
    <w:p>
      <w:pPr>
        <w:pStyle w:val="3"/>
        <w:jc w:val="both"/>
      </w:pPr>
      <w:r>
        <w:rPr>
          <w:sz w:val="20"/>
        </w:rPr>
        <w:t xml:space="preserve">┌───┬───────────────────────────────────────────────────┬─────────────────┐</w:t>
      </w:r>
    </w:p>
    <w:p>
      <w:pPr>
        <w:pStyle w:val="3"/>
        <w:jc w:val="both"/>
      </w:pPr>
      <w:r>
        <w:rPr>
          <w:sz w:val="20"/>
        </w:rPr>
        <w:t xml:space="preserve">│ N │               Наименование объектов               │  Расстояние до  │</w:t>
      </w:r>
    </w:p>
    <w:p>
      <w:pPr>
        <w:pStyle w:val="3"/>
        <w:jc w:val="both"/>
      </w:pPr>
      <w:r>
        <w:rPr>
          <w:sz w:val="20"/>
        </w:rPr>
        <w:t xml:space="preserve">│п/п│                                                   │трубопроводов, м │</w:t>
      </w:r>
    </w:p>
    <w:p>
      <w:pPr>
        <w:pStyle w:val="3"/>
        <w:jc w:val="both"/>
      </w:pPr>
      <w:r>
        <w:rPr>
          <w:sz w:val="20"/>
        </w:rPr>
        <w:t xml:space="preserve">├───┼───────────────────────────────────────────────────┼─────────────────┤</w:t>
      </w:r>
    </w:p>
    <w:bookmarkStart w:id="3438" w:name="P3438"/>
    <w:bookmarkEnd w:id="3438"/>
    <w:p>
      <w:pPr>
        <w:pStyle w:val="3"/>
        <w:jc w:val="both"/>
      </w:pPr>
      <w:r>
        <w:rPr>
          <w:sz w:val="20"/>
        </w:rPr>
        <w:t xml:space="preserve">│ 1 │От производственных, складских, вспомогательных и  │        5        │</w:t>
      </w:r>
    </w:p>
    <w:p>
      <w:pPr>
        <w:pStyle w:val="3"/>
        <w:jc w:val="both"/>
      </w:pPr>
      <w:r>
        <w:rPr>
          <w:sz w:val="20"/>
        </w:rPr>
        <w:t xml:space="preserve">│   │других зданий и сооружений, независимо от категорий│        --       │</w:t>
      </w:r>
    </w:p>
    <w:p>
      <w:pPr>
        <w:pStyle w:val="3"/>
        <w:jc w:val="both"/>
      </w:pPr>
      <w:r>
        <w:rPr>
          <w:sz w:val="20"/>
        </w:rPr>
        <w:t xml:space="preserve">│   │пожарной опасности                                 │        10       │</w:t>
      </w:r>
    </w:p>
    <w:p>
      <w:pPr>
        <w:pStyle w:val="3"/>
        <w:jc w:val="both"/>
      </w:pPr>
      <w:r>
        <w:rPr>
          <w:sz w:val="20"/>
        </w:rPr>
        <w:t xml:space="preserve">├───┼───────────────────────────────────────────────────┼─────────────────┤</w:t>
      </w:r>
    </w:p>
    <w:p>
      <w:pPr>
        <w:pStyle w:val="3"/>
        <w:jc w:val="both"/>
      </w:pPr>
      <w:r>
        <w:rPr>
          <w:sz w:val="20"/>
        </w:rPr>
        <w:t xml:space="preserve">│ 2 │От внутризаводских железнодорожных путей           │        5        │</w:t>
      </w:r>
    </w:p>
    <w:p>
      <w:pPr>
        <w:pStyle w:val="3"/>
        <w:jc w:val="both"/>
      </w:pPr>
      <w:r>
        <w:rPr>
          <w:sz w:val="20"/>
        </w:rPr>
        <w:t xml:space="preserve">├───┼───────────────────────────────────────────────────┼─────────────────┤</w:t>
      </w:r>
    </w:p>
    <w:p>
      <w:pPr>
        <w:pStyle w:val="3"/>
        <w:jc w:val="both"/>
      </w:pPr>
      <w:r>
        <w:rPr>
          <w:sz w:val="20"/>
        </w:rPr>
        <w:t xml:space="preserve">│ 3 │От внутризаводских автомобильных дорог             │       1,5       │</w:t>
      </w:r>
    </w:p>
    <w:p>
      <w:pPr>
        <w:pStyle w:val="3"/>
        <w:jc w:val="both"/>
      </w:pPr>
      <w:r>
        <w:rPr>
          <w:sz w:val="20"/>
        </w:rPr>
        <w:t xml:space="preserve">├───┼───────────────────────────────────────────────────┼─────────────────┤</w:t>
      </w:r>
    </w:p>
    <w:p>
      <w:pPr>
        <w:pStyle w:val="3"/>
        <w:jc w:val="both"/>
      </w:pPr>
      <w:r>
        <w:rPr>
          <w:sz w:val="20"/>
        </w:rPr>
        <w:t xml:space="preserve">│ 4 │От линий электропередач (воздушных)                │1,5 высоты опоры │</w:t>
      </w:r>
    </w:p>
    <w:p>
      <w:pPr>
        <w:pStyle w:val="3"/>
        <w:jc w:val="both"/>
      </w:pPr>
      <w:r>
        <w:rPr>
          <w:sz w:val="20"/>
        </w:rPr>
        <w:t xml:space="preserve">├───┼───────────────────────────────────────────────────┼─────────────────┤</w:t>
      </w:r>
    </w:p>
    <w:p>
      <w:pPr>
        <w:pStyle w:val="3"/>
        <w:jc w:val="both"/>
      </w:pPr>
      <w:r>
        <w:rPr>
          <w:sz w:val="20"/>
        </w:rPr>
        <w:t xml:space="preserve">│ 5 │От открытых трансформаторных подстанций и          │       10        │</w:t>
      </w:r>
    </w:p>
    <w:p>
      <w:pPr>
        <w:pStyle w:val="3"/>
        <w:jc w:val="both"/>
      </w:pPr>
      <w:r>
        <w:rPr>
          <w:sz w:val="20"/>
        </w:rPr>
        <w:t xml:space="preserve">│   │распределительных устройств                        │                 │</w:t>
      </w:r>
    </w:p>
    <w:p>
      <w:pPr>
        <w:pStyle w:val="3"/>
        <w:jc w:val="both"/>
      </w:pPr>
      <w:r>
        <w:rPr>
          <w:sz w:val="20"/>
        </w:rPr>
        <w:t xml:space="preserve">├───┼───────────────────────────────────────────────────┼─────────────────┤</w:t>
      </w:r>
    </w:p>
    <w:p>
      <w:pPr>
        <w:pStyle w:val="3"/>
        <w:jc w:val="both"/>
      </w:pPr>
      <w:r>
        <w:rPr>
          <w:sz w:val="20"/>
        </w:rPr>
        <w:t xml:space="preserve">│ 6 │От газгольдеров с горючими газами и резервуаров с  │       15        │</w:t>
      </w:r>
    </w:p>
    <w:p>
      <w:pPr>
        <w:pStyle w:val="3"/>
        <w:jc w:val="both"/>
      </w:pPr>
      <w:r>
        <w:rPr>
          <w:sz w:val="20"/>
        </w:rPr>
        <w:t xml:space="preserve">│   │ЛВЖ, ГЖ и СУГ                                      │                 │</w:t>
      </w:r>
    </w:p>
    <w:p>
      <w:pPr>
        <w:pStyle w:val="3"/>
        <w:jc w:val="both"/>
      </w:pPr>
      <w:r>
        <w:rPr>
          <w:sz w:val="20"/>
        </w:rPr>
        <w:t xml:space="preserve">├───┼───────────────────────────────────────────────────┼─────────────────┤</w:t>
      </w:r>
    </w:p>
    <w:p>
      <w:pPr>
        <w:pStyle w:val="3"/>
        <w:jc w:val="both"/>
      </w:pPr>
      <w:r>
        <w:rPr>
          <w:sz w:val="20"/>
        </w:rPr>
        <w:t xml:space="preserve">│ 7 │От любых колодцев подземных коммуникаций           │  вне габаритов  │</w:t>
      </w:r>
    </w:p>
    <w:p>
      <w:pPr>
        <w:pStyle w:val="3"/>
        <w:jc w:val="both"/>
      </w:pPr>
      <w:r>
        <w:rPr>
          <w:sz w:val="20"/>
        </w:rPr>
        <w:t xml:space="preserve">│   │                                                   │    эстакады     │</w:t>
      </w:r>
    </w:p>
    <w:p>
      <w:pPr>
        <w:pStyle w:val="3"/>
        <w:jc w:val="both"/>
      </w:pPr>
      <w:r>
        <w:rPr>
          <w:sz w:val="20"/>
        </w:rPr>
        <w:t xml:space="preserve">└───┴───────────────────────────────────────────────────┴─────────────────┘</w:t>
      </w:r>
    </w:p>
    <w:p>
      <w:pPr>
        <w:pStyle w:val="0"/>
        <w:jc w:val="center"/>
      </w:pPr>
      <w:r>
        <w:rPr>
          <w:sz w:val="20"/>
        </w:rPr>
      </w:r>
    </w:p>
    <w:p>
      <w:pPr>
        <w:pStyle w:val="0"/>
        <w:ind w:firstLine="540"/>
        <w:jc w:val="both"/>
      </w:pPr>
      <w:r>
        <w:rPr>
          <w:sz w:val="20"/>
        </w:rPr>
        <w:t xml:space="preserve">Примечание. В </w:t>
      </w:r>
      <w:hyperlink w:history="0" w:anchor="P3438" w:tooltip="│ 1 │От производственных, складских, вспомогательных и  │        5        │">
        <w:r>
          <w:rPr>
            <w:sz w:val="20"/>
            <w:color w:val="0000ff"/>
          </w:rPr>
          <w:t xml:space="preserve">пункте 1</w:t>
        </w:r>
      </w:hyperlink>
      <w:r>
        <w:rPr>
          <w:sz w:val="20"/>
        </w:rPr>
        <w:t xml:space="preserve"> таблицы над чертой указано расстояние до трубопроводов с давлением до 6·10</w:t>
      </w:r>
      <w:r>
        <w:rPr>
          <w:sz w:val="20"/>
          <w:vertAlign w:val="superscript"/>
        </w:rPr>
        <w:t xml:space="preserve">5</w:t>
      </w:r>
      <w:r>
        <w:rPr>
          <w:sz w:val="20"/>
        </w:rPr>
        <w:t xml:space="preserve"> Па (6 кгс/см</w:t>
      </w:r>
      <w:r>
        <w:rPr>
          <w:sz w:val="20"/>
          <w:vertAlign w:val="superscript"/>
        </w:rPr>
        <w:t xml:space="preserve">2</w:t>
      </w:r>
      <w:r>
        <w:rPr>
          <w:sz w:val="20"/>
        </w:rPr>
        <w:t xml:space="preserve">); под чертой - до трубопроводов с давлением 6·10</w:t>
      </w:r>
      <w:r>
        <w:rPr>
          <w:sz w:val="20"/>
          <w:vertAlign w:val="superscript"/>
        </w:rPr>
        <w:t xml:space="preserve">5</w:t>
      </w:r>
      <w:r>
        <w:rPr>
          <w:sz w:val="20"/>
        </w:rPr>
        <w:t xml:space="preserve"> Па (6 кгс/см</w:t>
      </w:r>
      <w:r>
        <w:rPr>
          <w:sz w:val="20"/>
          <w:vertAlign w:val="superscript"/>
        </w:rPr>
        <w:t xml:space="preserve">2</w:t>
      </w:r>
      <w:r>
        <w:rPr>
          <w:sz w:val="20"/>
        </w:rPr>
        <w:t xml:space="preserve">) и более.</w:t>
      </w:r>
    </w:p>
    <w:p>
      <w:pPr>
        <w:pStyle w:val="0"/>
        <w:ind w:firstLine="540"/>
        <w:jc w:val="both"/>
      </w:pPr>
      <w:r>
        <w:rPr>
          <w:sz w:val="20"/>
        </w:rPr>
      </w:r>
    </w:p>
    <w:p>
      <w:pPr>
        <w:pStyle w:val="0"/>
        <w:ind w:firstLine="540"/>
        <w:jc w:val="both"/>
      </w:pPr>
      <w:r>
        <w:rPr>
          <w:sz w:val="20"/>
        </w:rPr>
        <w:t xml:space="preserve">Запрещается размещать запорные дренажные и спускные устройства на технологических трубопроводах против помещений категорий В, Г и Д, если в этих помещениях имеются оконные и дверные проемы в сторону эстакады. При необходимости размещения указанных выше устройств против таких помещений расстояние, указанное в </w:t>
      </w:r>
      <w:hyperlink w:history="0" w:anchor="P3432" w:tooltip="Таблица 41">
        <w:r>
          <w:rPr>
            <w:sz w:val="20"/>
            <w:color w:val="0000ff"/>
          </w:rPr>
          <w:t xml:space="preserve">таблице</w:t>
        </w:r>
      </w:hyperlink>
      <w:r>
        <w:rPr>
          <w:sz w:val="20"/>
        </w:rPr>
        <w:t xml:space="preserve">, увеличивается на 50%.</w:t>
      </w:r>
    </w:p>
    <w:p>
      <w:pPr>
        <w:pStyle w:val="0"/>
        <w:spacing w:before="200" w:line-rule="auto"/>
        <w:ind w:firstLine="540"/>
        <w:jc w:val="both"/>
      </w:pPr>
      <w:r>
        <w:rPr>
          <w:sz w:val="20"/>
        </w:rPr>
        <w:t xml:space="preserve">6.10.4.7. На участках внутрицеховых эстакад, проходящих вдоль зданий категорий В, Г и Д, а также подсобно-производственных зданий (помещений), электропомещений, помещений управления технологическим процессом данного цеха, обращенных в сторону эстакад оконными и дверными проемами, фланцевые соединения и арматура на трубопроводах с горючими газами, легковоспламеняющимися и горючими жидкостями должны располагаться от этих окон и дверей на расстояниях, предусмотренных </w:t>
      </w:r>
      <w:hyperlink w:history="0" w:anchor="P3438" w:tooltip="│ 1 │От производственных, складских, вспомогательных и  │        5        │">
        <w:r>
          <w:rPr>
            <w:sz w:val="20"/>
            <w:color w:val="0000ff"/>
          </w:rPr>
          <w:t xml:space="preserve">пунктом 1</w:t>
        </w:r>
      </w:hyperlink>
      <w:r>
        <w:rPr>
          <w:sz w:val="20"/>
        </w:rPr>
        <w:t xml:space="preserve"> таблицы 41.</w:t>
      </w:r>
    </w:p>
    <w:p>
      <w:pPr>
        <w:pStyle w:val="0"/>
        <w:spacing w:before="200" w:line-rule="auto"/>
        <w:ind w:firstLine="540"/>
        <w:jc w:val="both"/>
      </w:pPr>
      <w:r>
        <w:rPr>
          <w:sz w:val="20"/>
        </w:rPr>
        <w:t xml:space="preserve">6.10.4.8. Под межцеховыми технологическими трубопроводами с горючими продуктами установка оборудования не допускается. Емкости для дренирования жидкости из трубопроводов и насосы к ним должны размещаться вне габаритов эстакады.</w:t>
      </w:r>
    </w:p>
    <w:p>
      <w:pPr>
        <w:pStyle w:val="0"/>
        <w:spacing w:before="200" w:line-rule="auto"/>
        <w:ind w:firstLine="540"/>
        <w:jc w:val="both"/>
      </w:pPr>
      <w:r>
        <w:rPr>
          <w:sz w:val="20"/>
        </w:rPr>
        <w:t xml:space="preserve">Расстояние от трубопроводов до указанного оборудования не нормируется.</w:t>
      </w:r>
    </w:p>
    <w:p>
      <w:pPr>
        <w:pStyle w:val="0"/>
        <w:spacing w:before="200" w:line-rule="auto"/>
        <w:ind w:firstLine="540"/>
        <w:jc w:val="both"/>
      </w:pPr>
      <w:r>
        <w:rPr>
          <w:sz w:val="20"/>
        </w:rPr>
        <w:t xml:space="preserve">6.10.4.9. Технологические трубопроводы должны иметь теплоизоляцию из НГ, защищенную от разрушения.</w:t>
      </w:r>
    </w:p>
    <w:p>
      <w:pPr>
        <w:pStyle w:val="0"/>
        <w:spacing w:before="200" w:line-rule="auto"/>
        <w:ind w:firstLine="540"/>
        <w:jc w:val="both"/>
      </w:pPr>
      <w:r>
        <w:rPr>
          <w:sz w:val="20"/>
        </w:rPr>
        <w:t xml:space="preserve">Для теплоизоляционных конструкций технологических трубопроводов, в которых обращаются вещества (за исключением окислителей) при температурах не выше максимальной рабочей температуры указанных конструкций, при отсутствии требований по пределам огнестойкости и огнезащиты, допускается использование теплоизоляционных материалов, имеющих группу горючести Г1, с покровным слоем из негорючих материалов, а также теплоизоляционных конструкций группы НРП в соответствии с </w:t>
      </w:r>
      <w:hyperlink w:history="0" r:id="rId401" w:tooltip="&quot;ГОСТ Р 53327-2009. Теплоизоляционные конструкции промышленных трубопроводов. Метод испытания на распространение пламени&quot; (утв. Приказом Ростехрегулирования от 18.02.2009 N 103-ст) {КонсультантПлюс}">
        <w:r>
          <w:rPr>
            <w:sz w:val="20"/>
            <w:color w:val="0000ff"/>
          </w:rPr>
          <w:t xml:space="preserve">ГОСТ Р 53327</w:t>
        </w:r>
      </w:hyperlink>
      <w:r>
        <w:rPr>
          <w:sz w:val="20"/>
        </w:rPr>
        <w:t xml:space="preserve">.</w:t>
      </w:r>
    </w:p>
    <w:p>
      <w:pPr>
        <w:pStyle w:val="0"/>
        <w:jc w:val="both"/>
      </w:pPr>
      <w:r>
        <w:rPr>
          <w:sz w:val="20"/>
        </w:rPr>
        <w:t xml:space="preserve">(п. 6.10.4.9 в ред. </w:t>
      </w:r>
      <w:hyperlink w:history="0" r:id="rId402"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6.10.4.10. Прокладка транзитных трубопроводов с взрывопожароопасными продуктами над и под наружными установками, зданиями, а также через них не допускается. Это требование не распространяется на уравнительные и дыхательные трубопроводы, проходящие над резервуарами.</w:t>
      </w:r>
    </w:p>
    <w:p>
      <w:pPr>
        <w:pStyle w:val="0"/>
        <w:spacing w:before="200" w:line-rule="auto"/>
        <w:ind w:firstLine="540"/>
        <w:jc w:val="both"/>
      </w:pPr>
      <w:r>
        <w:rPr>
          <w:sz w:val="20"/>
        </w:rPr>
        <w:t xml:space="preserve">6.10.4.11. При прокладке внутрицеховых технологических эстакад между установками эстакада может примыкать к одной установке, а расстояние между эстакадой и другой установкой должно быть не менее 15 м и приниматься от крайнего трубопровода эстакады.</w:t>
      </w:r>
    </w:p>
    <w:p>
      <w:pPr>
        <w:pStyle w:val="0"/>
        <w:spacing w:before="200" w:line-rule="auto"/>
        <w:ind w:firstLine="540"/>
        <w:jc w:val="both"/>
      </w:pPr>
      <w:r>
        <w:rPr>
          <w:sz w:val="20"/>
        </w:rPr>
        <w:t xml:space="preserve">6.10.4.12. На трубопроводах жидкого и газообразного топлива, сжигаемого в технологических печах, должны быть установлены отключающие задвижки, позволяющие одновременно прекращать подачу топлива ко всем форсункам.</w:t>
      </w:r>
    </w:p>
    <w:p>
      <w:pPr>
        <w:pStyle w:val="0"/>
        <w:spacing w:before="200" w:line-rule="auto"/>
        <w:ind w:firstLine="540"/>
        <w:jc w:val="both"/>
      </w:pPr>
      <w:r>
        <w:rPr>
          <w:sz w:val="20"/>
        </w:rPr>
        <w:t xml:space="preserve">При расположении печей вне зданий отключающие задвижки на трубопроводах должны устанавливаться на расстоянии не менее 10 м от форсунок, а при расположении печей в помещении задвижки должны устанавливаться вне помещения.</w:t>
      </w:r>
    </w:p>
    <w:p>
      <w:pPr>
        <w:pStyle w:val="0"/>
        <w:spacing w:before="200" w:line-rule="auto"/>
        <w:ind w:firstLine="540"/>
        <w:jc w:val="both"/>
      </w:pPr>
      <w:r>
        <w:rPr>
          <w:sz w:val="20"/>
        </w:rPr>
        <w:t xml:space="preserve">6.10.4.13. Газопроводы к форсункам технологических печей должны быть оборудованы подогревателем газа или системой сбора конденсата и продувочной линией.</w:t>
      </w:r>
    </w:p>
    <w:p>
      <w:pPr>
        <w:pStyle w:val="0"/>
        <w:spacing w:before="200" w:line-rule="auto"/>
        <w:ind w:firstLine="540"/>
        <w:jc w:val="both"/>
      </w:pPr>
      <w:r>
        <w:rPr>
          <w:sz w:val="20"/>
        </w:rPr>
        <w:t xml:space="preserve">6.10.4.14. Территория вокруг стволов отдельно стоящей факельной установки на расстоянии, определяемом расчетом, но не менее 50 м от них, должна быть ограждена и обозначена предупредительными знаками.</w:t>
      </w:r>
    </w:p>
    <w:p>
      <w:pPr>
        <w:pStyle w:val="0"/>
        <w:spacing w:before="200" w:line-rule="auto"/>
        <w:ind w:firstLine="540"/>
        <w:jc w:val="both"/>
      </w:pPr>
      <w:r>
        <w:rPr>
          <w:sz w:val="20"/>
        </w:rPr>
        <w:t xml:space="preserve">Устройство колодцев, приямков и других заглублений, а также размещение емкости газового конденсата (сепараторы и другое оборудование) в пределах ограждения территории вокруг ствола факела не допускается.</w:t>
      </w:r>
    </w:p>
    <w:p>
      <w:pPr>
        <w:pStyle w:val="0"/>
        <w:ind w:firstLine="540"/>
        <w:jc w:val="both"/>
      </w:pPr>
      <w:r>
        <w:rPr>
          <w:sz w:val="20"/>
        </w:rPr>
      </w:r>
    </w:p>
    <w:p>
      <w:pPr>
        <w:pStyle w:val="2"/>
        <w:outlineLvl w:val="3"/>
        <w:ind w:firstLine="540"/>
        <w:jc w:val="both"/>
      </w:pPr>
      <w:r>
        <w:rPr>
          <w:sz w:val="20"/>
        </w:rPr>
        <w:t xml:space="preserve">6.10.5. Производственные здания, сооружения, наружные установки</w:t>
      </w:r>
    </w:p>
    <w:p>
      <w:pPr>
        <w:pStyle w:val="0"/>
        <w:ind w:firstLine="540"/>
        <w:jc w:val="both"/>
      </w:pPr>
      <w:r>
        <w:rPr>
          <w:sz w:val="20"/>
        </w:rPr>
      </w:r>
    </w:p>
    <w:p>
      <w:pPr>
        <w:pStyle w:val="0"/>
        <w:ind w:firstLine="540"/>
        <w:jc w:val="both"/>
      </w:pPr>
      <w:r>
        <w:rPr>
          <w:sz w:val="20"/>
        </w:rPr>
        <w:t xml:space="preserve">6.10.5.1. Производственные и складские здания, сооружения, размещаемые в производственной зоне и зоне сырьевых и товарных складов (парков), должны быть I или II степени огнестойкости классов конструктивной пожарной опасности C0 или C1.</w:t>
      </w:r>
    </w:p>
    <w:p>
      <w:pPr>
        <w:pStyle w:val="0"/>
        <w:jc w:val="both"/>
      </w:pPr>
      <w:r>
        <w:rPr>
          <w:sz w:val="20"/>
        </w:rPr>
        <w:t xml:space="preserve">(п. 6.10.5.1 в ред. </w:t>
      </w:r>
      <w:hyperlink w:history="0" r:id="rId403"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6.10.5.2. В производственном здании большой протяженности, примыкающем к наружной установке, необходимо предусматривать на нулевой отметке сквозные проходы без входа в здание. Расстояние между проходами не должно превышать 120 м.</w:t>
      </w:r>
    </w:p>
    <w:p>
      <w:pPr>
        <w:pStyle w:val="0"/>
        <w:spacing w:before="200" w:line-rule="auto"/>
        <w:ind w:firstLine="540"/>
        <w:jc w:val="both"/>
      </w:pPr>
      <w:r>
        <w:rPr>
          <w:sz w:val="20"/>
        </w:rPr>
        <w:t xml:space="preserve">Проход должен совпадать с разрывом в наружной установке на нулевой отметке.</w:t>
      </w:r>
    </w:p>
    <w:bookmarkStart w:id="3481" w:name="P3481"/>
    <w:bookmarkEnd w:id="3481"/>
    <w:p>
      <w:pPr>
        <w:pStyle w:val="0"/>
        <w:spacing w:before="200" w:line-rule="auto"/>
        <w:ind w:firstLine="540"/>
        <w:jc w:val="both"/>
      </w:pPr>
      <w:r>
        <w:rPr>
          <w:sz w:val="20"/>
        </w:rPr>
        <w:t xml:space="preserve">6.10.5.3. При расположении наружной установки у стены без проемов производственного здания и необходимости обслуживания наружной установки из расположенных в здании помещений в стене производственного здания допускается устройство выходов на наружную установку при следующих условиях:</w:t>
      </w:r>
    </w:p>
    <w:p>
      <w:pPr>
        <w:pStyle w:val="0"/>
        <w:spacing w:before="200" w:line-rule="auto"/>
        <w:ind w:firstLine="540"/>
        <w:jc w:val="both"/>
      </w:pPr>
      <w:r>
        <w:rPr>
          <w:sz w:val="20"/>
        </w:rPr>
        <w:t xml:space="preserve">а) выходы защищены самозакрывающимися противопожарными дверями с пределом огнестойкости не менее EI 60, имеют пандус высотой не менее 0,15 м;</w:t>
      </w:r>
    </w:p>
    <w:p>
      <w:pPr>
        <w:pStyle w:val="0"/>
        <w:spacing w:before="200" w:line-rule="auto"/>
        <w:ind w:firstLine="540"/>
        <w:jc w:val="both"/>
      </w:pPr>
      <w:r>
        <w:rPr>
          <w:sz w:val="20"/>
        </w:rPr>
        <w:t xml:space="preserve">б) в расчет путей эвакуации эти выходы не включаются;</w:t>
      </w:r>
    </w:p>
    <w:p>
      <w:pPr>
        <w:pStyle w:val="0"/>
        <w:spacing w:before="200" w:line-rule="auto"/>
        <w:ind w:firstLine="540"/>
        <w:jc w:val="both"/>
      </w:pPr>
      <w:r>
        <w:rPr>
          <w:sz w:val="20"/>
        </w:rPr>
        <w:t xml:space="preserve">в) расстояние от этих выходов до аппаратов и емкостей, расположенных на наружной установке, должно быть не менее 4 м.</w:t>
      </w:r>
    </w:p>
    <w:p>
      <w:pPr>
        <w:pStyle w:val="0"/>
        <w:spacing w:before="200" w:line-rule="auto"/>
        <w:ind w:firstLine="540"/>
        <w:jc w:val="both"/>
      </w:pPr>
      <w:r>
        <w:rPr>
          <w:sz w:val="20"/>
        </w:rPr>
        <w:t xml:space="preserve">Предел огнестойкости стены должен быть не менее REI 120.</w:t>
      </w:r>
    </w:p>
    <w:p>
      <w:pPr>
        <w:pStyle w:val="0"/>
        <w:spacing w:before="200" w:line-rule="auto"/>
        <w:ind w:firstLine="540"/>
        <w:jc w:val="both"/>
      </w:pPr>
      <w:r>
        <w:rPr>
          <w:sz w:val="20"/>
        </w:rPr>
        <w:t xml:space="preserve">6.10.5.4. Над помещениями категорий А и Б размещение помещений категорий В, Г и Д не допускается.</w:t>
      </w:r>
    </w:p>
    <w:p>
      <w:pPr>
        <w:pStyle w:val="0"/>
        <w:spacing w:before="200" w:line-rule="auto"/>
        <w:ind w:firstLine="540"/>
        <w:jc w:val="both"/>
      </w:pPr>
      <w:r>
        <w:rPr>
          <w:sz w:val="20"/>
        </w:rPr>
        <w:t xml:space="preserve">6.10.5.5. Объем сжиженных углеводородных газов в сборниках и отстойниках, располагаемых в пределах габаритов этажерки, не должен превышать 25 м</w:t>
      </w:r>
      <w:r>
        <w:rPr>
          <w:sz w:val="20"/>
          <w:vertAlign w:val="superscript"/>
        </w:rPr>
        <w:t xml:space="preserve">3</w:t>
      </w:r>
      <w:r>
        <w:rPr>
          <w:sz w:val="20"/>
        </w:rPr>
        <w:t xml:space="preserve">, легковоспламеняющихся жидкостей 50 м</w:t>
      </w:r>
      <w:r>
        <w:rPr>
          <w:sz w:val="20"/>
          <w:vertAlign w:val="superscript"/>
        </w:rPr>
        <w:t xml:space="preserve">3</w:t>
      </w:r>
      <w:r>
        <w:rPr>
          <w:sz w:val="20"/>
        </w:rPr>
        <w:t xml:space="preserve">.</w:t>
      </w:r>
    </w:p>
    <w:p>
      <w:pPr>
        <w:pStyle w:val="0"/>
        <w:spacing w:before="200" w:line-rule="auto"/>
        <w:ind w:firstLine="540"/>
        <w:jc w:val="both"/>
      </w:pPr>
      <w:r>
        <w:rPr>
          <w:sz w:val="20"/>
        </w:rPr>
        <w:t xml:space="preserve">6.10.5.6. Насосные агрегаты допускается размещать как в насосных, так и непосредственно у связанного с ними оборудования. Под понятием "насосная" следует понимать группу насосов с числом насосов более трех, которые удалены друг от друга не более трех метров. Насосные сжиженных углеводородных газов, легковоспламеняющихся и горючих жидкостей могут быть закрытыми (размещение в зданиях) и открытыми (размещение под этажерками, под навесами и на открытых площадках).</w:t>
      </w:r>
    </w:p>
    <w:p>
      <w:pPr>
        <w:pStyle w:val="0"/>
        <w:spacing w:before="200" w:line-rule="auto"/>
        <w:ind w:firstLine="540"/>
        <w:jc w:val="both"/>
      </w:pPr>
      <w:r>
        <w:rPr>
          <w:sz w:val="20"/>
        </w:rPr>
        <w:t xml:space="preserve">6.10.5.7. В открытых насосных, расположенных под этажерками и навесами, площадь устраиваемых в них защитных боковых ограждений должна составлять не более 50% общей площади закрываемой стороны (считая по высоте от пола до выступающей части перекрытия или покрытия насосной).</w:t>
      </w:r>
    </w:p>
    <w:p>
      <w:pPr>
        <w:pStyle w:val="0"/>
        <w:spacing w:before="200" w:line-rule="auto"/>
        <w:ind w:firstLine="540"/>
        <w:jc w:val="both"/>
      </w:pPr>
      <w:r>
        <w:rPr>
          <w:sz w:val="20"/>
        </w:rPr>
        <w:t xml:space="preserve">Защитные боковые ограждения открытых насосных должны быть из материалов НГ и по условиям естественной вентиляции не доходить до пола и покрытия (перекрытия) насосной не менее чем на 0,3 м.</w:t>
      </w:r>
    </w:p>
    <w:p>
      <w:pPr>
        <w:pStyle w:val="0"/>
        <w:spacing w:before="200" w:line-rule="auto"/>
        <w:ind w:firstLine="540"/>
        <w:jc w:val="both"/>
      </w:pPr>
      <w:r>
        <w:rPr>
          <w:sz w:val="20"/>
        </w:rPr>
        <w:t xml:space="preserve">6.10.5.8. При проектировании взрывопожароопасных производств для перемещения горючих жидкостей, нагретых выше температуры вспышки, легковоспламеняющихся жидкостей и сжиженных углеводородных газов следует применять насосы повышенной надежности, имеющие герметичное исполнение или двойное торцевое уплотнение вала.</w:t>
      </w:r>
    </w:p>
    <w:p>
      <w:pPr>
        <w:pStyle w:val="0"/>
        <w:spacing w:before="200" w:line-rule="auto"/>
        <w:ind w:firstLine="540"/>
        <w:jc w:val="both"/>
      </w:pPr>
      <w:r>
        <w:rPr>
          <w:sz w:val="20"/>
        </w:rPr>
        <w:t xml:space="preserve">6.10.5.9. Длина каждого отделения закрытой насосной сжиженных углеводородных газов, легковоспламеняющихся и горючих жидкостей не должна превышать 90 м. При большей длине насосная должна разделяться на отсеки стенами с пределом огнестойкости не менее REI 90. Такими же стенами должны отделяться насосные, перекачивающие горючие продукты, нагретые до температуры 250 °C и выше, от других насосных.</w:t>
      </w:r>
    </w:p>
    <w:p>
      <w:pPr>
        <w:pStyle w:val="0"/>
        <w:spacing w:before="200" w:line-rule="auto"/>
        <w:ind w:firstLine="540"/>
        <w:jc w:val="both"/>
      </w:pPr>
      <w:r>
        <w:rPr>
          <w:sz w:val="20"/>
        </w:rPr>
        <w:t xml:space="preserve">Насосные, перекачивающие продукты, нагретые до температуры 250 °C и выше, должны разделяться на отсеки площадью не более 650 м</w:t>
      </w:r>
      <w:r>
        <w:rPr>
          <w:sz w:val="20"/>
          <w:vertAlign w:val="superscript"/>
        </w:rPr>
        <w:t xml:space="preserve">2</w:t>
      </w:r>
      <w:r>
        <w:rPr>
          <w:sz w:val="20"/>
        </w:rPr>
        <w:t xml:space="preserve">.</w:t>
      </w:r>
    </w:p>
    <w:p>
      <w:pPr>
        <w:pStyle w:val="0"/>
        <w:spacing w:before="200" w:line-rule="auto"/>
        <w:ind w:firstLine="540"/>
        <w:jc w:val="both"/>
      </w:pPr>
      <w:r>
        <w:rPr>
          <w:sz w:val="20"/>
        </w:rPr>
        <w:t xml:space="preserve">6.10.5.10. При размещении насосов под этажерками, навесами и на открытых площадках через 90 м по длине должно предусматриваться одно из следующих мероприятий:</w:t>
      </w:r>
    </w:p>
    <w:p>
      <w:pPr>
        <w:pStyle w:val="0"/>
        <w:spacing w:before="200" w:line-rule="auto"/>
        <w:ind w:firstLine="540"/>
        <w:jc w:val="both"/>
      </w:pPr>
      <w:r>
        <w:rPr>
          <w:sz w:val="20"/>
        </w:rPr>
        <w:t xml:space="preserve">а) стена без проемов до перекрытия первого этажа или навеса с пределом огнестойкости не менее REI 120;</w:t>
      </w:r>
    </w:p>
    <w:p>
      <w:pPr>
        <w:pStyle w:val="0"/>
        <w:spacing w:before="200" w:line-rule="auto"/>
        <w:ind w:firstLine="540"/>
        <w:jc w:val="both"/>
      </w:pPr>
      <w:r>
        <w:rPr>
          <w:sz w:val="20"/>
        </w:rPr>
        <w:t xml:space="preserve">б) расстояние между насосами (зона) на всю ширину насосной не менее 6 м при устройстве в этом коридоре водяной (водопенной) завесы с интенсивностью подачи воды (раствора пенообразователя) не менее 0,5 л/(м</w:t>
      </w:r>
      <w:r>
        <w:rPr>
          <w:sz w:val="20"/>
          <w:vertAlign w:val="superscript"/>
        </w:rPr>
        <w:t xml:space="preserve">2</w:t>
      </w:r>
      <w:r>
        <w:rPr>
          <w:sz w:val="20"/>
        </w:rPr>
        <w:t xml:space="preserve">·с) либо расстояние между насосами (зона) на всю ширину насосной не менее 15 м. При этом исключается возможность растекания перекачиваемого продукта через зону.</w:t>
      </w:r>
    </w:p>
    <w:p>
      <w:pPr>
        <w:pStyle w:val="0"/>
        <w:spacing w:before="200" w:line-rule="auto"/>
        <w:ind w:firstLine="540"/>
        <w:jc w:val="both"/>
      </w:pPr>
      <w:r>
        <w:rPr>
          <w:sz w:val="20"/>
        </w:rPr>
        <w:t xml:space="preserve">При размещении насосов под многоярусными этажерками выполнение указанных мероприятий обязательно только для первого яруса (этажа).</w:t>
      </w:r>
    </w:p>
    <w:p>
      <w:pPr>
        <w:pStyle w:val="0"/>
        <w:spacing w:before="200" w:line-rule="auto"/>
        <w:ind w:firstLine="540"/>
        <w:jc w:val="both"/>
      </w:pPr>
      <w:r>
        <w:rPr>
          <w:sz w:val="20"/>
        </w:rPr>
        <w:t xml:space="preserve">6.10.5.11. Расстояние от насосной, расположенной вне помещения, до технологического оборудования наружной установки не нормируется, если суммарная ширина наружной установки и открытой насосной не превышает допустимую </w:t>
      </w:r>
      <w:hyperlink w:history="0" w:anchor="P3556" w:tooltip="6.10.5.29. Ширина отдельно стоящей наружной установки или ее секций должна быть не более 42 м при высоте этажерки и оборудования до 18 м и не более 36 м при высоте этажерки и оборудования более 18 м.">
        <w:r>
          <w:rPr>
            <w:sz w:val="20"/>
            <w:color w:val="0000ff"/>
          </w:rPr>
          <w:t xml:space="preserve">подпунктом 6.10.5.29</w:t>
        </w:r>
      </w:hyperlink>
      <w:r>
        <w:rPr>
          <w:sz w:val="20"/>
        </w:rPr>
        <w:t xml:space="preserve">.</w:t>
      </w:r>
    </w:p>
    <w:p>
      <w:pPr>
        <w:pStyle w:val="0"/>
        <w:spacing w:before="200" w:line-rule="auto"/>
        <w:ind w:firstLine="540"/>
        <w:jc w:val="both"/>
      </w:pPr>
      <w:r>
        <w:rPr>
          <w:sz w:val="20"/>
        </w:rPr>
        <w:t xml:space="preserve">Размещение оборудования вдоль двух продольных сторон открытой насосной не допускается. В случаях, когда это требование выполнить не представляется возможным, расстояние от одной из продольных сторон насосной до оборудования должно быть не менее 5 м.</w:t>
      </w:r>
    </w:p>
    <w:p>
      <w:pPr>
        <w:pStyle w:val="0"/>
        <w:spacing w:before="200" w:line-rule="auto"/>
        <w:ind w:firstLine="540"/>
        <w:jc w:val="both"/>
      </w:pPr>
      <w:r>
        <w:rPr>
          <w:sz w:val="20"/>
        </w:rPr>
        <w:t xml:space="preserve">Размещение наружной установки и насосной по отношению друг к другу следует предусматривать на расстоянии не менее 15 м в случаях, когда суммарная ширина наружной установки и открытой насосной превышает допустимую.</w:t>
      </w:r>
    </w:p>
    <w:p>
      <w:pPr>
        <w:pStyle w:val="0"/>
        <w:spacing w:before="200" w:line-rule="auto"/>
        <w:ind w:firstLine="540"/>
        <w:jc w:val="both"/>
      </w:pPr>
      <w:r>
        <w:rPr>
          <w:sz w:val="20"/>
        </w:rPr>
        <w:t xml:space="preserve">Примечание. При определении ширины установки в нее включается и расстояние 5 м, если оно предусмотрено от одной из продольных сторон открытой насосной до оборудования.</w:t>
      </w:r>
    </w:p>
    <w:p>
      <w:pPr>
        <w:pStyle w:val="0"/>
        <w:ind w:firstLine="540"/>
        <w:jc w:val="both"/>
      </w:pPr>
      <w:r>
        <w:rPr>
          <w:sz w:val="20"/>
        </w:rPr>
      </w:r>
    </w:p>
    <w:p>
      <w:pPr>
        <w:pStyle w:val="0"/>
        <w:ind w:firstLine="540"/>
        <w:jc w:val="both"/>
      </w:pPr>
      <w:r>
        <w:rPr>
          <w:sz w:val="20"/>
        </w:rPr>
        <w:t xml:space="preserve">6.10.5.12. Ввод электрических кабелей и кабелей системы контрольно-измерительных приборов и автоматики (КИПиА) в открытые насосные осуществляется не менее чем в двух местах, с целью уменьшения вероятности выхода их из строя при пожарах и авариях.</w:t>
      </w:r>
    </w:p>
    <w:p>
      <w:pPr>
        <w:pStyle w:val="0"/>
        <w:spacing w:before="200" w:line-rule="auto"/>
        <w:ind w:firstLine="540"/>
        <w:jc w:val="both"/>
      </w:pPr>
      <w:r>
        <w:rPr>
          <w:sz w:val="20"/>
        </w:rPr>
        <w:t xml:space="preserve">6.10.5.13. Дверные проемы в стенах из материалов НГ, разделяющих насосные на отсеки, должны быть защищены самозакрывающимися дверями с пределом огнестойкости не менее EI 60.</w:t>
      </w:r>
    </w:p>
    <w:p>
      <w:pPr>
        <w:pStyle w:val="0"/>
        <w:spacing w:before="200" w:line-rule="auto"/>
        <w:ind w:firstLine="540"/>
        <w:jc w:val="both"/>
      </w:pPr>
      <w:r>
        <w:rPr>
          <w:sz w:val="20"/>
        </w:rPr>
        <w:t xml:space="preserve">6.10.5.14. При размещении насосов под этажерками должна быть предусмотрена возможность дистанционной остановки насосов от кнопочных постов управления, установленных в безопасных местах. Предел огнестойкости строительных конструкций при этом принимается не менее: колонн - R 120, балок и ригелей - R 60. Перекрытие над насосами должно быть железобетонным, без проемов и по периметру иметь борт высотой не менее 0,15 м.</w:t>
      </w:r>
    </w:p>
    <w:p>
      <w:pPr>
        <w:pStyle w:val="0"/>
        <w:spacing w:before="200" w:line-rule="auto"/>
        <w:ind w:firstLine="540"/>
        <w:jc w:val="both"/>
      </w:pPr>
      <w:r>
        <w:rPr>
          <w:sz w:val="20"/>
        </w:rPr>
        <w:t xml:space="preserve">6.10.5.15. На покрытии зданий насосных допускается устанавливать холодильники и конденсаторы водяного и воздушного охлаждения (кроме конденсаторов погружного типа), теплообменники, рефлюксные и флегмовые емкости, сепараторы. При этом должны соблюдаться следующие условия:</w:t>
      </w:r>
    </w:p>
    <w:p>
      <w:pPr>
        <w:pStyle w:val="0"/>
        <w:spacing w:before="200" w:line-rule="auto"/>
        <w:ind w:firstLine="540"/>
        <w:jc w:val="both"/>
      </w:pPr>
      <w:r>
        <w:rPr>
          <w:sz w:val="20"/>
        </w:rPr>
        <w:t xml:space="preserve">а) покрытие зданий насосных, на котором установлены указанные выше аппараты, должно иметь предел огнестойкости не менее REI 60, быть непроницаемым для жидкости и иметь по периметру сплошной ограждающий борт высотой не менее 0,15 м с устройством для отвода разлившейся жидкости в специальные емкости. Число стояков должно определяться расчетом, но не менее двух, диаметром не менее 100 мм каждый. Эти же емкости предназначены для сбора атмосферных осадков;</w:t>
      </w:r>
    </w:p>
    <w:p>
      <w:pPr>
        <w:pStyle w:val="0"/>
        <w:spacing w:before="200" w:line-rule="auto"/>
        <w:ind w:firstLine="540"/>
        <w:jc w:val="both"/>
      </w:pPr>
      <w:r>
        <w:rPr>
          <w:sz w:val="20"/>
        </w:rPr>
        <w:t xml:space="preserve">б) устанавливать перечисленные аппараты на покрытии здания насосных допускается не более чем в два яруса (этажа);</w:t>
      </w:r>
    </w:p>
    <w:p>
      <w:pPr>
        <w:pStyle w:val="0"/>
        <w:spacing w:before="200" w:line-rule="auto"/>
        <w:ind w:firstLine="540"/>
        <w:jc w:val="both"/>
      </w:pPr>
      <w:r>
        <w:rPr>
          <w:sz w:val="20"/>
        </w:rPr>
        <w:t xml:space="preserve">в) здание насосной через каждые 90 м длины должно разделяться стенами с пределом огнестойкости не менее REI 120 на расстоянии не менее 6 м одна от другой. Между ними должен устраиваться сквозной проход. Расстояние по горизонтали от ближайшего аппарата, установленного на покрытии насосной или на этажерках над ней, до разделительной стены из материала НГ должно быть не менее 3 м;</w:t>
      </w:r>
    </w:p>
    <w:p>
      <w:pPr>
        <w:pStyle w:val="0"/>
        <w:spacing w:before="200" w:line-rule="auto"/>
        <w:ind w:firstLine="540"/>
        <w:jc w:val="both"/>
      </w:pPr>
      <w:r>
        <w:rPr>
          <w:sz w:val="20"/>
        </w:rPr>
        <w:t xml:space="preserve">г) над зданием насосной допускается устанавливать емкостные аппараты с регуляторами уровня, емкостью не более 25 м</w:t>
      </w:r>
      <w:r>
        <w:rPr>
          <w:sz w:val="20"/>
          <w:vertAlign w:val="superscript"/>
        </w:rPr>
        <w:t xml:space="preserve">3</w:t>
      </w:r>
      <w:r>
        <w:rPr>
          <w:sz w:val="20"/>
        </w:rPr>
        <w:t xml:space="preserve"> каждый для легковоспламеняющихся и горючих жидкостей, и 10 м</w:t>
      </w:r>
      <w:r>
        <w:rPr>
          <w:sz w:val="20"/>
          <w:vertAlign w:val="superscript"/>
        </w:rPr>
        <w:t xml:space="preserve">3</w:t>
      </w:r>
      <w:r>
        <w:rPr>
          <w:sz w:val="20"/>
        </w:rPr>
        <w:t xml:space="preserve"> для сжиженных углеводородных газов с гарантированным заполнением тех и других не более чем на 50%;</w:t>
      </w:r>
    </w:p>
    <w:p>
      <w:pPr>
        <w:pStyle w:val="0"/>
        <w:spacing w:before="200" w:line-rule="auto"/>
        <w:ind w:firstLine="540"/>
        <w:jc w:val="both"/>
      </w:pPr>
      <w:r>
        <w:rPr>
          <w:sz w:val="20"/>
        </w:rPr>
        <w:t xml:space="preserve">д) в продольных стенах насосной допускается устройство оконных проемов, если связанная с насосной наружная аппаратура расположена не менее 12 м от здания насосной;</w:t>
      </w:r>
    </w:p>
    <w:p>
      <w:pPr>
        <w:pStyle w:val="0"/>
        <w:spacing w:before="200" w:line-rule="auto"/>
        <w:ind w:firstLine="540"/>
        <w:jc w:val="both"/>
      </w:pPr>
      <w:r>
        <w:rPr>
          <w:sz w:val="20"/>
        </w:rPr>
        <w:t xml:space="preserve">е) участки покрытия насосной, по которым проходят пути эвакуации с этажерки, должны выполняться монолитными или из замоноличенных железобетонных плит;</w:t>
      </w:r>
    </w:p>
    <w:p>
      <w:pPr>
        <w:pStyle w:val="0"/>
        <w:spacing w:before="200" w:line-rule="auto"/>
        <w:ind w:firstLine="540"/>
        <w:jc w:val="both"/>
      </w:pPr>
      <w:r>
        <w:rPr>
          <w:sz w:val="20"/>
        </w:rPr>
        <w:t xml:space="preserve">ж) коммуникации, расположенные над зданием насосной, должны иметь минимальное количество фланцевых соединений;</w:t>
      </w:r>
    </w:p>
    <w:p>
      <w:pPr>
        <w:pStyle w:val="0"/>
        <w:spacing w:before="200" w:line-rule="auto"/>
        <w:ind w:firstLine="540"/>
        <w:jc w:val="both"/>
      </w:pPr>
      <w:r>
        <w:rPr>
          <w:sz w:val="20"/>
        </w:rPr>
        <w:t xml:space="preserve">и) из емкостной аппаратуры должен обеспечиваться слив в аварийные емкости или опорожнение ее технологическими насосами в аппараты смежных отделений или цехов данного производства, или в складские емкости;</w:t>
      </w:r>
    </w:p>
    <w:p>
      <w:pPr>
        <w:pStyle w:val="0"/>
        <w:spacing w:before="200" w:line-rule="auto"/>
        <w:ind w:firstLine="540"/>
        <w:jc w:val="both"/>
      </w:pPr>
      <w:r>
        <w:rPr>
          <w:sz w:val="20"/>
        </w:rPr>
        <w:t xml:space="preserve">к) на случай аварии должна обеспечиваться возможность остановки насосов снаружи здания насосной;</w:t>
      </w:r>
    </w:p>
    <w:p>
      <w:pPr>
        <w:pStyle w:val="0"/>
        <w:spacing w:before="200" w:line-rule="auto"/>
        <w:ind w:firstLine="540"/>
        <w:jc w:val="both"/>
      </w:pPr>
      <w:r>
        <w:rPr>
          <w:sz w:val="20"/>
        </w:rPr>
        <w:t xml:space="preserve">л) при длине наружной этажерки, расположенной у здания насосной более 90 м, через каждые 90 м она должна разделяться на секции противопожарными разрывами: не менее 6 м при высоте этажерки до 12 м и не менее 12 м при высоте этажерки 12 м и более.</w:t>
      </w:r>
    </w:p>
    <w:p>
      <w:pPr>
        <w:pStyle w:val="0"/>
        <w:spacing w:before="200" w:line-rule="auto"/>
        <w:ind w:firstLine="540"/>
        <w:jc w:val="both"/>
      </w:pPr>
      <w:r>
        <w:rPr>
          <w:sz w:val="20"/>
        </w:rPr>
        <w:t xml:space="preserve">Эти разрывы должны совпадать с проходами между разделительными стенами здания.</w:t>
      </w:r>
    </w:p>
    <w:p>
      <w:pPr>
        <w:pStyle w:val="0"/>
        <w:spacing w:before="200" w:line-rule="auto"/>
        <w:ind w:firstLine="540"/>
        <w:jc w:val="both"/>
      </w:pPr>
      <w:r>
        <w:rPr>
          <w:sz w:val="20"/>
        </w:rPr>
        <w:t xml:space="preserve">6.10.5.16. Прокладка технологических трубопроводов через покрытие насосной не допускается. При необходимости такой прокладки каждый трубопровод должен быть проложен в гильзе с уплотнением, выступающей не менее чем на 0,15 м выше кровли покрытия.</w:t>
      </w:r>
    </w:p>
    <w:p>
      <w:pPr>
        <w:pStyle w:val="0"/>
        <w:spacing w:before="200" w:line-rule="auto"/>
        <w:ind w:firstLine="540"/>
        <w:jc w:val="both"/>
      </w:pPr>
      <w:r>
        <w:rPr>
          <w:sz w:val="20"/>
        </w:rPr>
        <w:t xml:space="preserve">6.10.5.17. Всасывающие и нагнетательные трубопроводы горючих продуктов, связывающие технологическую аппаратуру с насосами, должны иметь отключающую арматуру, расположенную вне насосной на расстоянии по горизонтали не менее 3 м от здания насосной и 5 м от открытой насосной, но не более 50 м. Установка отключающей арматуры не требуется, если на указанном расстоянии она имеется у аппарата.</w:t>
      </w:r>
    </w:p>
    <w:p>
      <w:pPr>
        <w:pStyle w:val="0"/>
        <w:spacing w:before="200" w:line-rule="auto"/>
        <w:ind w:firstLine="540"/>
        <w:jc w:val="both"/>
      </w:pPr>
      <w:r>
        <w:rPr>
          <w:sz w:val="20"/>
        </w:rPr>
        <w:t xml:space="preserve">6.10.5.18. Конструкции наружных этажерок, на которых расположены оборудование и аппаратура, содержащие легковоспламеняющиеся и горючие жидкости и сжиженные углеводородные газы, выполняются в железобетоне. При выполнении этажерок в металле нижняя часть их на высоту первого этажа (включая перекрытие первого этажа), но не менее 4 м должна быть защищена от воздействия высокой температуры. Предел огнестойкости должен быть не менее: для колонн этажерки - R 120, для балок, ригелей, связей - R 60.</w:t>
      </w:r>
    </w:p>
    <w:p>
      <w:pPr>
        <w:pStyle w:val="0"/>
        <w:spacing w:before="200" w:line-rule="auto"/>
        <w:ind w:firstLine="540"/>
        <w:jc w:val="both"/>
      </w:pPr>
      <w:r>
        <w:rPr>
          <w:sz w:val="20"/>
        </w:rPr>
        <w:t xml:space="preserve">Опорные конструкции под отдельно стоящие на нулевой отметке емкостные аппараты и емкости, содержащие легковоспламеняющиеся и горючие жидкости и сжиженные углеводородные газы, должны иметь предел огнестойкости не менее R 60.</w:t>
      </w:r>
    </w:p>
    <w:p>
      <w:pPr>
        <w:pStyle w:val="0"/>
        <w:spacing w:before="200" w:line-rule="auto"/>
        <w:ind w:firstLine="540"/>
        <w:jc w:val="both"/>
      </w:pPr>
      <w:r>
        <w:rPr>
          <w:sz w:val="20"/>
        </w:rPr>
        <w:t xml:space="preserve">Предел огнестойкости "юбок" колонных аппаратов и опор резервуаров с легковоспламеняющимися жидкостями, хранящимися под давлением, и сжиженными углеводородными газами должен быть не менее R 120.</w:t>
      </w:r>
    </w:p>
    <w:p>
      <w:pPr>
        <w:pStyle w:val="0"/>
        <w:spacing w:before="200" w:line-rule="auto"/>
        <w:ind w:firstLine="540"/>
        <w:jc w:val="both"/>
      </w:pPr>
      <w:r>
        <w:rPr>
          <w:sz w:val="20"/>
        </w:rPr>
        <w:t xml:space="preserve">6.10.5.19. На одноэтажных наружных металлических этажерках, у которых колонны, несущие балки, ригеля защищены от воздействия высоких температур, металлические настилы, предназначенные только для прохода, могут не защищаться.</w:t>
      </w:r>
    </w:p>
    <w:p>
      <w:pPr>
        <w:pStyle w:val="0"/>
        <w:spacing w:before="200" w:line-rule="auto"/>
        <w:ind w:firstLine="540"/>
        <w:jc w:val="both"/>
      </w:pPr>
      <w:r>
        <w:rPr>
          <w:sz w:val="20"/>
        </w:rPr>
        <w:t xml:space="preserve">6.10.5.20. Технологические площадки и перекрытия этажерок, если на них установлены аппараты и оборудование, содержащие сжиженные углеводородные газы, легковоспламеняющиеся и горючие жидкости, должны быть сплошными, непроницаемыми для жидкостей и ограждены по периметру сплошным бортом высотой не менее 0,15 м с устройством пандуса у выходов на лестницы.</w:t>
      </w:r>
    </w:p>
    <w:p>
      <w:pPr>
        <w:pStyle w:val="0"/>
        <w:spacing w:before="200" w:line-rule="auto"/>
        <w:ind w:firstLine="540"/>
        <w:jc w:val="both"/>
      </w:pPr>
      <w:r>
        <w:rPr>
          <w:sz w:val="20"/>
        </w:rPr>
        <w:t xml:space="preserve">Группы аппаратов и оборудования, установленные под этажерками, должны ограждаться бортом высотой не менее 0,15 м на расстоянии не менее 1 м от аппаратов и оборудования. Аппараты и оборудование с жидкими продуктами, установленные на открытых площадках вне этажерок, также должны быть ограждены бортом, как указано выше.</w:t>
      </w:r>
    </w:p>
    <w:p>
      <w:pPr>
        <w:pStyle w:val="0"/>
        <w:spacing w:before="200" w:line-rule="auto"/>
        <w:ind w:firstLine="540"/>
        <w:jc w:val="both"/>
      </w:pPr>
      <w:r>
        <w:rPr>
          <w:sz w:val="20"/>
        </w:rPr>
        <w:t xml:space="preserve">6.10.5.21. В местах пересечения перекрытия аппаратами и трубопроводами борта, ограждающие проемы, и гильзы должны выступать на высоту не менее 0,15 м над перекрытием. Для отвода разлившейся жидкости и атмосферных осадков с площадок и перекрытий этажерок, огражденных бортами, необходимо предусматривать сливные стояки диаметром не менее 100 мм. Число стояков принимается по расчету, но не менее двух. Сбор разлившейся жидкости и атмосферных осадков должен осуществляться в специальную емкость.</w:t>
      </w:r>
    </w:p>
    <w:p>
      <w:pPr>
        <w:pStyle w:val="0"/>
        <w:spacing w:before="200" w:line-rule="auto"/>
        <w:ind w:firstLine="540"/>
        <w:jc w:val="both"/>
      </w:pPr>
      <w:r>
        <w:rPr>
          <w:sz w:val="20"/>
        </w:rPr>
        <w:t xml:space="preserve">При наличии на заводе открытой системы промышленной канализации, предназначенной для улавливания разлитых легковоспламеняющихся и горючих жидкостей, устройство специальных емкостей для сбора атмосферных осадков и разлитых жидкостей не требуется. В этом случае колодцы данной системы канализации должны содержаться закрытыми, крышки колодцев необходимо засыпать песком.</w:t>
      </w:r>
    </w:p>
    <w:p>
      <w:pPr>
        <w:pStyle w:val="0"/>
        <w:spacing w:before="200" w:line-rule="auto"/>
        <w:ind w:firstLine="540"/>
        <w:jc w:val="both"/>
      </w:pPr>
      <w:r>
        <w:rPr>
          <w:sz w:val="20"/>
        </w:rPr>
        <w:t xml:space="preserve">6.10.5.22. На установках электрообессоливания и электрообезвоживания нефти (ЭЛОУ) электродегидраторы могут устанавливаться группами общим объемом не более 2400 м</w:t>
      </w:r>
      <w:r>
        <w:rPr>
          <w:sz w:val="20"/>
          <w:vertAlign w:val="superscript"/>
        </w:rPr>
        <w:t xml:space="preserve">3</w:t>
      </w:r>
      <w:r>
        <w:rPr>
          <w:sz w:val="20"/>
        </w:rPr>
        <w:t xml:space="preserve"> в группе.</w:t>
      </w:r>
    </w:p>
    <w:p>
      <w:pPr>
        <w:pStyle w:val="0"/>
        <w:spacing w:before="200" w:line-rule="auto"/>
        <w:ind w:firstLine="540"/>
        <w:jc w:val="both"/>
      </w:pPr>
      <w:r>
        <w:rPr>
          <w:sz w:val="20"/>
        </w:rPr>
        <w:t xml:space="preserve">Расстояние между отдельными электродегидраторами в группе должно быть не менее диаметра наибольшего соседнего электродегидратора.</w:t>
      </w:r>
    </w:p>
    <w:p>
      <w:pPr>
        <w:pStyle w:val="0"/>
        <w:spacing w:before="200" w:line-rule="auto"/>
        <w:ind w:firstLine="540"/>
        <w:jc w:val="both"/>
      </w:pPr>
      <w:r>
        <w:rPr>
          <w:sz w:val="20"/>
        </w:rPr>
        <w:t xml:space="preserve">Расстояние между группами электродегидраторов должно быть не менее двух диаметров электродегидратора, но не менее 10 м. Расстояние от группы электродегидраторов до зданий установки должно быть не менее 15 м, считая от стенки ближайшего электродегидратора.</w:t>
      </w:r>
    </w:p>
    <w:p>
      <w:pPr>
        <w:pStyle w:val="0"/>
        <w:spacing w:before="200" w:line-rule="auto"/>
        <w:ind w:firstLine="540"/>
        <w:jc w:val="both"/>
      </w:pPr>
      <w:r>
        <w:rPr>
          <w:sz w:val="20"/>
        </w:rPr>
        <w:t xml:space="preserve">Каждая группа электродегидраторов должна быть ограждена со всех сторон земляным валом (обвалованием) или стеной из материала НГ. Объем, образуемый обвалованием или ограждающей стеной, должен быть рассчитан на вмещение продукта наибольшего электродегидратора, находящегося в группе.</w:t>
      </w:r>
    </w:p>
    <w:p>
      <w:pPr>
        <w:pStyle w:val="0"/>
        <w:spacing w:before="200" w:line-rule="auto"/>
        <w:ind w:firstLine="540"/>
        <w:jc w:val="both"/>
      </w:pPr>
      <w:r>
        <w:rPr>
          <w:sz w:val="20"/>
        </w:rPr>
        <w:t xml:space="preserve">6.10.5.23. Освобождение емкостей технологических аппаратов с легковоспламеняющимися и горючими жидкостями, сжиженными углеводородными газами с помощью насосов или любыми другими способами следует предусматривать в складские емкости (резервуары) промежуточных и сырьевых (товарных) складов, в технологические аппараты (смежных отделений, установок и цехов данного производства) или в специально предназначенные для этой цели аварийные или дренажные емкости. При этом должно быть обеспечено полное освобождение трубопроводов.</w:t>
      </w:r>
    </w:p>
    <w:p>
      <w:pPr>
        <w:pStyle w:val="0"/>
        <w:spacing w:before="200" w:line-rule="auto"/>
        <w:ind w:firstLine="540"/>
        <w:jc w:val="both"/>
      </w:pPr>
      <w:r>
        <w:rPr>
          <w:sz w:val="20"/>
        </w:rPr>
        <w:t xml:space="preserve">При устройстве аварийных емкостей объем их должен приниматься из расчета на один наибольший по объему аппарат цеха (установки).</w:t>
      </w:r>
    </w:p>
    <w:p>
      <w:pPr>
        <w:pStyle w:val="0"/>
        <w:spacing w:before="200" w:line-rule="auto"/>
        <w:ind w:firstLine="540"/>
        <w:jc w:val="both"/>
      </w:pPr>
      <w:r>
        <w:rPr>
          <w:sz w:val="20"/>
        </w:rPr>
        <w:t xml:space="preserve">6.10.5.24. Расстояние от производственных зданий до аварийных или дренажных емкостей принимается как для технологического оборудования, расположенного вне здания.</w:t>
      </w:r>
    </w:p>
    <w:p>
      <w:pPr>
        <w:pStyle w:val="0"/>
        <w:spacing w:before="200" w:line-rule="auto"/>
        <w:ind w:firstLine="540"/>
        <w:jc w:val="both"/>
      </w:pPr>
      <w:r>
        <w:rPr>
          <w:sz w:val="20"/>
        </w:rPr>
        <w:t xml:space="preserve">Расстояние от аппаратуры наружных установок до аварийных или дренажных емкостей не нормируется, но последние должны размещаться вне габаритных размеров этажерки.</w:t>
      </w:r>
    </w:p>
    <w:p>
      <w:pPr>
        <w:pStyle w:val="0"/>
        <w:spacing w:before="200" w:line-rule="auto"/>
        <w:ind w:firstLine="540"/>
        <w:jc w:val="both"/>
      </w:pPr>
      <w:r>
        <w:rPr>
          <w:sz w:val="20"/>
        </w:rPr>
        <w:t xml:space="preserve">6.10.5.25. Трубчатые печи для нагрева нефти, нефтепродуктов и горючих газов должны иметь устройства для продувки змеевиков паром или инертным газом.</w:t>
      </w:r>
    </w:p>
    <w:p>
      <w:pPr>
        <w:pStyle w:val="0"/>
        <w:spacing w:before="200" w:line-rule="auto"/>
        <w:ind w:firstLine="540"/>
        <w:jc w:val="both"/>
      </w:pPr>
      <w:r>
        <w:rPr>
          <w:sz w:val="20"/>
        </w:rPr>
        <w:t xml:space="preserve">6.10.5.26. Теплоизоляция технологического оборудования и резервуаров должна выполняться из НГ.</w:t>
      </w:r>
    </w:p>
    <w:p>
      <w:pPr>
        <w:pStyle w:val="0"/>
        <w:spacing w:before="200" w:line-rule="auto"/>
        <w:ind w:firstLine="540"/>
        <w:jc w:val="both"/>
      </w:pPr>
      <w:r>
        <w:rPr>
          <w:sz w:val="20"/>
        </w:rPr>
        <w:t xml:space="preserve">Для теплоизоляционных конструкций технологического оборудования и резервуаров (за исключением резервуаров сжиженных газов), в которых обращаются вещества (за исключением окислителей) при температурах не выше максимальной рабочей температуры указанных конструкций, при отсутствии требований по пределам огнестойкости и огнезащиты, допускается использование теплоизоляционных материалов, имеющих группу горючести Г1, с покровным слоем из НГ.</w:t>
      </w:r>
    </w:p>
    <w:p>
      <w:pPr>
        <w:pStyle w:val="0"/>
        <w:jc w:val="both"/>
      </w:pPr>
      <w:r>
        <w:rPr>
          <w:sz w:val="20"/>
        </w:rPr>
        <w:t xml:space="preserve">(п. 6.10.5.26 в ред. </w:t>
      </w:r>
      <w:hyperlink w:history="0" r:id="rId404"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6.10.5.27. При необходимости размещения наружных установок категорий АН, БН по обе стороны здания, с которым они связаны, или одной открытой установки с двумя зданиями, между которыми она расположена, - одна из установок или одно из зданий технологического комплекса должны располагаться на расстоянии не менее 8 м при стене без оконных проемов и не менее 12 м при стене с оконными проемами независимо от площади, занимаемой зданиями и установками. Вторая установка или здание должны располагаться с учетом требований </w:t>
      </w:r>
      <w:hyperlink w:history="0" w:anchor="P3557" w:tooltip="6.10.5.30. К одной из стен здания категорий А и Б допускается примыкание наружной установки без противопожарного разрыва при соблюдении следующих условий:">
        <w:r>
          <w:rPr>
            <w:sz w:val="20"/>
            <w:color w:val="0000ff"/>
          </w:rPr>
          <w:t xml:space="preserve">пункта 6.10.5.30</w:t>
        </w:r>
      </w:hyperlink>
      <w:r>
        <w:rPr>
          <w:sz w:val="20"/>
        </w:rPr>
        <w:t xml:space="preserve">.</w:t>
      </w:r>
    </w:p>
    <w:bookmarkStart w:id="3541" w:name="P3541"/>
    <w:bookmarkEnd w:id="3541"/>
    <w:p>
      <w:pPr>
        <w:pStyle w:val="0"/>
        <w:spacing w:before="200" w:line-rule="auto"/>
        <w:ind w:firstLine="540"/>
        <w:jc w:val="both"/>
      </w:pPr>
      <w:r>
        <w:rPr>
          <w:sz w:val="20"/>
        </w:rPr>
        <w:t xml:space="preserve">6.10.5.28. Площадь и ширина наружной установки категорий АН и БН по пожарной опасности на предприятиях не должна превышать значений, установленных в </w:t>
      </w:r>
      <w:hyperlink w:history="0" w:anchor="P1686" w:tooltip="6.5.48. Площадь одного яруса наружной этажерки или технологической площадки с оборудованием производств, размещаемых в помещениях категорий А, Б и В1 - В3 по взрывопожарной и пожарной опасности, не должна превышать:">
        <w:r>
          <w:rPr>
            <w:sz w:val="20"/>
            <w:color w:val="0000ff"/>
          </w:rPr>
          <w:t xml:space="preserve">п. 6.5.48</w:t>
        </w:r>
      </w:hyperlink>
      <w:r>
        <w:rPr>
          <w:sz w:val="20"/>
        </w:rPr>
        <w:t xml:space="preserve"> настоящего свода правил для наружных этажерок и технологических площадок с оборудованием производств, размещаемых в помещениях категорий А, Б и В1 - В3 по взрывопожарной и пожарной опасности.</w:t>
      </w:r>
    </w:p>
    <w:p>
      <w:pPr>
        <w:pStyle w:val="0"/>
        <w:spacing w:before="200" w:line-rule="auto"/>
        <w:ind w:firstLine="540"/>
        <w:jc w:val="both"/>
      </w:pPr>
      <w:r>
        <w:rPr>
          <w:sz w:val="20"/>
        </w:rPr>
        <w:t xml:space="preserve">Примечания: 1. Площадь наружной установки принимается по площади на нулевой отметке. Границы установки проходят на расстоянии 2 м от прямых линий, соединяющих максимально выступающие части аппаратов, постаментов и колонн этажерок.</w:t>
      </w:r>
    </w:p>
    <w:p>
      <w:pPr>
        <w:pStyle w:val="0"/>
        <w:spacing w:before="200" w:line-rule="auto"/>
        <w:ind w:firstLine="540"/>
        <w:jc w:val="both"/>
      </w:pPr>
      <w:r>
        <w:rPr>
          <w:sz w:val="20"/>
        </w:rPr>
        <w:t xml:space="preserve">2. Высотой установки следует считать максимальную высоту оборудования или этажерки, занимающие не менее 30% общей площади установки.</w:t>
      </w:r>
    </w:p>
    <w:p>
      <w:pPr>
        <w:pStyle w:val="0"/>
        <w:spacing w:before="200" w:line-rule="auto"/>
        <w:ind w:firstLine="540"/>
        <w:jc w:val="both"/>
      </w:pPr>
      <w:r>
        <w:rPr>
          <w:sz w:val="20"/>
        </w:rPr>
        <w:t xml:space="preserve">Допускается увеличение предельных площадей наружной установки категорий АН и БН по пожарной опасности (при высоте установки до 30 м - до 25000 м</w:t>
      </w:r>
      <w:r>
        <w:rPr>
          <w:sz w:val="20"/>
          <w:vertAlign w:val="superscript"/>
        </w:rPr>
        <w:t xml:space="preserve">2</w:t>
      </w:r>
      <w:r>
        <w:rPr>
          <w:sz w:val="20"/>
        </w:rPr>
        <w:t xml:space="preserve">, при высоте 30 м и более - до 15000 м</w:t>
      </w:r>
      <w:r>
        <w:rPr>
          <w:sz w:val="20"/>
          <w:vertAlign w:val="superscript"/>
        </w:rPr>
        <w:t xml:space="preserve">2</w:t>
      </w:r>
      <w:r>
        <w:rPr>
          <w:sz w:val="20"/>
        </w:rPr>
        <w:t xml:space="preserve">) и ширины установки (при высоте не более 18 м - не более 96 м, при высоте более 18 м - не более 72 м) при одновременном выполнении следующих требований:</w:t>
      </w:r>
    </w:p>
    <w:p>
      <w:pPr>
        <w:pStyle w:val="0"/>
        <w:spacing w:before="200" w:line-rule="auto"/>
        <w:ind w:firstLine="540"/>
        <w:jc w:val="both"/>
      </w:pPr>
      <w:r>
        <w:rPr>
          <w:sz w:val="20"/>
        </w:rPr>
        <w:t xml:space="preserve">обеспечить проезд по периметру наружной установки не менее чем с трех сторон;</w:t>
      </w:r>
    </w:p>
    <w:p>
      <w:pPr>
        <w:pStyle w:val="0"/>
        <w:spacing w:before="200" w:line-rule="auto"/>
        <w:ind w:firstLine="540"/>
        <w:jc w:val="both"/>
      </w:pPr>
      <w:r>
        <w:rPr>
          <w:sz w:val="20"/>
        </w:rPr>
        <w:t xml:space="preserve">расстояние между пожарными гидрантами, расположенными вдоль проездов для пожарной техники к наружной установке, предусмотреть не более 60 м;</w:t>
      </w:r>
    </w:p>
    <w:p>
      <w:pPr>
        <w:pStyle w:val="0"/>
        <w:spacing w:before="200" w:line-rule="auto"/>
        <w:ind w:firstLine="540"/>
        <w:jc w:val="both"/>
      </w:pPr>
      <w:r>
        <w:rPr>
          <w:sz w:val="20"/>
        </w:rPr>
        <w:t xml:space="preserve">для тушения пожаров на наружных установках должна быть обеспечена возможность подачи огнетушащего вещества на любой участок установки, где возможно горение пожарной нагрузки;</w:t>
      </w:r>
    </w:p>
    <w:p>
      <w:pPr>
        <w:pStyle w:val="0"/>
        <w:spacing w:before="200" w:line-rule="auto"/>
        <w:ind w:firstLine="540"/>
        <w:jc w:val="both"/>
      </w:pPr>
      <w:r>
        <w:rPr>
          <w:sz w:val="20"/>
        </w:rPr>
        <w:t xml:space="preserve">необходимо предусмотреть стационарные установки водяного орошения и/или лафетные стволы для охлаждения аппаратов и оборудования наружных установок в соответствии с </w:t>
      </w:r>
      <w:hyperlink w:history="0" r:id="rId405" w:tooltip="&quot;ГОСТ Р 12.3.047-2012. Национальный стандарт Российской Федерации. Система стандартов безопасности труда. Пожарная безопасность технологических процессов. Общие требования. Методы контроля&quot; (утв. и введены в действие Приказом Росстандарта от 27.12.2012 N 1971-ст) {КонсультантПлюс}">
        <w:r>
          <w:rPr>
            <w:sz w:val="20"/>
            <w:color w:val="0000ff"/>
          </w:rPr>
          <w:t xml:space="preserve">ГОСТ Р 12.3.047</w:t>
        </w:r>
      </w:hyperlink>
      <w:r>
        <w:rPr>
          <w:sz w:val="20"/>
        </w:rPr>
        <w:t xml:space="preserve">;</w:t>
      </w:r>
    </w:p>
    <w:p>
      <w:pPr>
        <w:pStyle w:val="0"/>
        <w:spacing w:before="200" w:line-rule="auto"/>
        <w:ind w:firstLine="540"/>
        <w:jc w:val="both"/>
      </w:pPr>
      <w:r>
        <w:rPr>
          <w:sz w:val="20"/>
        </w:rPr>
        <w:t xml:space="preserve">наружные установки или их секции должны быть оборудованы системой пожарной сигнализации. Ручные пожарные извещатели следует устанавливать на путях эвакуации в местах, доступных для их включения при возникновении пожара, по периметру установки не более чем через 100 м и на расстоянии не менее 5 м от их границ;</w:t>
      </w:r>
    </w:p>
    <w:p>
      <w:pPr>
        <w:pStyle w:val="0"/>
        <w:spacing w:before="200" w:line-rule="auto"/>
        <w:ind w:firstLine="540"/>
        <w:jc w:val="both"/>
      </w:pPr>
      <w:r>
        <w:rPr>
          <w:sz w:val="20"/>
        </w:rPr>
        <w:t xml:space="preserve">обеспечить предел огнестойкости несущих конструкций наружных установок, на которых расположено оборудование и аппараты, в которых обращаются сжиженные горючие газы, легковоспламеняющиеся и горючие жидкости, не менее R 120 на высоту отметки первого яруса, но не менее 12 м. При этом предел огнестойкости перекрытия первого яруса, на котором расположено такое оборудование и аппараты, должен составлять не менее REI 120;</w:t>
      </w:r>
    </w:p>
    <w:p>
      <w:pPr>
        <w:pStyle w:val="0"/>
        <w:spacing w:before="200" w:line-rule="auto"/>
        <w:ind w:firstLine="540"/>
        <w:jc w:val="both"/>
      </w:pPr>
      <w:r>
        <w:rPr>
          <w:sz w:val="20"/>
        </w:rPr>
        <w:t xml:space="preserve">обеспечить предел огнестойкости несущих конструкций не менее R 120 на высоту следующего яруса, обеспечивая при этом предел огнестойкости перекрытия этого яруса не менее REI 120, для многоярусных установок с перекрытиями, на которых возможно горение сжиженных горючих газов, легковоспламеняющихся и горючих жидкостей;</w:t>
      </w:r>
    </w:p>
    <w:p>
      <w:pPr>
        <w:pStyle w:val="0"/>
        <w:spacing w:before="200" w:line-rule="auto"/>
        <w:ind w:firstLine="540"/>
        <w:jc w:val="both"/>
      </w:pPr>
      <w:r>
        <w:rPr>
          <w:sz w:val="20"/>
        </w:rPr>
        <w:t xml:space="preserve">при разработке документа предварительного планирования действий по тушению пожаров и проведению аварийно-спасательных работ учесть превышение нормативных значений площади, ширины наружных установок или их секций.</w:t>
      </w:r>
    </w:p>
    <w:p>
      <w:pPr>
        <w:pStyle w:val="0"/>
        <w:spacing w:before="200" w:line-rule="auto"/>
        <w:ind w:firstLine="540"/>
        <w:jc w:val="both"/>
      </w:pPr>
      <w:r>
        <w:rPr>
          <w:sz w:val="20"/>
        </w:rPr>
        <w:t xml:space="preserve">При этом в случае увеличения предельных площадей наружной установки категорий АН и БН по пожарной опасности, а также отсутствия возможности подачи огнетушащего вещества (имеющимися стационарными установками пожаротушения и/или передвижной пожарной техникой с учетом недопущения превышения опасных факторов пожара выше критических значений на личный состав пожарной охраны) на любой участок установки, где возможно горение пожарной нагрузки, для тушения пожаров необходимо предусматривать в том числе мобильные робототехнические комплексы пожаротушения по </w:t>
      </w:r>
      <w:hyperlink w:history="0" r:id="rId406" w:tooltip="&quot;ГОСТ Р 54344-2011. Национальный стандарт Российской Федерации. Техника пожарная. Мобильные робототехнические комплексы для проведения аварийно-спасательных работ и пожаротушения. Классификация. Общие технические требования. Методы испытаний&quot; (утв. и введен в действие Приказом Росстандарта от 28.06.2011 N 158-ст) (ред. от 11.06.2014) {КонсультантПлюс}">
        <w:r>
          <w:rPr>
            <w:sz w:val="20"/>
            <w:color w:val="0000ff"/>
          </w:rPr>
          <w:t xml:space="preserve">ГОСТ Р 54344</w:t>
        </w:r>
      </w:hyperlink>
      <w:r>
        <w:rPr>
          <w:sz w:val="20"/>
        </w:rPr>
        <w:t xml:space="preserve"> в количестве не менее 2 единиц. Мобильное робототехническое средство пожаротушения должно обеспечивать расход воды не менее 40 л/с, водного раствора пенообразователя не менее 30 л/с, в соответствии с проектным решением. Дальность компактной струи огнетушащего вещества (ОТВ) должна обеспечивать орошение аппаратов и оборудования наружных установок по всей высоте с учетом орошения стационарными установками.</w:t>
      </w:r>
    </w:p>
    <w:p>
      <w:pPr>
        <w:pStyle w:val="0"/>
        <w:ind w:firstLine="540"/>
        <w:jc w:val="both"/>
      </w:pPr>
      <w:r>
        <w:rPr>
          <w:sz w:val="20"/>
        </w:rPr>
      </w:r>
    </w:p>
    <w:p>
      <w:pPr>
        <w:pStyle w:val="0"/>
        <w:jc w:val="both"/>
      </w:pPr>
      <w:r>
        <w:rPr>
          <w:sz w:val="20"/>
        </w:rPr>
        <w:t xml:space="preserve">(п. 6.10.5.28 в ред. </w:t>
      </w:r>
      <w:hyperlink w:history="0" r:id="rId407"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bookmarkStart w:id="3556" w:name="P3556"/>
    <w:bookmarkEnd w:id="3556"/>
    <w:p>
      <w:pPr>
        <w:pStyle w:val="0"/>
        <w:spacing w:before="200" w:line-rule="auto"/>
        <w:ind w:firstLine="540"/>
        <w:jc w:val="both"/>
      </w:pPr>
      <w:r>
        <w:rPr>
          <w:sz w:val="20"/>
        </w:rPr>
        <w:t xml:space="preserve">6.10.5.29. Ширина отдельно стоящей наружной установки или ее секций должна быть не более 42 м при высоте этажерки и оборудования до 18 м и не более 36 м при высоте этажерки и оборудования более 18 м.</w:t>
      </w:r>
    </w:p>
    <w:bookmarkStart w:id="3557" w:name="P3557"/>
    <w:bookmarkEnd w:id="3557"/>
    <w:p>
      <w:pPr>
        <w:pStyle w:val="0"/>
        <w:spacing w:before="200" w:line-rule="auto"/>
        <w:ind w:firstLine="540"/>
        <w:jc w:val="both"/>
      </w:pPr>
      <w:r>
        <w:rPr>
          <w:sz w:val="20"/>
        </w:rPr>
        <w:t xml:space="preserve">6.10.5.30. К одной из стен здания категорий А и Б допускается примыкание наружной установки без противопожарного разрыва при соблюдении следующих условий:</w:t>
      </w:r>
    </w:p>
    <w:p>
      <w:pPr>
        <w:pStyle w:val="0"/>
        <w:spacing w:before="200" w:line-rule="auto"/>
        <w:ind w:firstLine="540"/>
        <w:jc w:val="both"/>
      </w:pPr>
      <w:r>
        <w:rPr>
          <w:sz w:val="20"/>
        </w:rPr>
        <w:t xml:space="preserve">а) сумма площадей этажа здания (или части здания между противопожарными стенами) и наружной установки не должна превышать площади, определенной в </w:t>
      </w:r>
      <w:hyperlink w:history="0" w:anchor="P3541" w:tooltip="6.10.5.28. Площадь и ширина наружной установки категорий АН и БН по пожарной опасности на предприятиях не должна превышать значений, установленных в п. 6.5.48 настоящего свода правил для наружных этажерок и технологических площадок с оборудованием производств, размещаемых в помещениях категорий А, Б и В1 - В3 по взрывопожарной и пожарной опасности.">
        <w:r>
          <w:rPr>
            <w:sz w:val="20"/>
            <w:color w:val="0000ff"/>
          </w:rPr>
          <w:t xml:space="preserve">подпункте 6.10.5.28</w:t>
        </w:r>
      </w:hyperlink>
      <w:r>
        <w:rPr>
          <w:sz w:val="20"/>
        </w:rPr>
        <w:t xml:space="preserve">;</w:t>
      </w:r>
    </w:p>
    <w:p>
      <w:pPr>
        <w:pStyle w:val="0"/>
        <w:spacing w:before="200" w:line-rule="auto"/>
        <w:ind w:firstLine="540"/>
        <w:jc w:val="both"/>
      </w:pPr>
      <w:r>
        <w:rPr>
          <w:sz w:val="20"/>
        </w:rPr>
        <w:t xml:space="preserve">б) стена здания должна быть без проемов, за исключением устройства дверных проемов для обслуживания наружной установки при соблюдении требования </w:t>
      </w:r>
      <w:hyperlink w:history="0" w:anchor="P3481" w:tooltip="6.10.5.3. При расположении наружной установки у стены без проемов производственного здания и необходимости обслуживания наружной установки из расположенных в здании помещений в стене производственного здания допускается устройство выходов на наружную установку при следующих условиях:">
        <w:r>
          <w:rPr>
            <w:sz w:val="20"/>
            <w:color w:val="0000ff"/>
          </w:rPr>
          <w:t xml:space="preserve">подпункта 6.10.5.3</w:t>
        </w:r>
      </w:hyperlink>
      <w:r>
        <w:rPr>
          <w:sz w:val="20"/>
        </w:rPr>
        <w:t xml:space="preserve">;</w:t>
      </w:r>
    </w:p>
    <w:p>
      <w:pPr>
        <w:pStyle w:val="0"/>
        <w:spacing w:before="200" w:line-rule="auto"/>
        <w:ind w:firstLine="540"/>
        <w:jc w:val="both"/>
      </w:pPr>
      <w:r>
        <w:rPr>
          <w:sz w:val="20"/>
        </w:rPr>
        <w:t xml:space="preserve">в) ширина наружной установки должна быть не более 30 м.</w:t>
      </w:r>
    </w:p>
    <w:p>
      <w:pPr>
        <w:pStyle w:val="0"/>
        <w:spacing w:before="200" w:line-rule="auto"/>
        <w:ind w:firstLine="540"/>
        <w:jc w:val="both"/>
      </w:pPr>
      <w:r>
        <w:rPr>
          <w:sz w:val="20"/>
        </w:rPr>
        <w:t xml:space="preserve">В случае, когда суммарная площадь здания (части здания) и наружной установки превышает определенную </w:t>
      </w:r>
      <w:hyperlink w:history="0" w:anchor="P3541" w:tooltip="6.10.5.28. Площадь и ширина наружной установки категорий АН и БН по пожарной опасности на предприятиях не должна превышать значений, установленных в п. 6.5.48 настоящего свода правил для наружных этажерок и технологических площадок с оборудованием производств, размещаемых в помещениях категорий А, Б и В1 - В3 по взрывопожарной и пожарной опасности.">
        <w:r>
          <w:rPr>
            <w:sz w:val="20"/>
            <w:color w:val="0000ff"/>
          </w:rPr>
          <w:t xml:space="preserve">подпунктом 6.10.5.28</w:t>
        </w:r>
      </w:hyperlink>
      <w:r>
        <w:rPr>
          <w:sz w:val="20"/>
        </w:rPr>
        <w:t xml:space="preserve">, расстояние от наружной установки должно быть не менее 8 м до стены здания без проемов и не менее 12 м до стены с проемами.</w:t>
      </w:r>
    </w:p>
    <w:p>
      <w:pPr>
        <w:pStyle w:val="0"/>
        <w:spacing w:before="200" w:line-rule="auto"/>
        <w:ind w:firstLine="540"/>
        <w:jc w:val="both"/>
      </w:pPr>
      <w:r>
        <w:rPr>
          <w:sz w:val="20"/>
        </w:rPr>
        <w:t xml:space="preserve">6.10.5.31. Размещение технологических аппаратов с горючими газами, легковоспламеняющимися и горючими жидкостями непосредственно связанных с помещениями категорий А и Б и располагаемых вне помещений, предусматривается у противопожарной стены без проемов. При размещении аппаратов у противопожарной стены с проемами расстояние до проемов должно составлять не менее 4 м.</w:t>
      </w:r>
    </w:p>
    <w:p>
      <w:pPr>
        <w:pStyle w:val="0"/>
        <w:spacing w:before="200" w:line-rule="auto"/>
        <w:ind w:firstLine="540"/>
        <w:jc w:val="both"/>
      </w:pPr>
      <w:r>
        <w:rPr>
          <w:sz w:val="20"/>
        </w:rPr>
        <w:t xml:space="preserve">Расстояние от указанных аппаратов до проемов стен помещений категорий В1 - В4, Г, Д должно быть не менее 10 м. При расстоянии менее 10 м оконные проемы стен помещений следует заполнять стеклоблоками или армированным стеклом.</w:t>
      </w:r>
    </w:p>
    <w:p>
      <w:pPr>
        <w:pStyle w:val="0"/>
        <w:spacing w:before="200" w:line-rule="auto"/>
        <w:ind w:firstLine="540"/>
        <w:jc w:val="both"/>
      </w:pPr>
      <w:r>
        <w:rPr>
          <w:sz w:val="20"/>
        </w:rPr>
        <w:t xml:space="preserve">Расстояние от аппаратов, не содержащих горючие газы, ЛВЖ и ГЖ, не нормируется.</w:t>
      </w:r>
    </w:p>
    <w:p>
      <w:pPr>
        <w:pStyle w:val="0"/>
        <w:spacing w:before="200" w:line-rule="auto"/>
        <w:ind w:firstLine="540"/>
        <w:jc w:val="both"/>
      </w:pPr>
      <w:r>
        <w:rPr>
          <w:sz w:val="20"/>
        </w:rPr>
        <w:t xml:space="preserve">6.10.5.32. Расстояния от аппаратов огневого нагрева (печи для нагрева продуктов, азота, пароперегревательные печи), размещенных вне здания, до других аппаратов, зданий и сооружений цехов или технологических установок, в состав которых входит печь, а также до эстакад, за исключением технологических трубопроводов, связывающих аппараты огневого нагрева с другими технологическими аппаратами, должны приниматься не менее указанных в </w:t>
      </w:r>
      <w:hyperlink w:history="0" w:anchor="P3567" w:tooltip="Таблица 42">
        <w:r>
          <w:rPr>
            <w:sz w:val="20"/>
            <w:color w:val="0000ff"/>
          </w:rPr>
          <w:t xml:space="preserve">таблице 42</w:t>
        </w:r>
      </w:hyperlink>
      <w:r>
        <w:rPr>
          <w:sz w:val="20"/>
        </w:rPr>
        <w:t xml:space="preserve">.</w:t>
      </w:r>
    </w:p>
    <w:p>
      <w:pPr>
        <w:pStyle w:val="0"/>
        <w:ind w:firstLine="540"/>
        <w:jc w:val="both"/>
      </w:pPr>
      <w:r>
        <w:rPr>
          <w:sz w:val="20"/>
        </w:rPr>
      </w:r>
    </w:p>
    <w:bookmarkStart w:id="3567" w:name="P3567"/>
    <w:bookmarkEnd w:id="3567"/>
    <w:p>
      <w:pPr>
        <w:pStyle w:val="0"/>
        <w:outlineLvl w:val="4"/>
      </w:pPr>
      <w:r>
        <w:rPr>
          <w:sz w:val="20"/>
        </w:rPr>
        <w:t xml:space="preserve">Таблица 42</w:t>
      </w:r>
    </w:p>
    <w:p>
      <w:pPr>
        <w:pStyle w:val="0"/>
        <w:jc w:val="center"/>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25"/>
        <w:gridCol w:w="8745"/>
        <w:gridCol w:w="2640"/>
      </w:tblGrid>
      <w:tr>
        <w:tc>
          <w:tcPr>
            <w:tcW w:w="825" w:type="dxa"/>
          </w:tcPr>
          <w:p>
            <w:pPr>
              <w:pStyle w:val="0"/>
              <w:jc w:val="center"/>
            </w:pPr>
            <w:r>
              <w:rPr>
                <w:sz w:val="20"/>
              </w:rPr>
              <w:t xml:space="preserve">N</w:t>
            </w:r>
          </w:p>
          <w:p>
            <w:pPr>
              <w:pStyle w:val="0"/>
              <w:jc w:val="center"/>
            </w:pPr>
            <w:r>
              <w:rPr>
                <w:sz w:val="20"/>
              </w:rPr>
              <w:t xml:space="preserve">п/п</w:t>
            </w:r>
          </w:p>
        </w:tc>
        <w:tc>
          <w:tcPr>
            <w:tcW w:w="8745" w:type="dxa"/>
          </w:tcPr>
          <w:p>
            <w:pPr>
              <w:pStyle w:val="0"/>
              <w:jc w:val="center"/>
            </w:pPr>
            <w:r>
              <w:rPr>
                <w:sz w:val="20"/>
              </w:rPr>
              <w:t xml:space="preserve">Наименование объектов, до которых определяется расстояние</w:t>
            </w:r>
          </w:p>
        </w:tc>
        <w:tc>
          <w:tcPr>
            <w:tcW w:w="2640" w:type="dxa"/>
          </w:tcPr>
          <w:p>
            <w:pPr>
              <w:pStyle w:val="0"/>
              <w:jc w:val="center"/>
            </w:pPr>
            <w:r>
              <w:rPr>
                <w:sz w:val="20"/>
              </w:rPr>
              <w:t xml:space="preserve">Минимальное расстояние, м</w:t>
            </w:r>
          </w:p>
        </w:tc>
      </w:tr>
      <w:tr>
        <w:tblPrEx>
          <w:tblBorders>
            <w:insideH w:val="nil"/>
          </w:tblBorders>
        </w:tblPrEx>
        <w:tc>
          <w:tcPr>
            <w:tcW w:w="825" w:type="dxa"/>
            <w:tcBorders>
              <w:bottom w:val="nil"/>
            </w:tcBorders>
          </w:tcPr>
          <w:p>
            <w:pPr>
              <w:pStyle w:val="0"/>
              <w:jc w:val="center"/>
            </w:pPr>
            <w:r>
              <w:rPr>
                <w:sz w:val="20"/>
              </w:rPr>
              <w:t xml:space="preserve">1</w:t>
            </w:r>
          </w:p>
        </w:tc>
        <w:tc>
          <w:tcPr>
            <w:tcW w:w="8745" w:type="dxa"/>
            <w:tcBorders>
              <w:bottom w:val="nil"/>
            </w:tcBorders>
          </w:tcPr>
          <w:p>
            <w:pPr>
              <w:pStyle w:val="0"/>
            </w:pPr>
            <w:r>
              <w:rPr>
                <w:sz w:val="20"/>
              </w:rPr>
              <w:t xml:space="preserve">Технологическое оборудование и эстакады с горючими продуктами, размещенные вне зданий:</w:t>
            </w:r>
          </w:p>
        </w:tc>
        <w:tc>
          <w:tcPr>
            <w:tcW w:w="2640" w:type="dxa"/>
            <w:tcBorders>
              <w:bottom w:val="nil"/>
            </w:tcBorders>
          </w:tcPr>
          <w:p>
            <w:pPr>
              <w:pStyle w:val="0"/>
              <w:jc w:val="both"/>
            </w:pPr>
            <w:r>
              <w:rPr>
                <w:sz w:val="20"/>
              </w:rPr>
            </w:r>
          </w:p>
        </w:tc>
      </w:tr>
      <w:tr>
        <w:tblPrEx>
          <w:tblBorders>
            <w:insideH w:val="nil"/>
          </w:tblBorders>
        </w:tblPrEx>
        <w:tc>
          <w:tcPr>
            <w:tcW w:w="825" w:type="dxa"/>
            <w:tcBorders>
              <w:top w:val="nil"/>
              <w:bottom w:val="nil"/>
            </w:tcBorders>
          </w:tcPr>
          <w:p>
            <w:pPr>
              <w:pStyle w:val="0"/>
              <w:jc w:val="both"/>
            </w:pPr>
            <w:r>
              <w:rPr>
                <w:sz w:val="20"/>
              </w:rPr>
            </w:r>
          </w:p>
        </w:tc>
        <w:tc>
          <w:tcPr>
            <w:tcW w:w="8745" w:type="dxa"/>
            <w:tcBorders>
              <w:top w:val="nil"/>
              <w:bottom w:val="nil"/>
            </w:tcBorders>
          </w:tcPr>
          <w:p>
            <w:pPr>
              <w:pStyle w:val="0"/>
            </w:pPr>
            <w:r>
              <w:rPr>
                <w:sz w:val="20"/>
              </w:rPr>
              <w:t xml:space="preserve">при давлении в технологической системе до 0,6 МПа</w:t>
            </w:r>
          </w:p>
        </w:tc>
        <w:tc>
          <w:tcPr>
            <w:tcW w:w="2640" w:type="dxa"/>
            <w:tcBorders>
              <w:top w:val="nil"/>
              <w:bottom w:val="nil"/>
            </w:tcBorders>
          </w:tcPr>
          <w:p>
            <w:pPr>
              <w:pStyle w:val="0"/>
              <w:jc w:val="center"/>
            </w:pPr>
            <w:r>
              <w:rPr>
                <w:sz w:val="20"/>
              </w:rPr>
              <w:t xml:space="preserve">10</w:t>
            </w:r>
          </w:p>
        </w:tc>
      </w:tr>
      <w:tr>
        <w:tblPrEx>
          <w:tblBorders>
            <w:insideH w:val="nil"/>
          </w:tblBorders>
        </w:tblPrEx>
        <w:tc>
          <w:tcPr>
            <w:tcW w:w="825" w:type="dxa"/>
            <w:tcBorders>
              <w:top w:val="nil"/>
            </w:tcBorders>
          </w:tcPr>
          <w:p>
            <w:pPr>
              <w:pStyle w:val="0"/>
              <w:jc w:val="both"/>
            </w:pPr>
            <w:r>
              <w:rPr>
                <w:sz w:val="20"/>
              </w:rPr>
            </w:r>
          </w:p>
        </w:tc>
        <w:tc>
          <w:tcPr>
            <w:tcW w:w="8745" w:type="dxa"/>
            <w:tcBorders>
              <w:top w:val="nil"/>
            </w:tcBorders>
          </w:tcPr>
          <w:p>
            <w:pPr>
              <w:pStyle w:val="0"/>
            </w:pPr>
            <w:r>
              <w:rPr>
                <w:sz w:val="20"/>
              </w:rPr>
              <w:t xml:space="preserve">при давлении в технологической системе выше 0,6 МПа</w:t>
            </w:r>
          </w:p>
        </w:tc>
        <w:tc>
          <w:tcPr>
            <w:tcW w:w="2640" w:type="dxa"/>
            <w:tcBorders>
              <w:top w:val="nil"/>
            </w:tcBorders>
          </w:tcPr>
          <w:p>
            <w:pPr>
              <w:pStyle w:val="0"/>
              <w:jc w:val="center"/>
            </w:pPr>
            <w:r>
              <w:rPr>
                <w:sz w:val="20"/>
              </w:rPr>
              <w:t xml:space="preserve">15</w:t>
            </w:r>
          </w:p>
        </w:tc>
      </w:tr>
      <w:tr>
        <w:tblPrEx>
          <w:tblBorders>
            <w:insideH w:val="nil"/>
          </w:tblBorders>
        </w:tblPrEx>
        <w:tc>
          <w:tcPr>
            <w:tcW w:w="825" w:type="dxa"/>
            <w:tcBorders>
              <w:bottom w:val="nil"/>
            </w:tcBorders>
          </w:tcPr>
          <w:p>
            <w:pPr>
              <w:pStyle w:val="0"/>
              <w:jc w:val="center"/>
            </w:pPr>
            <w:r>
              <w:rPr>
                <w:sz w:val="20"/>
              </w:rPr>
              <w:t xml:space="preserve">2</w:t>
            </w:r>
          </w:p>
        </w:tc>
        <w:tc>
          <w:tcPr>
            <w:tcW w:w="8745" w:type="dxa"/>
            <w:tcBorders>
              <w:bottom w:val="nil"/>
            </w:tcBorders>
          </w:tcPr>
          <w:p>
            <w:pPr>
              <w:pStyle w:val="0"/>
            </w:pPr>
            <w:r>
              <w:rPr>
                <w:sz w:val="20"/>
              </w:rPr>
              <w:t xml:space="preserve">Производственные здания (помещения) категорий А, Б, В (А, Б, В1 - В3); вспомогательные, подсобно-производственные здания и помещения:</w:t>
            </w:r>
          </w:p>
        </w:tc>
        <w:tc>
          <w:tcPr>
            <w:tcW w:w="2640" w:type="dxa"/>
            <w:tcBorders>
              <w:bottom w:val="nil"/>
            </w:tcBorders>
          </w:tcPr>
          <w:p>
            <w:pPr>
              <w:pStyle w:val="0"/>
              <w:jc w:val="both"/>
            </w:pPr>
            <w:r>
              <w:rPr>
                <w:sz w:val="20"/>
              </w:rPr>
            </w:r>
          </w:p>
        </w:tc>
      </w:tr>
      <w:tr>
        <w:tblPrEx>
          <w:tblBorders>
            <w:insideH w:val="nil"/>
          </w:tblBorders>
        </w:tblPrEx>
        <w:tc>
          <w:tcPr>
            <w:tcW w:w="825" w:type="dxa"/>
            <w:tcBorders>
              <w:top w:val="nil"/>
              <w:bottom w:val="nil"/>
            </w:tcBorders>
          </w:tcPr>
          <w:p>
            <w:pPr>
              <w:pStyle w:val="0"/>
              <w:jc w:val="both"/>
            </w:pPr>
            <w:r>
              <w:rPr>
                <w:sz w:val="20"/>
              </w:rPr>
            </w:r>
          </w:p>
        </w:tc>
        <w:tc>
          <w:tcPr>
            <w:tcW w:w="8745" w:type="dxa"/>
            <w:tcBorders>
              <w:top w:val="nil"/>
              <w:bottom w:val="nil"/>
            </w:tcBorders>
          </w:tcPr>
          <w:p>
            <w:pPr>
              <w:pStyle w:val="0"/>
            </w:pPr>
            <w:r>
              <w:rPr>
                <w:sz w:val="20"/>
              </w:rPr>
              <w:t xml:space="preserve">при наличии оконных и дверных проемов</w:t>
            </w:r>
          </w:p>
        </w:tc>
        <w:tc>
          <w:tcPr>
            <w:tcW w:w="2640" w:type="dxa"/>
            <w:tcBorders>
              <w:top w:val="nil"/>
              <w:bottom w:val="nil"/>
            </w:tcBorders>
          </w:tcPr>
          <w:p>
            <w:pPr>
              <w:pStyle w:val="0"/>
              <w:jc w:val="center"/>
            </w:pPr>
            <w:r>
              <w:rPr>
                <w:sz w:val="20"/>
              </w:rPr>
              <w:t xml:space="preserve">15</w:t>
            </w:r>
          </w:p>
        </w:tc>
      </w:tr>
      <w:tr>
        <w:tblPrEx>
          <w:tblBorders>
            <w:insideH w:val="nil"/>
          </w:tblBorders>
        </w:tblPrEx>
        <w:tc>
          <w:tcPr>
            <w:tcW w:w="825" w:type="dxa"/>
            <w:tcBorders>
              <w:top w:val="nil"/>
            </w:tcBorders>
          </w:tcPr>
          <w:p>
            <w:pPr>
              <w:pStyle w:val="0"/>
              <w:jc w:val="both"/>
            </w:pPr>
            <w:r>
              <w:rPr>
                <w:sz w:val="20"/>
              </w:rPr>
            </w:r>
          </w:p>
        </w:tc>
        <w:tc>
          <w:tcPr>
            <w:tcW w:w="8745" w:type="dxa"/>
            <w:tcBorders>
              <w:top w:val="nil"/>
            </w:tcBorders>
          </w:tcPr>
          <w:p>
            <w:pPr>
              <w:pStyle w:val="0"/>
            </w:pPr>
            <w:r>
              <w:rPr>
                <w:sz w:val="20"/>
              </w:rPr>
              <w:t xml:space="preserve">при глухой стене</w:t>
            </w:r>
          </w:p>
        </w:tc>
        <w:tc>
          <w:tcPr>
            <w:tcW w:w="2640" w:type="dxa"/>
            <w:tcBorders>
              <w:top w:val="nil"/>
            </w:tcBorders>
          </w:tcPr>
          <w:p>
            <w:pPr>
              <w:pStyle w:val="0"/>
              <w:jc w:val="center"/>
            </w:pPr>
            <w:r>
              <w:rPr>
                <w:sz w:val="20"/>
              </w:rPr>
              <w:t xml:space="preserve">8</w:t>
            </w:r>
          </w:p>
        </w:tc>
      </w:tr>
      <w:tr>
        <w:tc>
          <w:tcPr>
            <w:tcW w:w="825" w:type="dxa"/>
          </w:tcPr>
          <w:p>
            <w:pPr>
              <w:pStyle w:val="0"/>
              <w:jc w:val="center"/>
            </w:pPr>
            <w:r>
              <w:rPr>
                <w:sz w:val="20"/>
              </w:rPr>
              <w:t xml:space="preserve">3</w:t>
            </w:r>
          </w:p>
        </w:tc>
        <w:tc>
          <w:tcPr>
            <w:tcW w:w="8745" w:type="dxa"/>
          </w:tcPr>
          <w:p>
            <w:pPr>
              <w:pStyle w:val="0"/>
            </w:pPr>
            <w:r>
              <w:rPr>
                <w:sz w:val="20"/>
              </w:rPr>
              <w:t xml:space="preserve">Производственные здания (помещения) категорий Г, Д (В4, Г, Д); технологическое оборудование и эстакады с негорючими продуктами</w:t>
            </w:r>
          </w:p>
        </w:tc>
        <w:tc>
          <w:tcPr>
            <w:tcW w:w="2640" w:type="dxa"/>
          </w:tcPr>
          <w:p>
            <w:pPr>
              <w:pStyle w:val="0"/>
              <w:jc w:val="center"/>
            </w:pPr>
            <w:r>
              <w:rPr>
                <w:sz w:val="20"/>
              </w:rPr>
              <w:t xml:space="preserve">5</w:t>
            </w:r>
          </w:p>
        </w:tc>
      </w:tr>
      <w:tr>
        <w:tc>
          <w:tcPr>
            <w:tcW w:w="825" w:type="dxa"/>
          </w:tcPr>
          <w:p>
            <w:pPr>
              <w:pStyle w:val="0"/>
              <w:jc w:val="center"/>
            </w:pPr>
            <w:r>
              <w:rPr>
                <w:sz w:val="20"/>
              </w:rPr>
              <w:t xml:space="preserve">4</w:t>
            </w:r>
          </w:p>
        </w:tc>
        <w:tc>
          <w:tcPr>
            <w:tcW w:w="8745" w:type="dxa"/>
          </w:tcPr>
          <w:p>
            <w:pPr>
              <w:pStyle w:val="0"/>
            </w:pPr>
            <w:r>
              <w:rPr>
                <w:sz w:val="20"/>
              </w:rPr>
              <w:t xml:space="preserve">Аппараты с огневым нагревом</w:t>
            </w:r>
          </w:p>
        </w:tc>
        <w:tc>
          <w:tcPr>
            <w:tcW w:w="2640" w:type="dxa"/>
          </w:tcPr>
          <w:p>
            <w:pPr>
              <w:pStyle w:val="0"/>
              <w:jc w:val="center"/>
            </w:pPr>
            <w:r>
              <w:rPr>
                <w:sz w:val="20"/>
              </w:rPr>
              <w:t xml:space="preserve">5</w:t>
            </w:r>
          </w:p>
        </w:tc>
      </w:tr>
      <w:tr>
        <w:tc>
          <w:tcPr>
            <w:tcW w:w="825" w:type="dxa"/>
          </w:tcPr>
          <w:p>
            <w:pPr>
              <w:pStyle w:val="0"/>
              <w:jc w:val="center"/>
            </w:pPr>
            <w:r>
              <w:rPr>
                <w:sz w:val="20"/>
              </w:rPr>
              <w:t xml:space="preserve">5</w:t>
            </w:r>
          </w:p>
        </w:tc>
        <w:tc>
          <w:tcPr>
            <w:tcW w:w="8745" w:type="dxa"/>
          </w:tcPr>
          <w:p>
            <w:pPr>
              <w:pStyle w:val="0"/>
            </w:pPr>
            <w:r>
              <w:rPr>
                <w:sz w:val="20"/>
              </w:rPr>
              <w:t xml:space="preserve">Помещения компрессорных горючих газов</w:t>
            </w:r>
          </w:p>
        </w:tc>
        <w:tc>
          <w:tcPr>
            <w:tcW w:w="2640" w:type="dxa"/>
          </w:tcPr>
          <w:p>
            <w:pPr>
              <w:pStyle w:val="0"/>
              <w:jc w:val="center"/>
            </w:pPr>
            <w:r>
              <w:rPr>
                <w:sz w:val="20"/>
              </w:rPr>
              <w:t xml:space="preserve">20</w:t>
            </w:r>
          </w:p>
        </w:tc>
      </w:tr>
      <w:tr>
        <w:tc>
          <w:tcPr>
            <w:tcW w:w="825" w:type="dxa"/>
          </w:tcPr>
          <w:p>
            <w:pPr>
              <w:pStyle w:val="0"/>
              <w:jc w:val="center"/>
            </w:pPr>
            <w:r>
              <w:rPr>
                <w:sz w:val="20"/>
              </w:rPr>
              <w:t xml:space="preserve">6</w:t>
            </w:r>
          </w:p>
        </w:tc>
        <w:tc>
          <w:tcPr>
            <w:tcW w:w="8745" w:type="dxa"/>
          </w:tcPr>
          <w:p>
            <w:pPr>
              <w:pStyle w:val="0"/>
            </w:pPr>
            <w:r>
              <w:rPr>
                <w:sz w:val="20"/>
              </w:rPr>
              <w:t xml:space="preserve">Колодцы канализации промышленных сточных вод, технологически связанные со зданиями (помещениями) категорий А, Б, В (А, Б, В1 - В3)</w:t>
            </w:r>
          </w:p>
        </w:tc>
        <w:tc>
          <w:tcPr>
            <w:tcW w:w="2640" w:type="dxa"/>
          </w:tcPr>
          <w:p>
            <w:pPr>
              <w:pStyle w:val="0"/>
              <w:jc w:val="center"/>
            </w:pPr>
            <w:r>
              <w:rPr>
                <w:sz w:val="20"/>
              </w:rPr>
              <w:t xml:space="preserve">10</w:t>
            </w:r>
          </w:p>
        </w:tc>
      </w:tr>
    </w:tbl>
    <w:p>
      <w:pPr>
        <w:sectPr>
          <w:headerReference w:type="default" r:id="rId212"/>
          <w:headerReference w:type="first" r:id="rId212"/>
          <w:footerReference w:type="default" r:id="rId213"/>
          <w:footerReference w:type="first" r:id="rId213"/>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Расстояние от неогневой стороны пароперегревательных печей до реакторов и от печей пиролиза до охлаждающих скрубберов и котлов-утилизаторов (одно- и двухконтурных) в связи с невозможностью по условиям технологического процесса отнесения печей от реактора, скруббера и котла-утилизатора допускается сокращать до 5 м.</w:t>
      </w:r>
    </w:p>
    <w:p>
      <w:pPr>
        <w:pStyle w:val="0"/>
        <w:spacing w:before="200" w:line-rule="auto"/>
        <w:ind w:firstLine="540"/>
        <w:jc w:val="both"/>
      </w:pPr>
      <w:r>
        <w:rPr>
          <w:sz w:val="20"/>
        </w:rPr>
        <w:t xml:space="preserve">Для изоляции печей с открытым огневым процессом от газовой среды при авариях на наружных установках или зданиях, печи должны быть обеспечены устройством для организации завесы (с использованием пара, инертного газа, воды) и подводом пара (инертного газа) к топкам печей.</w:t>
      </w:r>
    </w:p>
    <w:p>
      <w:pPr>
        <w:pStyle w:val="0"/>
        <w:spacing w:before="200" w:line-rule="auto"/>
        <w:ind w:firstLine="540"/>
        <w:jc w:val="both"/>
      </w:pPr>
      <w:r>
        <w:rPr>
          <w:sz w:val="20"/>
        </w:rPr>
        <w:t xml:space="preserve">Расстояние от топок под давлением до регенераторов и реакторов ввиду того, что технологический процесс не позволяет удалять их от топок под давлением, не нормируется.</w:t>
      </w:r>
    </w:p>
    <w:p>
      <w:pPr>
        <w:pStyle w:val="0"/>
        <w:spacing w:before="200" w:line-rule="auto"/>
        <w:ind w:firstLine="540"/>
        <w:jc w:val="both"/>
      </w:pPr>
      <w:r>
        <w:rPr>
          <w:sz w:val="20"/>
        </w:rPr>
        <w:t xml:space="preserve">Расстояние между обслуживаемыми сторонами отдельно стоящих камер печей принимается как для печей. Расстояние между необслуживаемыми стенами без проемов камер печей не нормируется.</w:t>
      </w:r>
    </w:p>
    <w:p>
      <w:pPr>
        <w:pStyle w:val="0"/>
        <w:spacing w:before="200" w:line-rule="auto"/>
        <w:ind w:firstLine="540"/>
        <w:jc w:val="both"/>
      </w:pPr>
      <w:r>
        <w:rPr>
          <w:sz w:val="20"/>
        </w:rPr>
        <w:t xml:space="preserve">Расстояния от неогневой стороны печей до реакторов каталитических процессов, если условия технологического процесса не позволяют отнести печь от реактора, допускается сокращать до 3 м.</w:t>
      </w:r>
    </w:p>
    <w:p>
      <w:pPr>
        <w:pStyle w:val="0"/>
        <w:ind w:firstLine="540"/>
        <w:jc w:val="both"/>
      </w:pPr>
      <w:r>
        <w:rPr>
          <w:sz w:val="20"/>
        </w:rPr>
      </w:r>
    </w:p>
    <w:bookmarkStart w:id="3610" w:name="P3610"/>
    <w:bookmarkEnd w:id="3610"/>
    <w:p>
      <w:pPr>
        <w:pStyle w:val="2"/>
        <w:outlineLvl w:val="2"/>
        <w:ind w:firstLine="540"/>
        <w:jc w:val="both"/>
      </w:pPr>
      <w:r>
        <w:rPr>
          <w:sz w:val="20"/>
        </w:rPr>
        <w:t xml:space="preserve">6.11. Требования к автомобильным стоянкам</w:t>
      </w:r>
    </w:p>
    <w:p>
      <w:pPr>
        <w:pStyle w:val="0"/>
        <w:ind w:firstLine="540"/>
        <w:jc w:val="both"/>
      </w:pPr>
      <w:r>
        <w:rPr>
          <w:sz w:val="20"/>
        </w:rPr>
      </w:r>
    </w:p>
    <w:p>
      <w:pPr>
        <w:pStyle w:val="0"/>
        <w:ind w:firstLine="540"/>
        <w:jc w:val="both"/>
      </w:pPr>
      <w:r>
        <w:rPr>
          <w:sz w:val="20"/>
        </w:rPr>
        <w:t xml:space="preserve">Утратил силу с 1 марта 2022 года. - </w:t>
      </w:r>
      <w:hyperlink w:history="0" r:id="rId408" w:tooltip="Приказ МЧС России от 17.12.2021 N 880 &quot;Об утверждении свода правил &quot;Стоянки автомобилей. Требования пожарной безопасности&quot; (вместе с &quot;СП 506.1311500.2021. Свод правил...&quot;) {КонсультантПлюс}">
        <w:r>
          <w:rPr>
            <w:sz w:val="20"/>
            <w:color w:val="0000ff"/>
          </w:rPr>
          <w:t xml:space="preserve">Приказ</w:t>
        </w:r>
      </w:hyperlink>
      <w:r>
        <w:rPr>
          <w:sz w:val="20"/>
        </w:rPr>
        <w:t xml:space="preserve"> МЧС России от 17.12.2021 N 880.</w:t>
      </w:r>
    </w:p>
    <w:p>
      <w:pPr>
        <w:pStyle w:val="0"/>
        <w:ind w:firstLine="540"/>
        <w:jc w:val="both"/>
      </w:pPr>
      <w:r>
        <w:rPr>
          <w:sz w:val="20"/>
        </w:rPr>
      </w:r>
    </w:p>
    <w:p>
      <w:pPr>
        <w:pStyle w:val="2"/>
        <w:outlineLvl w:val="2"/>
        <w:ind w:firstLine="540"/>
        <w:jc w:val="both"/>
      </w:pPr>
      <w:r>
        <w:rPr>
          <w:sz w:val="20"/>
        </w:rPr>
        <w:t xml:space="preserve">6.12. Требования к магистральным трубопроводам</w:t>
      </w:r>
    </w:p>
    <w:p>
      <w:pPr>
        <w:pStyle w:val="0"/>
        <w:ind w:firstLine="540"/>
        <w:jc w:val="both"/>
      </w:pPr>
      <w:r>
        <w:rPr>
          <w:sz w:val="20"/>
        </w:rPr>
      </w:r>
    </w:p>
    <w:p>
      <w:pPr>
        <w:pStyle w:val="0"/>
        <w:ind w:firstLine="540"/>
        <w:jc w:val="both"/>
      </w:pPr>
      <w:r>
        <w:rPr>
          <w:sz w:val="20"/>
        </w:rPr>
        <w:t xml:space="preserve">6.12.1. Требования настоящего подраздела распространяются на проектирование новых и реконструируемых магистральных трубопроводов и ответвлений от них с условным диаметром до 1400 мм включительно с избыточным давлением среды свыше 1,2 МПа до 10 МПа (при одиночной прокладке и прокладке в технических коридорах) для транспортирования:</w:t>
      </w:r>
    </w:p>
    <w:p>
      <w:pPr>
        <w:pStyle w:val="0"/>
        <w:spacing w:before="200" w:line-rule="auto"/>
        <w:ind w:firstLine="540"/>
        <w:jc w:val="both"/>
      </w:pPr>
      <w:r>
        <w:rPr>
          <w:sz w:val="20"/>
        </w:rPr>
        <w:t xml:space="preserve">а) нефти, нефтепродуктов (в том числе стабильного конденсата и стабильного бензина, относящихся к углеводородам и их смесям, имеющим при температуре плюс 20 °C упругость насыщенных паров менее 0,2 МПа (абс.)), природного, нефтяного и искусственного углеводородных газов из районов их добычи (от промыслов), производства или хранения до мест потребления (нефтебаз, перевалочных баз, пунктов налива, газораспределительных станций, отдельных промышленных и сельскохозяйственных предприятий и портов);</w:t>
      </w:r>
    </w:p>
    <w:p>
      <w:pPr>
        <w:pStyle w:val="0"/>
        <w:spacing w:before="200" w:line-rule="auto"/>
        <w:ind w:firstLine="540"/>
        <w:jc w:val="both"/>
      </w:pPr>
      <w:r>
        <w:rPr>
          <w:sz w:val="20"/>
        </w:rPr>
        <w:t xml:space="preserve">б) сжиженных углеводородных газов фракций С3 и С4 и их смесей, нестабильного бензина и конденсата нефтяного газа и других сжиженных углеводородов с упругостью насыщенных паров при температуре плюс 40 °C не свыше 1,6 МПа из районов их добычи (промыслов) или производства (от головных перекачивающих насосных станций) до места потребления;</w:t>
      </w:r>
    </w:p>
    <w:p>
      <w:pPr>
        <w:pStyle w:val="0"/>
        <w:spacing w:before="200" w:line-rule="auto"/>
        <w:ind w:firstLine="540"/>
        <w:jc w:val="both"/>
      </w:pPr>
      <w:r>
        <w:rPr>
          <w:sz w:val="20"/>
        </w:rPr>
        <w:t xml:space="preserve">в) товарной продукции в пределах компрессорных (КС) и нефтеперекачивающих станций (НПС), станций подземного хранения газа (СПХГ), дожимных компрессорных станций (ДКС), газораспределительных станций (ГРС) и узлов замера расхода газа (УЗРГ);</w:t>
      </w:r>
    </w:p>
    <w:p>
      <w:pPr>
        <w:pStyle w:val="0"/>
        <w:spacing w:before="200" w:line-rule="auto"/>
        <w:ind w:firstLine="540"/>
        <w:jc w:val="both"/>
      </w:pPr>
      <w:r>
        <w:rPr>
          <w:sz w:val="20"/>
        </w:rPr>
        <w:t xml:space="preserve">г) импульсного, топливного и пускового газа для КС, СПХГ, ДКС, ГРС, УЗРГ и пунктов редуцирования газа (ПРГ).</w:t>
      </w:r>
    </w:p>
    <w:p>
      <w:pPr>
        <w:pStyle w:val="0"/>
        <w:spacing w:before="200" w:line-rule="auto"/>
        <w:ind w:firstLine="540"/>
        <w:jc w:val="both"/>
      </w:pPr>
      <w:r>
        <w:rPr>
          <w:sz w:val="20"/>
        </w:rPr>
        <w:t xml:space="preserve">В состав магистральных трубопроводов входят:</w:t>
      </w:r>
    </w:p>
    <w:p>
      <w:pPr>
        <w:pStyle w:val="0"/>
        <w:spacing w:before="200" w:line-rule="auto"/>
        <w:ind w:firstLine="540"/>
        <w:jc w:val="both"/>
      </w:pPr>
      <w:r>
        <w:rPr>
          <w:sz w:val="20"/>
        </w:rPr>
        <w:t xml:space="preserve">- трубопровод (от места выхода с промысла подготовленной к дальнему транспорту товарной продукции) с ответвлениями и лупингами, запорной арматурой, переходами через естественные и искусственные препятствия, узлами подключения НПС, КС, УЗРГ, ПРГ, узлами пуска и приема очистных устройств, конденсатосборниками и устройствами для ввода метанола;</w:t>
      </w:r>
    </w:p>
    <w:p>
      <w:pPr>
        <w:pStyle w:val="0"/>
        <w:spacing w:before="200" w:line-rule="auto"/>
        <w:ind w:firstLine="540"/>
        <w:jc w:val="both"/>
      </w:pPr>
      <w:r>
        <w:rPr>
          <w:sz w:val="20"/>
        </w:rPr>
        <w:t xml:space="preserve">- установки электрохимической защиты трубопроводов от коррозии, линии и сооружения технологической связи, средства телемеханики трубопроводов;</w:t>
      </w:r>
    </w:p>
    <w:p>
      <w:pPr>
        <w:pStyle w:val="0"/>
        <w:spacing w:before="200" w:line-rule="auto"/>
        <w:ind w:firstLine="540"/>
        <w:jc w:val="both"/>
      </w:pPr>
      <w:r>
        <w:rPr>
          <w:sz w:val="20"/>
        </w:rPr>
        <w:t xml:space="preserve">- линии электропередачи, предназначенные для обслуживания трубопроводов и устройства электроснабжения и дистанционного управления запорной арматурой и установками электрохимической защиты трубопроводов;</w:t>
      </w:r>
    </w:p>
    <w:p>
      <w:pPr>
        <w:pStyle w:val="0"/>
        <w:spacing w:before="200" w:line-rule="auto"/>
        <w:ind w:firstLine="540"/>
        <w:jc w:val="both"/>
      </w:pPr>
      <w:r>
        <w:rPr>
          <w:sz w:val="20"/>
        </w:rPr>
        <w:t xml:space="preserve">- противопожарные средства, противоэрозионные и защитные сооружения трубопроводов;</w:t>
      </w:r>
    </w:p>
    <w:p>
      <w:pPr>
        <w:pStyle w:val="0"/>
        <w:spacing w:before="200" w:line-rule="auto"/>
        <w:ind w:firstLine="540"/>
        <w:jc w:val="both"/>
      </w:pPr>
      <w:r>
        <w:rPr>
          <w:sz w:val="20"/>
        </w:rPr>
        <w:t xml:space="preserve">- емкости для хранения и разгазирования конденсата, земляные амбары для аварийного выпуска нефти, нефтепродуктов, конденсата и сжиженных углеводородов;</w:t>
      </w:r>
    </w:p>
    <w:p>
      <w:pPr>
        <w:pStyle w:val="0"/>
        <w:spacing w:before="200" w:line-rule="auto"/>
        <w:ind w:firstLine="540"/>
        <w:jc w:val="both"/>
      </w:pPr>
      <w:r>
        <w:rPr>
          <w:sz w:val="20"/>
        </w:rPr>
        <w:t xml:space="preserve">- здания и сооружения линейной службы эксплуатации трубопроводов;</w:t>
      </w:r>
    </w:p>
    <w:p>
      <w:pPr>
        <w:pStyle w:val="0"/>
        <w:spacing w:before="200" w:line-rule="auto"/>
        <w:ind w:firstLine="540"/>
        <w:jc w:val="both"/>
      </w:pPr>
      <w:r>
        <w:rPr>
          <w:sz w:val="20"/>
        </w:rPr>
        <w:t xml:space="preserve">- постоянные дороги и вертолетные площадки, расположенные вдоль трассы трубопровода, и подъезды к ним, опознавательные и сигнальные знаки местонахождения трубопроводов;</w:t>
      </w:r>
    </w:p>
    <w:p>
      <w:pPr>
        <w:pStyle w:val="0"/>
        <w:spacing w:before="200" w:line-rule="auto"/>
        <w:ind w:firstLine="540"/>
        <w:jc w:val="both"/>
      </w:pPr>
      <w:r>
        <w:rPr>
          <w:sz w:val="20"/>
        </w:rPr>
        <w:t xml:space="preserve">- головные и промежуточные перекачивающие и наливные насосные станции, резервуарные парки, КС и ГРС; СПХГ;</w:t>
      </w:r>
    </w:p>
    <w:p>
      <w:pPr>
        <w:pStyle w:val="0"/>
        <w:spacing w:before="200" w:line-rule="auto"/>
        <w:ind w:firstLine="540"/>
        <w:jc w:val="both"/>
      </w:pPr>
      <w:r>
        <w:rPr>
          <w:sz w:val="20"/>
        </w:rPr>
        <w:t xml:space="preserve">- пункты подогрева нефти и нефтепродуктов; указатели и предупредительные знаки.</w:t>
      </w:r>
    </w:p>
    <w:p>
      <w:pPr>
        <w:pStyle w:val="0"/>
        <w:spacing w:before="200" w:line-rule="auto"/>
        <w:ind w:firstLine="540"/>
        <w:jc w:val="both"/>
      </w:pPr>
      <w:r>
        <w:rPr>
          <w:sz w:val="20"/>
        </w:rPr>
        <w:t xml:space="preserve">Требования настоящего подраздела не распространяются на проектирование трубопроводов, прокладываемых на территории городов и других населенных пунктов, в морских акваториях и промыслах, газопроводов давлением 1,2 МПа и менее, нефтепроводов и нефтепродуктопроводов давлением до 2,5 МПа, предусматриваемых для прокладки на территории отдельных предприятий, а также трубопроводов, предназначенных для транспортирования газа, нефти, нефтепродуктов и сжиженных углеводородных газов, оказывающих коррозионные воздействия на металл труб или охлажденных до температуры ниже минус 40 °C.</w:t>
      </w:r>
    </w:p>
    <w:p>
      <w:pPr>
        <w:pStyle w:val="0"/>
        <w:spacing w:before="200" w:line-rule="auto"/>
        <w:ind w:firstLine="540"/>
        <w:jc w:val="both"/>
      </w:pPr>
      <w:r>
        <w:rPr>
          <w:sz w:val="20"/>
        </w:rPr>
        <w:t xml:space="preserve">Проектирование зданий и сооружений, в том числе инженерных коммуникаций, расположенных на площадках КС, НПС, ГРС, СПХГ и ДКС, следует выполнять в соответствии с требованиями нормативных документов по пожарной безопасности, регламентирующих требования к соответствующим зданиям и сооружениям, с учетом требований настоящего подраздела.</w:t>
      </w:r>
    </w:p>
    <w:p>
      <w:pPr>
        <w:pStyle w:val="0"/>
        <w:spacing w:before="200" w:line-rule="auto"/>
        <w:ind w:firstLine="540"/>
        <w:jc w:val="both"/>
      </w:pPr>
      <w:r>
        <w:rPr>
          <w:sz w:val="20"/>
        </w:rPr>
        <w:t xml:space="preserve">6.12.2. Подразделение на классы магистральных газопроводов, нефтепроводов и нефтепродуктопроводов, а также конструктивные требования к ним и их участкам соответствующих категорий регламентируются другими действующими нормативными документами в области стандартизации.</w:t>
      </w:r>
    </w:p>
    <w:p>
      <w:pPr>
        <w:pStyle w:val="0"/>
        <w:spacing w:before="200" w:line-rule="auto"/>
        <w:ind w:firstLine="540"/>
        <w:jc w:val="both"/>
      </w:pPr>
      <w:r>
        <w:rPr>
          <w:sz w:val="20"/>
        </w:rPr>
        <w:t xml:space="preserve">Примечание: В тексте настоящего раздела, за исключением особо оговоренных случаев, вместо слов: "магистральный(е) трубопровод(ы)" будет употребляться слово "трубопровод(ы)".</w:t>
      </w:r>
    </w:p>
    <w:p>
      <w:pPr>
        <w:pStyle w:val="0"/>
        <w:ind w:firstLine="540"/>
        <w:jc w:val="both"/>
      </w:pPr>
      <w:r>
        <w:rPr>
          <w:sz w:val="20"/>
        </w:rPr>
      </w:r>
    </w:p>
    <w:p>
      <w:pPr>
        <w:pStyle w:val="0"/>
        <w:ind w:firstLine="540"/>
        <w:jc w:val="both"/>
      </w:pPr>
      <w:r>
        <w:rPr>
          <w:sz w:val="20"/>
        </w:rPr>
        <w:t xml:space="preserve">6.12.3. Расстояния от оси подземных и наземных (в насыпи) трубопроводов до населенных пунктов, отдельных промышленных и сельскохозяйственных предприятий, зданий и сооружений должны приниматься в зависимости от класса и диаметра трубопроводов, степени ответственности объектов и необходимости обеспечения их безопасности, но не менее значений, указанных в </w:t>
      </w:r>
      <w:hyperlink w:history="0" w:anchor="P3638" w:tooltip="Таблица 44">
        <w:r>
          <w:rPr>
            <w:sz w:val="20"/>
            <w:color w:val="0000ff"/>
          </w:rPr>
          <w:t xml:space="preserve">таблице 44</w:t>
        </w:r>
      </w:hyperlink>
      <w:r>
        <w:rPr>
          <w:sz w:val="20"/>
        </w:rPr>
        <w:t xml:space="preserve">.</w:t>
      </w:r>
    </w:p>
    <w:p>
      <w:pPr>
        <w:pStyle w:val="0"/>
        <w:ind w:firstLine="540"/>
        <w:jc w:val="both"/>
      </w:pPr>
      <w:r>
        <w:rPr>
          <w:sz w:val="20"/>
        </w:rPr>
      </w:r>
    </w:p>
    <w:bookmarkStart w:id="3638" w:name="P3638"/>
    <w:bookmarkEnd w:id="3638"/>
    <w:p>
      <w:pPr>
        <w:pStyle w:val="0"/>
        <w:outlineLvl w:val="3"/>
      </w:pPr>
      <w:r>
        <w:rPr>
          <w:sz w:val="20"/>
        </w:rPr>
        <w:t xml:space="preserve">Таблица 44</w:t>
      </w:r>
    </w:p>
    <w:p>
      <w:pPr>
        <w:pStyle w:val="0"/>
        <w:jc w:val="center"/>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25"/>
        <w:gridCol w:w="1320"/>
        <w:gridCol w:w="1155"/>
        <w:gridCol w:w="1155"/>
        <w:gridCol w:w="1155"/>
        <w:gridCol w:w="1155"/>
        <w:gridCol w:w="1155"/>
        <w:gridCol w:w="1155"/>
        <w:gridCol w:w="1155"/>
        <w:gridCol w:w="1155"/>
        <w:gridCol w:w="1155"/>
        <w:gridCol w:w="1155"/>
        <w:gridCol w:w="1155"/>
      </w:tblGrid>
      <w:tr>
        <w:tc>
          <w:tcPr>
            <w:tcW w:w="4125" w:type="dxa"/>
            <w:vMerge w:val="restart"/>
          </w:tcPr>
          <w:p>
            <w:pPr>
              <w:pStyle w:val="0"/>
              <w:jc w:val="center"/>
            </w:pPr>
            <w:r>
              <w:rPr>
                <w:sz w:val="20"/>
              </w:rPr>
              <w:t xml:space="preserve">Объекты, здания и сооружения</w:t>
            </w:r>
          </w:p>
        </w:tc>
        <w:tc>
          <w:tcPr>
            <w:gridSpan w:val="12"/>
            <w:tcW w:w="14025" w:type="dxa"/>
          </w:tcPr>
          <w:p>
            <w:pPr>
              <w:pStyle w:val="0"/>
              <w:jc w:val="center"/>
            </w:pPr>
            <w:r>
              <w:rPr>
                <w:sz w:val="20"/>
              </w:rPr>
              <w:t xml:space="preserve">Минимальные расстояния, м, от оси</w:t>
            </w:r>
          </w:p>
        </w:tc>
      </w:tr>
      <w:tr>
        <w:tc>
          <w:tcPr>
            <w:vMerge w:val="continue"/>
          </w:tcPr>
          <w:p/>
        </w:tc>
        <w:tc>
          <w:tcPr>
            <w:gridSpan w:val="8"/>
            <w:tcW w:w="9405" w:type="dxa"/>
          </w:tcPr>
          <w:p>
            <w:pPr>
              <w:pStyle w:val="0"/>
              <w:jc w:val="center"/>
            </w:pPr>
            <w:r>
              <w:rPr>
                <w:sz w:val="20"/>
              </w:rPr>
              <w:t xml:space="preserve">газопроводов</w:t>
            </w:r>
          </w:p>
        </w:tc>
        <w:tc>
          <w:tcPr>
            <w:gridSpan w:val="4"/>
            <w:tcW w:w="4620" w:type="dxa"/>
          </w:tcPr>
          <w:p>
            <w:pPr>
              <w:pStyle w:val="0"/>
              <w:jc w:val="center"/>
            </w:pPr>
            <w:r>
              <w:rPr>
                <w:sz w:val="20"/>
              </w:rPr>
              <w:t xml:space="preserve">нефтепроводов и нефтепродуктоводов</w:t>
            </w:r>
          </w:p>
        </w:tc>
      </w:tr>
      <w:tr>
        <w:tc>
          <w:tcPr>
            <w:vMerge w:val="continue"/>
          </w:tcPr>
          <w:p/>
        </w:tc>
        <w:tc>
          <w:tcPr>
            <w:gridSpan w:val="12"/>
            <w:tcW w:w="14025" w:type="dxa"/>
          </w:tcPr>
          <w:p>
            <w:pPr>
              <w:pStyle w:val="0"/>
              <w:jc w:val="center"/>
            </w:pPr>
            <w:r>
              <w:rPr>
                <w:sz w:val="20"/>
              </w:rPr>
              <w:t xml:space="preserve">класса</w:t>
            </w:r>
          </w:p>
        </w:tc>
      </w:tr>
      <w:tr>
        <w:tc>
          <w:tcPr>
            <w:vMerge w:val="continue"/>
          </w:tcPr>
          <w:p/>
        </w:tc>
        <w:tc>
          <w:tcPr>
            <w:gridSpan w:val="6"/>
            <w:tcW w:w="7095" w:type="dxa"/>
          </w:tcPr>
          <w:p>
            <w:pPr>
              <w:pStyle w:val="0"/>
              <w:jc w:val="center"/>
            </w:pPr>
            <w:r>
              <w:rPr>
                <w:sz w:val="20"/>
              </w:rPr>
              <w:t xml:space="preserve">I</w:t>
            </w:r>
          </w:p>
        </w:tc>
        <w:tc>
          <w:tcPr>
            <w:gridSpan w:val="2"/>
            <w:tcW w:w="2310" w:type="dxa"/>
          </w:tcPr>
          <w:p>
            <w:pPr>
              <w:pStyle w:val="0"/>
              <w:jc w:val="center"/>
            </w:pPr>
            <w:r>
              <w:rPr>
                <w:sz w:val="20"/>
              </w:rPr>
              <w:t xml:space="preserve">II</w:t>
            </w:r>
          </w:p>
        </w:tc>
        <w:tc>
          <w:tcPr>
            <w:tcW w:w="1155" w:type="dxa"/>
          </w:tcPr>
          <w:p>
            <w:pPr>
              <w:pStyle w:val="0"/>
              <w:jc w:val="center"/>
            </w:pPr>
            <w:r>
              <w:rPr>
                <w:sz w:val="20"/>
              </w:rPr>
              <w:t xml:space="preserve">IV</w:t>
            </w:r>
          </w:p>
        </w:tc>
        <w:tc>
          <w:tcPr>
            <w:tcW w:w="1155" w:type="dxa"/>
          </w:tcPr>
          <w:p>
            <w:pPr>
              <w:pStyle w:val="0"/>
              <w:jc w:val="center"/>
            </w:pPr>
            <w:r>
              <w:rPr>
                <w:sz w:val="20"/>
              </w:rPr>
              <w:t xml:space="preserve">III</w:t>
            </w:r>
          </w:p>
        </w:tc>
        <w:tc>
          <w:tcPr>
            <w:tcW w:w="1155" w:type="dxa"/>
          </w:tcPr>
          <w:p>
            <w:pPr>
              <w:pStyle w:val="0"/>
              <w:jc w:val="center"/>
            </w:pPr>
            <w:r>
              <w:rPr>
                <w:sz w:val="20"/>
              </w:rPr>
              <w:t xml:space="preserve">II</w:t>
            </w:r>
          </w:p>
        </w:tc>
        <w:tc>
          <w:tcPr>
            <w:tcW w:w="1155" w:type="dxa"/>
          </w:tcPr>
          <w:p>
            <w:pPr>
              <w:pStyle w:val="0"/>
              <w:jc w:val="center"/>
            </w:pPr>
            <w:r>
              <w:rPr>
                <w:sz w:val="20"/>
              </w:rPr>
              <w:t xml:space="preserve">I</w:t>
            </w:r>
          </w:p>
        </w:tc>
      </w:tr>
      <w:tr>
        <w:tc>
          <w:tcPr>
            <w:vMerge w:val="continue"/>
          </w:tcPr>
          <w:p/>
        </w:tc>
        <w:tc>
          <w:tcPr>
            <w:gridSpan w:val="12"/>
            <w:tcW w:w="14025" w:type="dxa"/>
          </w:tcPr>
          <w:p>
            <w:pPr>
              <w:pStyle w:val="0"/>
              <w:jc w:val="center"/>
            </w:pPr>
            <w:r>
              <w:rPr>
                <w:sz w:val="20"/>
              </w:rPr>
              <w:t xml:space="preserve">условным диаметром, в мм</w:t>
            </w:r>
          </w:p>
        </w:tc>
      </w:tr>
      <w:tr>
        <w:tc>
          <w:tcPr>
            <w:vMerge w:val="continue"/>
          </w:tcPr>
          <w:p/>
        </w:tc>
        <w:tc>
          <w:tcPr>
            <w:tcW w:w="1320" w:type="dxa"/>
          </w:tcPr>
          <w:p>
            <w:pPr>
              <w:pStyle w:val="0"/>
              <w:jc w:val="center"/>
            </w:pPr>
            <w:r>
              <w:rPr>
                <w:sz w:val="20"/>
              </w:rPr>
              <w:t xml:space="preserve">300 и менее</w:t>
            </w:r>
          </w:p>
        </w:tc>
        <w:tc>
          <w:tcPr>
            <w:tcW w:w="1155" w:type="dxa"/>
          </w:tcPr>
          <w:p>
            <w:pPr>
              <w:pStyle w:val="0"/>
              <w:jc w:val="center"/>
            </w:pPr>
            <w:r>
              <w:rPr>
                <w:sz w:val="20"/>
              </w:rPr>
              <w:t xml:space="preserve">св. 300 до 600</w:t>
            </w:r>
          </w:p>
        </w:tc>
        <w:tc>
          <w:tcPr>
            <w:tcW w:w="1155" w:type="dxa"/>
          </w:tcPr>
          <w:p>
            <w:pPr>
              <w:pStyle w:val="0"/>
              <w:jc w:val="center"/>
            </w:pPr>
            <w:r>
              <w:rPr>
                <w:sz w:val="20"/>
              </w:rPr>
              <w:t xml:space="preserve">св. 600 до 800</w:t>
            </w:r>
          </w:p>
        </w:tc>
        <w:tc>
          <w:tcPr>
            <w:tcW w:w="1155" w:type="dxa"/>
          </w:tcPr>
          <w:p>
            <w:pPr>
              <w:pStyle w:val="0"/>
              <w:jc w:val="center"/>
            </w:pPr>
            <w:r>
              <w:rPr>
                <w:sz w:val="20"/>
              </w:rPr>
              <w:t xml:space="preserve">св. 800 до 1000</w:t>
            </w:r>
          </w:p>
        </w:tc>
        <w:tc>
          <w:tcPr>
            <w:tcW w:w="1155" w:type="dxa"/>
          </w:tcPr>
          <w:p>
            <w:pPr>
              <w:pStyle w:val="0"/>
              <w:jc w:val="center"/>
            </w:pPr>
            <w:r>
              <w:rPr>
                <w:sz w:val="20"/>
              </w:rPr>
              <w:t xml:space="preserve">св. 1000 до 1200</w:t>
            </w:r>
          </w:p>
        </w:tc>
        <w:tc>
          <w:tcPr>
            <w:tcW w:w="1155" w:type="dxa"/>
          </w:tcPr>
          <w:p>
            <w:pPr>
              <w:pStyle w:val="0"/>
              <w:jc w:val="center"/>
            </w:pPr>
            <w:r>
              <w:rPr>
                <w:sz w:val="20"/>
              </w:rPr>
              <w:t xml:space="preserve">св. 1200 до 1400</w:t>
            </w:r>
          </w:p>
        </w:tc>
        <w:tc>
          <w:tcPr>
            <w:tcW w:w="1155" w:type="dxa"/>
          </w:tcPr>
          <w:p>
            <w:pPr>
              <w:pStyle w:val="0"/>
              <w:jc w:val="center"/>
            </w:pPr>
            <w:r>
              <w:rPr>
                <w:sz w:val="20"/>
              </w:rPr>
              <w:t xml:space="preserve">300 и менее</w:t>
            </w:r>
          </w:p>
        </w:tc>
        <w:tc>
          <w:tcPr>
            <w:tcW w:w="1155" w:type="dxa"/>
          </w:tcPr>
          <w:p>
            <w:pPr>
              <w:pStyle w:val="0"/>
              <w:jc w:val="center"/>
            </w:pPr>
            <w:r>
              <w:rPr>
                <w:sz w:val="20"/>
              </w:rPr>
              <w:t xml:space="preserve">св. 300</w:t>
            </w:r>
          </w:p>
        </w:tc>
        <w:tc>
          <w:tcPr>
            <w:tcW w:w="1155" w:type="dxa"/>
          </w:tcPr>
          <w:p>
            <w:pPr>
              <w:pStyle w:val="0"/>
              <w:jc w:val="center"/>
            </w:pPr>
            <w:r>
              <w:rPr>
                <w:sz w:val="20"/>
              </w:rPr>
              <w:t xml:space="preserve">300 и менее</w:t>
            </w:r>
          </w:p>
        </w:tc>
        <w:tc>
          <w:tcPr>
            <w:tcW w:w="1155" w:type="dxa"/>
          </w:tcPr>
          <w:p>
            <w:pPr>
              <w:pStyle w:val="0"/>
              <w:jc w:val="center"/>
            </w:pPr>
            <w:r>
              <w:rPr>
                <w:sz w:val="20"/>
              </w:rPr>
              <w:t xml:space="preserve">св. 300 до 500</w:t>
            </w:r>
          </w:p>
        </w:tc>
        <w:tc>
          <w:tcPr>
            <w:tcW w:w="1155" w:type="dxa"/>
          </w:tcPr>
          <w:p>
            <w:pPr>
              <w:pStyle w:val="0"/>
              <w:jc w:val="center"/>
            </w:pPr>
            <w:r>
              <w:rPr>
                <w:sz w:val="20"/>
              </w:rPr>
              <w:t xml:space="preserve">св. 500 до 1000</w:t>
            </w:r>
          </w:p>
        </w:tc>
        <w:tc>
          <w:tcPr>
            <w:tcW w:w="1155" w:type="dxa"/>
          </w:tcPr>
          <w:p>
            <w:pPr>
              <w:pStyle w:val="0"/>
              <w:jc w:val="center"/>
            </w:pPr>
            <w:r>
              <w:rPr>
                <w:sz w:val="20"/>
              </w:rPr>
              <w:t xml:space="preserve">св. 1000 до 1400</w:t>
            </w:r>
          </w:p>
        </w:tc>
      </w:tr>
      <w:tr>
        <w:tc>
          <w:tcPr>
            <w:tcW w:w="4125" w:type="dxa"/>
          </w:tcPr>
          <w:bookmarkStart w:id="3664" w:name="P3664"/>
          <w:bookmarkEnd w:id="3664"/>
          <w:p>
            <w:pPr>
              <w:pStyle w:val="0"/>
              <w:jc w:val="both"/>
            </w:pPr>
            <w:r>
              <w:rPr>
                <w:sz w:val="20"/>
              </w:rPr>
              <w:t xml:space="preserve">1. Города и другие населенные пункты; коллективные сады с садовыми домиками, дачные поселки; отдельные промышленные и сельскохозяйственные предприятия; тепличные комбинаты и хозяйства; птицефабрики; молокозаводы; карьеры разработки полезных ископаемых; гаражи и открытые стоянки для автомобилей индивидуальных владельцев на количество автомобилей более 20;</w:t>
            </w:r>
          </w:p>
        </w:tc>
        <w:tc>
          <w:tcPr>
            <w:tcW w:w="1320" w:type="dxa"/>
          </w:tcPr>
          <w:p>
            <w:pPr>
              <w:pStyle w:val="0"/>
              <w:jc w:val="center"/>
            </w:pPr>
            <w:r>
              <w:rPr>
                <w:sz w:val="20"/>
              </w:rPr>
              <w:t xml:space="preserve">100</w:t>
            </w:r>
          </w:p>
        </w:tc>
        <w:tc>
          <w:tcPr>
            <w:tcW w:w="1155" w:type="dxa"/>
          </w:tcPr>
          <w:p>
            <w:pPr>
              <w:pStyle w:val="0"/>
              <w:jc w:val="center"/>
            </w:pPr>
            <w:r>
              <w:rPr>
                <w:sz w:val="20"/>
              </w:rPr>
              <w:t xml:space="preserve">150</w:t>
            </w:r>
          </w:p>
        </w:tc>
        <w:tc>
          <w:tcPr>
            <w:tcW w:w="1155" w:type="dxa"/>
          </w:tcPr>
          <w:p>
            <w:pPr>
              <w:pStyle w:val="0"/>
              <w:jc w:val="center"/>
            </w:pPr>
            <w:r>
              <w:rPr>
                <w:sz w:val="20"/>
              </w:rPr>
              <w:t xml:space="preserve">200</w:t>
            </w:r>
          </w:p>
        </w:tc>
        <w:tc>
          <w:tcPr>
            <w:tcW w:w="1155" w:type="dxa"/>
          </w:tcPr>
          <w:p>
            <w:pPr>
              <w:pStyle w:val="0"/>
              <w:jc w:val="center"/>
            </w:pPr>
            <w:r>
              <w:rPr>
                <w:sz w:val="20"/>
              </w:rPr>
              <w:t xml:space="preserve">250</w:t>
            </w:r>
          </w:p>
        </w:tc>
        <w:tc>
          <w:tcPr>
            <w:tcW w:w="1155" w:type="dxa"/>
          </w:tcPr>
          <w:p>
            <w:pPr>
              <w:pStyle w:val="0"/>
              <w:jc w:val="center"/>
            </w:pPr>
            <w:r>
              <w:rPr>
                <w:sz w:val="20"/>
              </w:rPr>
              <w:t xml:space="preserve">300</w:t>
            </w:r>
          </w:p>
        </w:tc>
        <w:tc>
          <w:tcPr>
            <w:tcW w:w="1155" w:type="dxa"/>
          </w:tcPr>
          <w:p>
            <w:pPr>
              <w:pStyle w:val="0"/>
              <w:jc w:val="center"/>
            </w:pPr>
            <w:r>
              <w:rPr>
                <w:sz w:val="20"/>
              </w:rPr>
              <w:t xml:space="preserve">350</w:t>
            </w:r>
          </w:p>
        </w:tc>
        <w:tc>
          <w:tcPr>
            <w:tcW w:w="1155" w:type="dxa"/>
          </w:tcPr>
          <w:p>
            <w:pPr>
              <w:pStyle w:val="0"/>
              <w:jc w:val="center"/>
            </w:pPr>
            <w:r>
              <w:rPr>
                <w:sz w:val="20"/>
              </w:rPr>
              <w:t xml:space="preserve">75</w:t>
            </w:r>
          </w:p>
        </w:tc>
        <w:tc>
          <w:tcPr>
            <w:tcW w:w="1155" w:type="dxa"/>
          </w:tcPr>
          <w:p>
            <w:pPr>
              <w:pStyle w:val="0"/>
              <w:jc w:val="center"/>
            </w:pPr>
            <w:r>
              <w:rPr>
                <w:sz w:val="20"/>
              </w:rPr>
              <w:t xml:space="preserve">125</w:t>
            </w:r>
          </w:p>
        </w:tc>
        <w:tc>
          <w:tcPr>
            <w:tcW w:w="1155" w:type="dxa"/>
          </w:tcPr>
          <w:p>
            <w:pPr>
              <w:pStyle w:val="0"/>
              <w:jc w:val="center"/>
            </w:pPr>
            <w:r>
              <w:rPr>
                <w:sz w:val="20"/>
              </w:rPr>
              <w:t xml:space="preserve">75</w:t>
            </w:r>
          </w:p>
        </w:tc>
        <w:tc>
          <w:tcPr>
            <w:tcW w:w="1155" w:type="dxa"/>
          </w:tcPr>
          <w:p>
            <w:pPr>
              <w:pStyle w:val="0"/>
              <w:jc w:val="center"/>
            </w:pPr>
            <w:r>
              <w:rPr>
                <w:sz w:val="20"/>
              </w:rPr>
              <w:t xml:space="preserve">100</w:t>
            </w:r>
          </w:p>
        </w:tc>
        <w:tc>
          <w:tcPr>
            <w:tcW w:w="1155" w:type="dxa"/>
          </w:tcPr>
          <w:p>
            <w:pPr>
              <w:pStyle w:val="0"/>
              <w:jc w:val="center"/>
            </w:pPr>
            <w:r>
              <w:rPr>
                <w:sz w:val="20"/>
              </w:rPr>
              <w:t xml:space="preserve">150</w:t>
            </w:r>
          </w:p>
        </w:tc>
        <w:tc>
          <w:tcPr>
            <w:tcW w:w="1155" w:type="dxa"/>
          </w:tcPr>
          <w:p>
            <w:pPr>
              <w:pStyle w:val="0"/>
              <w:jc w:val="center"/>
            </w:pPr>
            <w:r>
              <w:rPr>
                <w:sz w:val="20"/>
              </w:rPr>
              <w:t xml:space="preserve">200</w:t>
            </w:r>
          </w:p>
        </w:tc>
      </w:tr>
      <w:tr>
        <w:tc>
          <w:tcPr>
            <w:tcW w:w="4125" w:type="dxa"/>
          </w:tcPr>
          <w:p>
            <w:pPr>
              <w:pStyle w:val="0"/>
              <w:jc w:val="both"/>
            </w:pPr>
            <w:r>
              <w:rPr>
                <w:sz w:val="20"/>
              </w:rPr>
              <w:t xml:space="preserve">отдельно стоящие здания с массовым скоплением людей (школы, больницы, клубы, детские сады и ясли, вокзалы и т.д.); жилые здания 3-этажные и выше; железнодорожные станции; аэропорты; морские и речные порты и пристани; гидроэлектростанции; гидротехнические сооружения морского и речного транспорта I - IV классов; очистные сооружения и насосные станции водопроводные, не относящиеся к магистральному трубопроводу, мосты железных дорог общей сети и автомобильных дорог I и II категорий с пролетом свыше 20 м (при прокладке нефтепроводов и нефтепродуктопроводов ниже мостов по течению); склады легковоспламеняющихся и горючих жидкостей и газов с объемом хранения свыше 1000 м</w:t>
            </w:r>
            <w:r>
              <w:rPr>
                <w:sz w:val="20"/>
                <w:vertAlign w:val="superscript"/>
              </w:rPr>
              <w:t xml:space="preserve">3</w:t>
            </w:r>
            <w:r>
              <w:rPr>
                <w:sz w:val="20"/>
              </w:rPr>
              <w:t xml:space="preserve">; автозаправочные станции; мачты (башни) и сооружения многоканальной радиорелейной линии технологической связи трубопроводов, мачты (башни) и сооружения многоканальной радиорелейной линии связи; телевизионные башни</w:t>
            </w:r>
          </w:p>
        </w:tc>
        <w:tc>
          <w:tcPr>
            <w:tcW w:w="1320" w:type="dxa"/>
          </w:tcPr>
          <w:p>
            <w:pPr>
              <w:pStyle w:val="0"/>
              <w:jc w:val="center"/>
            </w:pPr>
            <w:r>
              <w:rPr>
                <w:sz w:val="20"/>
              </w:rPr>
              <w:t xml:space="preserve">100</w:t>
            </w:r>
          </w:p>
        </w:tc>
        <w:tc>
          <w:tcPr>
            <w:tcW w:w="1155" w:type="dxa"/>
          </w:tcPr>
          <w:p>
            <w:pPr>
              <w:pStyle w:val="0"/>
              <w:jc w:val="center"/>
            </w:pPr>
            <w:r>
              <w:rPr>
                <w:sz w:val="20"/>
              </w:rPr>
              <w:t xml:space="preserve">150</w:t>
            </w:r>
          </w:p>
        </w:tc>
        <w:tc>
          <w:tcPr>
            <w:tcW w:w="1155" w:type="dxa"/>
          </w:tcPr>
          <w:p>
            <w:pPr>
              <w:pStyle w:val="0"/>
              <w:jc w:val="center"/>
            </w:pPr>
            <w:r>
              <w:rPr>
                <w:sz w:val="20"/>
              </w:rPr>
              <w:t xml:space="preserve">200</w:t>
            </w:r>
          </w:p>
        </w:tc>
        <w:tc>
          <w:tcPr>
            <w:tcW w:w="1155" w:type="dxa"/>
          </w:tcPr>
          <w:p>
            <w:pPr>
              <w:pStyle w:val="0"/>
              <w:jc w:val="center"/>
            </w:pPr>
            <w:r>
              <w:rPr>
                <w:sz w:val="20"/>
              </w:rPr>
              <w:t xml:space="preserve">250</w:t>
            </w:r>
          </w:p>
        </w:tc>
        <w:tc>
          <w:tcPr>
            <w:tcW w:w="1155" w:type="dxa"/>
          </w:tcPr>
          <w:p>
            <w:pPr>
              <w:pStyle w:val="0"/>
              <w:jc w:val="center"/>
            </w:pPr>
            <w:r>
              <w:rPr>
                <w:sz w:val="20"/>
              </w:rPr>
              <w:t xml:space="preserve">300</w:t>
            </w:r>
          </w:p>
        </w:tc>
        <w:tc>
          <w:tcPr>
            <w:tcW w:w="1155" w:type="dxa"/>
          </w:tcPr>
          <w:p>
            <w:pPr>
              <w:pStyle w:val="0"/>
              <w:jc w:val="center"/>
            </w:pPr>
            <w:r>
              <w:rPr>
                <w:sz w:val="20"/>
              </w:rPr>
              <w:t xml:space="preserve">350</w:t>
            </w:r>
          </w:p>
        </w:tc>
        <w:tc>
          <w:tcPr>
            <w:tcW w:w="1155" w:type="dxa"/>
          </w:tcPr>
          <w:p>
            <w:pPr>
              <w:pStyle w:val="0"/>
              <w:jc w:val="center"/>
            </w:pPr>
            <w:r>
              <w:rPr>
                <w:sz w:val="20"/>
              </w:rPr>
              <w:t xml:space="preserve">75</w:t>
            </w:r>
          </w:p>
        </w:tc>
        <w:tc>
          <w:tcPr>
            <w:tcW w:w="1155" w:type="dxa"/>
          </w:tcPr>
          <w:p>
            <w:pPr>
              <w:pStyle w:val="0"/>
              <w:jc w:val="center"/>
            </w:pPr>
            <w:r>
              <w:rPr>
                <w:sz w:val="20"/>
              </w:rPr>
              <w:t xml:space="preserve">125</w:t>
            </w:r>
          </w:p>
        </w:tc>
        <w:tc>
          <w:tcPr>
            <w:tcW w:w="1155" w:type="dxa"/>
          </w:tcPr>
          <w:p>
            <w:pPr>
              <w:pStyle w:val="0"/>
              <w:jc w:val="center"/>
            </w:pPr>
            <w:r>
              <w:rPr>
                <w:sz w:val="20"/>
              </w:rPr>
              <w:t xml:space="preserve">75</w:t>
            </w:r>
          </w:p>
        </w:tc>
        <w:tc>
          <w:tcPr>
            <w:tcW w:w="1155" w:type="dxa"/>
          </w:tcPr>
          <w:p>
            <w:pPr>
              <w:pStyle w:val="0"/>
              <w:jc w:val="center"/>
            </w:pPr>
            <w:r>
              <w:rPr>
                <w:sz w:val="20"/>
              </w:rPr>
              <w:t xml:space="preserve">100</w:t>
            </w:r>
          </w:p>
        </w:tc>
        <w:tc>
          <w:tcPr>
            <w:tcW w:w="1155" w:type="dxa"/>
          </w:tcPr>
          <w:p>
            <w:pPr>
              <w:pStyle w:val="0"/>
              <w:jc w:val="center"/>
            </w:pPr>
            <w:r>
              <w:rPr>
                <w:sz w:val="20"/>
              </w:rPr>
              <w:t xml:space="preserve">150</w:t>
            </w:r>
          </w:p>
        </w:tc>
        <w:tc>
          <w:tcPr>
            <w:tcW w:w="1155" w:type="dxa"/>
          </w:tcPr>
          <w:p>
            <w:pPr>
              <w:pStyle w:val="0"/>
              <w:jc w:val="center"/>
            </w:pPr>
            <w:r>
              <w:rPr>
                <w:sz w:val="20"/>
              </w:rPr>
              <w:t xml:space="preserve">200</w:t>
            </w:r>
          </w:p>
        </w:tc>
      </w:tr>
      <w:tr>
        <w:tc>
          <w:tcPr>
            <w:tcW w:w="4125" w:type="dxa"/>
          </w:tcPr>
          <w:bookmarkStart w:id="3690" w:name="P3690"/>
          <w:bookmarkEnd w:id="3690"/>
          <w:p>
            <w:pPr>
              <w:pStyle w:val="0"/>
              <w:jc w:val="both"/>
            </w:pPr>
            <w:r>
              <w:rPr>
                <w:sz w:val="20"/>
              </w:rPr>
              <w:t xml:space="preserve">2. Железные дороги общей сети (на перегонах) и автодороги I - III категорий, параллельно которым прокладывается трубопровод; отдельно стоящие: жилые здания 1 - 2-этажные; садовые домики, дачи; дома линейных обходчиков; кладбища; сельскохозяйственные фермы и огороженные участки для организованного выпаса скота; полевые станы</w:t>
            </w:r>
          </w:p>
        </w:tc>
        <w:tc>
          <w:tcPr>
            <w:tcW w:w="1320" w:type="dxa"/>
          </w:tcPr>
          <w:p>
            <w:pPr>
              <w:pStyle w:val="0"/>
              <w:jc w:val="center"/>
            </w:pPr>
            <w:r>
              <w:rPr>
                <w:sz w:val="20"/>
              </w:rPr>
              <w:t xml:space="preserve">75</w:t>
            </w:r>
          </w:p>
        </w:tc>
        <w:tc>
          <w:tcPr>
            <w:tcW w:w="1155" w:type="dxa"/>
          </w:tcPr>
          <w:p>
            <w:pPr>
              <w:pStyle w:val="0"/>
              <w:jc w:val="center"/>
            </w:pPr>
            <w:r>
              <w:rPr>
                <w:sz w:val="20"/>
              </w:rPr>
              <w:t xml:space="preserve">125</w:t>
            </w:r>
          </w:p>
        </w:tc>
        <w:tc>
          <w:tcPr>
            <w:tcW w:w="1155" w:type="dxa"/>
          </w:tcPr>
          <w:p>
            <w:pPr>
              <w:pStyle w:val="0"/>
              <w:jc w:val="center"/>
            </w:pPr>
            <w:r>
              <w:rPr>
                <w:sz w:val="20"/>
              </w:rPr>
              <w:t xml:space="preserve">150</w:t>
            </w:r>
          </w:p>
        </w:tc>
        <w:tc>
          <w:tcPr>
            <w:tcW w:w="1155" w:type="dxa"/>
          </w:tcPr>
          <w:p>
            <w:pPr>
              <w:pStyle w:val="0"/>
              <w:jc w:val="center"/>
            </w:pPr>
            <w:r>
              <w:rPr>
                <w:sz w:val="20"/>
              </w:rPr>
              <w:t xml:space="preserve">200</w:t>
            </w:r>
          </w:p>
        </w:tc>
        <w:tc>
          <w:tcPr>
            <w:tcW w:w="1155" w:type="dxa"/>
          </w:tcPr>
          <w:p>
            <w:pPr>
              <w:pStyle w:val="0"/>
              <w:jc w:val="center"/>
            </w:pPr>
            <w:r>
              <w:rPr>
                <w:sz w:val="20"/>
              </w:rPr>
              <w:t xml:space="preserve">225</w:t>
            </w:r>
          </w:p>
        </w:tc>
        <w:tc>
          <w:tcPr>
            <w:tcW w:w="1155" w:type="dxa"/>
          </w:tcPr>
          <w:p>
            <w:pPr>
              <w:pStyle w:val="0"/>
              <w:jc w:val="center"/>
            </w:pPr>
            <w:r>
              <w:rPr>
                <w:sz w:val="20"/>
              </w:rPr>
              <w:t xml:space="preserve">250</w:t>
            </w:r>
          </w:p>
        </w:tc>
        <w:tc>
          <w:tcPr>
            <w:tcW w:w="1155" w:type="dxa"/>
          </w:tcPr>
          <w:p>
            <w:pPr>
              <w:pStyle w:val="0"/>
              <w:jc w:val="center"/>
            </w:pPr>
            <w:r>
              <w:rPr>
                <w:sz w:val="20"/>
              </w:rPr>
              <w:t xml:space="preserve">75</w:t>
            </w:r>
          </w:p>
        </w:tc>
        <w:tc>
          <w:tcPr>
            <w:tcW w:w="1155" w:type="dxa"/>
          </w:tcPr>
          <w:p>
            <w:pPr>
              <w:pStyle w:val="0"/>
              <w:jc w:val="center"/>
            </w:pPr>
            <w:r>
              <w:rPr>
                <w:sz w:val="20"/>
              </w:rPr>
              <w:t xml:space="preserve">100</w:t>
            </w:r>
          </w:p>
        </w:tc>
        <w:tc>
          <w:tcPr>
            <w:tcW w:w="1155" w:type="dxa"/>
          </w:tcPr>
          <w:p>
            <w:pPr>
              <w:pStyle w:val="0"/>
              <w:jc w:val="center"/>
            </w:pPr>
            <w:r>
              <w:rPr>
                <w:sz w:val="20"/>
              </w:rPr>
              <w:t xml:space="preserve">50</w:t>
            </w:r>
          </w:p>
        </w:tc>
        <w:tc>
          <w:tcPr>
            <w:tcW w:w="1155" w:type="dxa"/>
          </w:tcPr>
          <w:p>
            <w:pPr>
              <w:pStyle w:val="0"/>
              <w:jc w:val="center"/>
            </w:pPr>
            <w:r>
              <w:rPr>
                <w:sz w:val="20"/>
              </w:rPr>
              <w:t xml:space="preserve">50</w:t>
            </w:r>
          </w:p>
        </w:tc>
        <w:tc>
          <w:tcPr>
            <w:tcW w:w="1155" w:type="dxa"/>
          </w:tcPr>
          <w:p>
            <w:pPr>
              <w:pStyle w:val="0"/>
              <w:jc w:val="center"/>
            </w:pPr>
            <w:r>
              <w:rPr>
                <w:sz w:val="20"/>
              </w:rPr>
              <w:t xml:space="preserve">75</w:t>
            </w:r>
          </w:p>
        </w:tc>
        <w:tc>
          <w:tcPr>
            <w:tcW w:w="1155" w:type="dxa"/>
          </w:tcPr>
          <w:p>
            <w:pPr>
              <w:pStyle w:val="0"/>
              <w:jc w:val="center"/>
            </w:pPr>
            <w:r>
              <w:rPr>
                <w:sz w:val="20"/>
              </w:rPr>
              <w:t xml:space="preserve">100</w:t>
            </w:r>
          </w:p>
        </w:tc>
      </w:tr>
      <w:tr>
        <w:tc>
          <w:tcPr>
            <w:tcW w:w="4125" w:type="dxa"/>
          </w:tcPr>
          <w:p>
            <w:pPr>
              <w:pStyle w:val="0"/>
              <w:jc w:val="both"/>
            </w:pPr>
            <w:r>
              <w:rPr>
                <w:sz w:val="20"/>
              </w:rPr>
              <w:t xml:space="preserve">3. Отдельно стоящие нежилые и подсобные здания и сооружения; устья бурящихся и эксплуатируемых нефтяных, газовых и артезианских скважин; гаражи и открытые стоянки для автомобилей индивидуальных владельцев на 20 автомобилей и менее; канализационные сооружения; железные дороги промышленных предприятий, автомобильные дороги III-п, IV, IV-п и V категорий, параллельно которым прокладывается трубопровод</w:t>
            </w:r>
          </w:p>
        </w:tc>
        <w:tc>
          <w:tcPr>
            <w:tcW w:w="1320" w:type="dxa"/>
          </w:tcPr>
          <w:p>
            <w:pPr>
              <w:pStyle w:val="0"/>
              <w:jc w:val="center"/>
            </w:pPr>
            <w:r>
              <w:rPr>
                <w:sz w:val="20"/>
              </w:rPr>
              <w:t xml:space="preserve">30</w:t>
            </w:r>
          </w:p>
        </w:tc>
        <w:tc>
          <w:tcPr>
            <w:tcW w:w="1155" w:type="dxa"/>
          </w:tcPr>
          <w:p>
            <w:pPr>
              <w:pStyle w:val="0"/>
              <w:jc w:val="center"/>
            </w:pPr>
            <w:r>
              <w:rPr>
                <w:sz w:val="20"/>
              </w:rPr>
              <w:t xml:space="preserve">50</w:t>
            </w:r>
          </w:p>
        </w:tc>
        <w:tc>
          <w:tcPr>
            <w:tcW w:w="1155" w:type="dxa"/>
          </w:tcPr>
          <w:p>
            <w:pPr>
              <w:pStyle w:val="0"/>
              <w:jc w:val="center"/>
            </w:pPr>
            <w:r>
              <w:rPr>
                <w:sz w:val="20"/>
              </w:rPr>
              <w:t xml:space="preserve">100</w:t>
            </w:r>
          </w:p>
        </w:tc>
        <w:tc>
          <w:tcPr>
            <w:tcW w:w="1155" w:type="dxa"/>
          </w:tcPr>
          <w:p>
            <w:pPr>
              <w:pStyle w:val="0"/>
              <w:jc w:val="center"/>
            </w:pPr>
            <w:r>
              <w:rPr>
                <w:sz w:val="20"/>
              </w:rPr>
              <w:t xml:space="preserve">150</w:t>
            </w:r>
          </w:p>
        </w:tc>
        <w:tc>
          <w:tcPr>
            <w:tcW w:w="1155" w:type="dxa"/>
          </w:tcPr>
          <w:p>
            <w:pPr>
              <w:pStyle w:val="0"/>
              <w:jc w:val="center"/>
            </w:pPr>
            <w:r>
              <w:rPr>
                <w:sz w:val="20"/>
              </w:rPr>
              <w:t xml:space="preserve">175</w:t>
            </w:r>
          </w:p>
        </w:tc>
        <w:tc>
          <w:tcPr>
            <w:tcW w:w="1155" w:type="dxa"/>
          </w:tcPr>
          <w:p>
            <w:pPr>
              <w:pStyle w:val="0"/>
              <w:jc w:val="center"/>
            </w:pPr>
            <w:r>
              <w:rPr>
                <w:sz w:val="20"/>
              </w:rPr>
              <w:t xml:space="preserve">200</w:t>
            </w:r>
          </w:p>
        </w:tc>
        <w:tc>
          <w:tcPr>
            <w:tcW w:w="1155" w:type="dxa"/>
          </w:tcPr>
          <w:p>
            <w:pPr>
              <w:pStyle w:val="0"/>
              <w:jc w:val="center"/>
            </w:pPr>
            <w:r>
              <w:rPr>
                <w:sz w:val="20"/>
              </w:rPr>
              <w:t xml:space="preserve">30</w:t>
            </w:r>
          </w:p>
        </w:tc>
        <w:tc>
          <w:tcPr>
            <w:tcW w:w="1155" w:type="dxa"/>
          </w:tcPr>
          <w:p>
            <w:pPr>
              <w:pStyle w:val="0"/>
              <w:jc w:val="center"/>
            </w:pPr>
            <w:r>
              <w:rPr>
                <w:sz w:val="20"/>
              </w:rPr>
              <w:t xml:space="preserve">50</w:t>
            </w:r>
          </w:p>
        </w:tc>
        <w:tc>
          <w:tcPr>
            <w:tcW w:w="1155" w:type="dxa"/>
          </w:tcPr>
          <w:p>
            <w:pPr>
              <w:pStyle w:val="0"/>
              <w:jc w:val="center"/>
            </w:pPr>
            <w:r>
              <w:rPr>
                <w:sz w:val="20"/>
              </w:rPr>
              <w:t xml:space="preserve">30</w:t>
            </w:r>
          </w:p>
        </w:tc>
        <w:tc>
          <w:tcPr>
            <w:tcW w:w="1155" w:type="dxa"/>
          </w:tcPr>
          <w:p>
            <w:pPr>
              <w:pStyle w:val="0"/>
              <w:jc w:val="center"/>
            </w:pPr>
            <w:r>
              <w:rPr>
                <w:sz w:val="20"/>
              </w:rPr>
              <w:t xml:space="preserve">30</w:t>
            </w:r>
          </w:p>
        </w:tc>
        <w:tc>
          <w:tcPr>
            <w:tcW w:w="1155" w:type="dxa"/>
          </w:tcPr>
          <w:p>
            <w:pPr>
              <w:pStyle w:val="0"/>
              <w:jc w:val="center"/>
            </w:pPr>
            <w:r>
              <w:rPr>
                <w:sz w:val="20"/>
              </w:rPr>
              <w:t xml:space="preserve">30</w:t>
            </w:r>
          </w:p>
        </w:tc>
        <w:tc>
          <w:tcPr>
            <w:tcW w:w="1155" w:type="dxa"/>
          </w:tcPr>
          <w:p>
            <w:pPr>
              <w:pStyle w:val="0"/>
              <w:jc w:val="center"/>
            </w:pPr>
            <w:r>
              <w:rPr>
                <w:sz w:val="20"/>
              </w:rPr>
              <w:t xml:space="preserve">50</w:t>
            </w:r>
          </w:p>
        </w:tc>
      </w:tr>
      <w:tr>
        <w:tc>
          <w:tcPr>
            <w:tcW w:w="4125" w:type="dxa"/>
          </w:tcPr>
          <w:bookmarkStart w:id="3716" w:name="P3716"/>
          <w:bookmarkEnd w:id="3716"/>
          <w:p>
            <w:pPr>
              <w:pStyle w:val="0"/>
              <w:jc w:val="both"/>
            </w:pPr>
            <w:r>
              <w:rPr>
                <w:sz w:val="20"/>
              </w:rPr>
              <w:t xml:space="preserve">4. Мосты железных дорог промышленных предприятий, автомобильных дорог III, III-п, IV, IV-п категорий с пролетом свыше 20 м (при прокладке нефтепроводов и нефтепродуктопроводов ниже мостов по течению)</w:t>
            </w:r>
          </w:p>
        </w:tc>
        <w:tc>
          <w:tcPr>
            <w:tcW w:w="1320" w:type="dxa"/>
          </w:tcPr>
          <w:p>
            <w:pPr>
              <w:pStyle w:val="0"/>
              <w:jc w:val="center"/>
            </w:pPr>
            <w:r>
              <w:rPr>
                <w:sz w:val="20"/>
              </w:rPr>
              <w:t xml:space="preserve">75</w:t>
            </w:r>
          </w:p>
        </w:tc>
        <w:tc>
          <w:tcPr>
            <w:tcW w:w="1155" w:type="dxa"/>
          </w:tcPr>
          <w:p>
            <w:pPr>
              <w:pStyle w:val="0"/>
              <w:jc w:val="center"/>
            </w:pPr>
            <w:r>
              <w:rPr>
                <w:sz w:val="20"/>
              </w:rPr>
              <w:t xml:space="preserve">125</w:t>
            </w:r>
          </w:p>
        </w:tc>
        <w:tc>
          <w:tcPr>
            <w:tcW w:w="1155" w:type="dxa"/>
          </w:tcPr>
          <w:p>
            <w:pPr>
              <w:pStyle w:val="0"/>
              <w:jc w:val="center"/>
            </w:pPr>
            <w:r>
              <w:rPr>
                <w:sz w:val="20"/>
              </w:rPr>
              <w:t xml:space="preserve">150</w:t>
            </w:r>
          </w:p>
        </w:tc>
        <w:tc>
          <w:tcPr>
            <w:tcW w:w="1155" w:type="dxa"/>
          </w:tcPr>
          <w:p>
            <w:pPr>
              <w:pStyle w:val="0"/>
              <w:jc w:val="center"/>
            </w:pPr>
            <w:r>
              <w:rPr>
                <w:sz w:val="20"/>
              </w:rPr>
              <w:t xml:space="preserve">200</w:t>
            </w:r>
          </w:p>
        </w:tc>
        <w:tc>
          <w:tcPr>
            <w:tcW w:w="1155" w:type="dxa"/>
          </w:tcPr>
          <w:p>
            <w:pPr>
              <w:pStyle w:val="0"/>
              <w:jc w:val="center"/>
            </w:pPr>
            <w:r>
              <w:rPr>
                <w:sz w:val="20"/>
              </w:rPr>
              <w:t xml:space="preserve">225</w:t>
            </w:r>
          </w:p>
        </w:tc>
        <w:tc>
          <w:tcPr>
            <w:tcW w:w="1155" w:type="dxa"/>
          </w:tcPr>
          <w:p>
            <w:pPr>
              <w:pStyle w:val="0"/>
              <w:jc w:val="center"/>
            </w:pPr>
            <w:r>
              <w:rPr>
                <w:sz w:val="20"/>
              </w:rPr>
              <w:t xml:space="preserve">250</w:t>
            </w:r>
          </w:p>
        </w:tc>
        <w:tc>
          <w:tcPr>
            <w:tcW w:w="1155" w:type="dxa"/>
          </w:tcPr>
          <w:p>
            <w:pPr>
              <w:pStyle w:val="0"/>
              <w:jc w:val="center"/>
            </w:pPr>
            <w:r>
              <w:rPr>
                <w:sz w:val="20"/>
              </w:rPr>
              <w:t xml:space="preserve">75</w:t>
            </w:r>
          </w:p>
        </w:tc>
        <w:tc>
          <w:tcPr>
            <w:tcW w:w="1155" w:type="dxa"/>
          </w:tcPr>
          <w:p>
            <w:pPr>
              <w:pStyle w:val="0"/>
              <w:jc w:val="center"/>
            </w:pPr>
            <w:r>
              <w:rPr>
                <w:sz w:val="20"/>
              </w:rPr>
              <w:t xml:space="preserve">125</w:t>
            </w:r>
          </w:p>
        </w:tc>
        <w:tc>
          <w:tcPr>
            <w:tcW w:w="1155" w:type="dxa"/>
          </w:tcPr>
          <w:p>
            <w:pPr>
              <w:pStyle w:val="0"/>
              <w:jc w:val="center"/>
            </w:pPr>
            <w:r>
              <w:rPr>
                <w:sz w:val="20"/>
              </w:rPr>
              <w:t xml:space="preserve">75</w:t>
            </w:r>
          </w:p>
        </w:tc>
        <w:tc>
          <w:tcPr>
            <w:tcW w:w="1155" w:type="dxa"/>
          </w:tcPr>
          <w:p>
            <w:pPr>
              <w:pStyle w:val="0"/>
              <w:jc w:val="center"/>
            </w:pPr>
            <w:r>
              <w:rPr>
                <w:sz w:val="20"/>
              </w:rPr>
              <w:t xml:space="preserve">100</w:t>
            </w:r>
          </w:p>
        </w:tc>
        <w:tc>
          <w:tcPr>
            <w:tcW w:w="1155" w:type="dxa"/>
          </w:tcPr>
          <w:p>
            <w:pPr>
              <w:pStyle w:val="0"/>
              <w:jc w:val="center"/>
            </w:pPr>
            <w:r>
              <w:rPr>
                <w:sz w:val="20"/>
              </w:rPr>
              <w:t xml:space="preserve">150</w:t>
            </w:r>
          </w:p>
        </w:tc>
        <w:tc>
          <w:tcPr>
            <w:tcW w:w="1155" w:type="dxa"/>
          </w:tcPr>
          <w:p>
            <w:pPr>
              <w:pStyle w:val="0"/>
              <w:jc w:val="center"/>
            </w:pPr>
            <w:r>
              <w:rPr>
                <w:sz w:val="20"/>
              </w:rPr>
              <w:t xml:space="preserve">200</w:t>
            </w:r>
          </w:p>
        </w:tc>
      </w:tr>
      <w:tr>
        <w:tc>
          <w:tcPr>
            <w:tcW w:w="4125" w:type="dxa"/>
          </w:tcPr>
          <w:bookmarkStart w:id="3729" w:name="P3729"/>
          <w:bookmarkEnd w:id="3729"/>
          <w:p>
            <w:pPr>
              <w:pStyle w:val="0"/>
              <w:jc w:val="both"/>
            </w:pPr>
            <w:r>
              <w:rPr>
                <w:sz w:val="20"/>
              </w:rPr>
              <w:t xml:space="preserve">5. Территории НПС, КС, установок комплексной подготовки нефти и газа, СПХГ, групповых и сборных пунктов промыслов, промысловых газораспределительных станций (ПГРС), установок очистки и осушки газа</w:t>
            </w:r>
          </w:p>
        </w:tc>
        <w:tc>
          <w:tcPr>
            <w:tcW w:w="1320" w:type="dxa"/>
          </w:tcPr>
          <w:p>
            <w:pPr>
              <w:pStyle w:val="0"/>
              <w:jc w:val="center"/>
            </w:pPr>
            <w:r>
              <w:rPr>
                <w:sz w:val="20"/>
              </w:rPr>
              <w:t xml:space="preserve">75</w:t>
            </w:r>
          </w:p>
        </w:tc>
        <w:tc>
          <w:tcPr>
            <w:tcW w:w="1155" w:type="dxa"/>
          </w:tcPr>
          <w:p>
            <w:pPr>
              <w:pStyle w:val="0"/>
              <w:jc w:val="center"/>
            </w:pPr>
            <w:r>
              <w:rPr>
                <w:sz w:val="20"/>
              </w:rPr>
              <w:t xml:space="preserve">125</w:t>
            </w:r>
          </w:p>
        </w:tc>
        <w:tc>
          <w:tcPr>
            <w:tcW w:w="1155" w:type="dxa"/>
          </w:tcPr>
          <w:p>
            <w:pPr>
              <w:pStyle w:val="0"/>
              <w:jc w:val="center"/>
            </w:pPr>
            <w:r>
              <w:rPr>
                <w:sz w:val="20"/>
              </w:rPr>
              <w:t xml:space="preserve">150</w:t>
            </w:r>
          </w:p>
        </w:tc>
        <w:tc>
          <w:tcPr>
            <w:tcW w:w="1155" w:type="dxa"/>
          </w:tcPr>
          <w:p>
            <w:pPr>
              <w:pStyle w:val="0"/>
              <w:jc w:val="center"/>
            </w:pPr>
            <w:r>
              <w:rPr>
                <w:sz w:val="20"/>
              </w:rPr>
              <w:t xml:space="preserve">200</w:t>
            </w:r>
          </w:p>
        </w:tc>
        <w:tc>
          <w:tcPr>
            <w:tcW w:w="1155" w:type="dxa"/>
          </w:tcPr>
          <w:p>
            <w:pPr>
              <w:pStyle w:val="0"/>
              <w:jc w:val="center"/>
            </w:pPr>
            <w:r>
              <w:rPr>
                <w:sz w:val="20"/>
              </w:rPr>
              <w:t xml:space="preserve">225</w:t>
            </w:r>
          </w:p>
        </w:tc>
        <w:tc>
          <w:tcPr>
            <w:tcW w:w="1155" w:type="dxa"/>
          </w:tcPr>
          <w:p>
            <w:pPr>
              <w:pStyle w:val="0"/>
              <w:jc w:val="center"/>
            </w:pPr>
            <w:r>
              <w:rPr>
                <w:sz w:val="20"/>
              </w:rPr>
              <w:t xml:space="preserve">250</w:t>
            </w:r>
          </w:p>
        </w:tc>
        <w:tc>
          <w:tcPr>
            <w:tcW w:w="1155" w:type="dxa"/>
          </w:tcPr>
          <w:p>
            <w:pPr>
              <w:pStyle w:val="0"/>
              <w:jc w:val="center"/>
            </w:pPr>
            <w:r>
              <w:rPr>
                <w:sz w:val="20"/>
              </w:rPr>
              <w:t xml:space="preserve">75</w:t>
            </w:r>
          </w:p>
        </w:tc>
        <w:tc>
          <w:tcPr>
            <w:tcW w:w="1155" w:type="dxa"/>
          </w:tcPr>
          <w:p>
            <w:pPr>
              <w:pStyle w:val="0"/>
              <w:jc w:val="center"/>
            </w:pPr>
            <w:r>
              <w:rPr>
                <w:sz w:val="20"/>
              </w:rPr>
              <w:t xml:space="preserve">125</w:t>
            </w:r>
          </w:p>
        </w:tc>
        <w:tc>
          <w:tcPr>
            <w:tcW w:w="1155" w:type="dxa"/>
          </w:tcPr>
          <w:p>
            <w:pPr>
              <w:pStyle w:val="0"/>
              <w:jc w:val="center"/>
            </w:pPr>
            <w:r>
              <w:rPr>
                <w:sz w:val="20"/>
              </w:rPr>
              <w:t xml:space="preserve">30</w:t>
            </w:r>
          </w:p>
        </w:tc>
        <w:tc>
          <w:tcPr>
            <w:tcW w:w="1155" w:type="dxa"/>
          </w:tcPr>
          <w:p>
            <w:pPr>
              <w:pStyle w:val="0"/>
              <w:jc w:val="center"/>
            </w:pPr>
            <w:r>
              <w:rPr>
                <w:sz w:val="20"/>
              </w:rPr>
              <w:t xml:space="preserve">30</w:t>
            </w:r>
          </w:p>
        </w:tc>
        <w:tc>
          <w:tcPr>
            <w:tcW w:w="1155" w:type="dxa"/>
          </w:tcPr>
          <w:p>
            <w:pPr>
              <w:pStyle w:val="0"/>
              <w:jc w:val="center"/>
            </w:pPr>
            <w:r>
              <w:rPr>
                <w:sz w:val="20"/>
              </w:rPr>
              <w:t xml:space="preserve">50</w:t>
            </w:r>
          </w:p>
        </w:tc>
        <w:tc>
          <w:tcPr>
            <w:tcW w:w="1155" w:type="dxa"/>
          </w:tcPr>
          <w:p>
            <w:pPr>
              <w:pStyle w:val="0"/>
              <w:jc w:val="center"/>
            </w:pPr>
            <w:r>
              <w:rPr>
                <w:sz w:val="20"/>
              </w:rPr>
              <w:t xml:space="preserve">50</w:t>
            </w:r>
          </w:p>
        </w:tc>
      </w:tr>
      <w:tr>
        <w:tc>
          <w:tcPr>
            <w:tcW w:w="4125" w:type="dxa"/>
          </w:tcPr>
          <w:bookmarkStart w:id="3742" w:name="P3742"/>
          <w:bookmarkEnd w:id="3742"/>
          <w:p>
            <w:pPr>
              <w:pStyle w:val="0"/>
              <w:jc w:val="both"/>
            </w:pPr>
            <w:r>
              <w:rPr>
                <w:sz w:val="20"/>
              </w:rPr>
              <w:t xml:space="preserve">6. Вертодромы и посадочные площадки без базирования на них вертолетов</w:t>
            </w:r>
          </w:p>
        </w:tc>
        <w:tc>
          <w:tcPr>
            <w:tcW w:w="1320" w:type="dxa"/>
          </w:tcPr>
          <w:p>
            <w:pPr>
              <w:pStyle w:val="0"/>
              <w:jc w:val="center"/>
            </w:pPr>
            <w:r>
              <w:rPr>
                <w:sz w:val="20"/>
              </w:rPr>
              <w:t xml:space="preserve">50</w:t>
            </w:r>
          </w:p>
        </w:tc>
        <w:tc>
          <w:tcPr>
            <w:tcW w:w="1155" w:type="dxa"/>
          </w:tcPr>
          <w:p>
            <w:pPr>
              <w:pStyle w:val="0"/>
              <w:jc w:val="center"/>
            </w:pPr>
            <w:r>
              <w:rPr>
                <w:sz w:val="20"/>
              </w:rPr>
              <w:t xml:space="preserve">50</w:t>
            </w:r>
          </w:p>
        </w:tc>
        <w:tc>
          <w:tcPr>
            <w:tcW w:w="1155" w:type="dxa"/>
          </w:tcPr>
          <w:p>
            <w:pPr>
              <w:pStyle w:val="0"/>
              <w:jc w:val="center"/>
            </w:pPr>
            <w:r>
              <w:rPr>
                <w:sz w:val="20"/>
              </w:rPr>
              <w:t xml:space="preserve">100</w:t>
            </w:r>
          </w:p>
        </w:tc>
        <w:tc>
          <w:tcPr>
            <w:tcW w:w="1155" w:type="dxa"/>
          </w:tcPr>
          <w:p>
            <w:pPr>
              <w:pStyle w:val="0"/>
              <w:jc w:val="center"/>
            </w:pPr>
            <w:r>
              <w:rPr>
                <w:sz w:val="20"/>
              </w:rPr>
              <w:t xml:space="preserve">150</w:t>
            </w:r>
          </w:p>
        </w:tc>
        <w:tc>
          <w:tcPr>
            <w:tcW w:w="1155" w:type="dxa"/>
          </w:tcPr>
          <w:p>
            <w:pPr>
              <w:pStyle w:val="0"/>
              <w:jc w:val="center"/>
            </w:pPr>
            <w:r>
              <w:rPr>
                <w:sz w:val="20"/>
              </w:rPr>
              <w:t xml:space="preserve">175</w:t>
            </w:r>
          </w:p>
        </w:tc>
        <w:tc>
          <w:tcPr>
            <w:tcW w:w="1155" w:type="dxa"/>
          </w:tcPr>
          <w:p>
            <w:pPr>
              <w:pStyle w:val="0"/>
              <w:jc w:val="center"/>
            </w:pPr>
            <w:r>
              <w:rPr>
                <w:sz w:val="20"/>
              </w:rPr>
              <w:t xml:space="preserve">200</w:t>
            </w:r>
          </w:p>
        </w:tc>
        <w:tc>
          <w:tcPr>
            <w:tcW w:w="1155" w:type="dxa"/>
          </w:tcPr>
          <w:p>
            <w:pPr>
              <w:pStyle w:val="0"/>
              <w:jc w:val="center"/>
            </w:pPr>
            <w:r>
              <w:rPr>
                <w:sz w:val="20"/>
              </w:rPr>
              <w:t xml:space="preserve">50</w:t>
            </w:r>
          </w:p>
        </w:tc>
        <w:tc>
          <w:tcPr>
            <w:tcW w:w="1155" w:type="dxa"/>
          </w:tcPr>
          <w:p>
            <w:pPr>
              <w:pStyle w:val="0"/>
              <w:jc w:val="center"/>
            </w:pPr>
            <w:r>
              <w:rPr>
                <w:sz w:val="20"/>
              </w:rPr>
              <w:t xml:space="preserve">50</w:t>
            </w:r>
          </w:p>
        </w:tc>
        <w:tc>
          <w:tcPr>
            <w:tcW w:w="1155" w:type="dxa"/>
          </w:tcPr>
          <w:p>
            <w:pPr>
              <w:pStyle w:val="0"/>
              <w:jc w:val="center"/>
            </w:pPr>
            <w:r>
              <w:rPr>
                <w:sz w:val="20"/>
              </w:rPr>
              <w:t xml:space="preserve">50</w:t>
            </w:r>
          </w:p>
        </w:tc>
        <w:tc>
          <w:tcPr>
            <w:tcW w:w="1155" w:type="dxa"/>
          </w:tcPr>
          <w:p>
            <w:pPr>
              <w:pStyle w:val="0"/>
              <w:jc w:val="center"/>
            </w:pPr>
            <w:r>
              <w:rPr>
                <w:sz w:val="20"/>
              </w:rPr>
              <w:t xml:space="preserve">50</w:t>
            </w:r>
          </w:p>
        </w:tc>
        <w:tc>
          <w:tcPr>
            <w:tcW w:w="1155" w:type="dxa"/>
          </w:tcPr>
          <w:p>
            <w:pPr>
              <w:pStyle w:val="0"/>
              <w:jc w:val="center"/>
            </w:pPr>
            <w:r>
              <w:rPr>
                <w:sz w:val="20"/>
              </w:rPr>
              <w:t xml:space="preserve">50</w:t>
            </w:r>
          </w:p>
        </w:tc>
        <w:tc>
          <w:tcPr>
            <w:tcW w:w="1155" w:type="dxa"/>
          </w:tcPr>
          <w:p>
            <w:pPr>
              <w:pStyle w:val="0"/>
              <w:jc w:val="center"/>
            </w:pPr>
            <w:r>
              <w:rPr>
                <w:sz w:val="20"/>
              </w:rPr>
              <w:t xml:space="preserve">50</w:t>
            </w:r>
          </w:p>
        </w:tc>
      </w:tr>
      <w:tr>
        <w:tc>
          <w:tcPr>
            <w:tcW w:w="4125" w:type="dxa"/>
          </w:tcPr>
          <w:bookmarkStart w:id="3755" w:name="P3755"/>
          <w:bookmarkEnd w:id="3755"/>
          <w:p>
            <w:pPr>
              <w:pStyle w:val="0"/>
              <w:jc w:val="both"/>
            </w:pPr>
            <w:r>
              <w:rPr>
                <w:sz w:val="20"/>
              </w:rPr>
              <w:t xml:space="preserve">7. При прокладке подводных нефтепроводов и нефтепродуктопроводов выше по течению:</w:t>
            </w:r>
          </w:p>
        </w:tc>
        <w:tc>
          <w:tcPr>
            <w:tcW w:w="1320" w:type="dxa"/>
          </w:tcPr>
          <w:p>
            <w:pPr>
              <w:pStyle w:val="0"/>
              <w:jc w:val="center"/>
            </w:pPr>
            <w:r>
              <w:rPr>
                <w:sz w:val="20"/>
              </w:rPr>
            </w:r>
          </w:p>
        </w:tc>
        <w:tc>
          <w:tcPr>
            <w:tcW w:w="1155" w:type="dxa"/>
          </w:tcPr>
          <w:p>
            <w:pPr>
              <w:pStyle w:val="0"/>
              <w:jc w:val="center"/>
            </w:pPr>
            <w:r>
              <w:rPr>
                <w:sz w:val="20"/>
              </w:rPr>
            </w:r>
          </w:p>
        </w:tc>
        <w:tc>
          <w:tcPr>
            <w:tcW w:w="1155" w:type="dxa"/>
          </w:tcPr>
          <w:p>
            <w:pPr>
              <w:pStyle w:val="0"/>
              <w:jc w:val="center"/>
            </w:pPr>
            <w:r>
              <w:rPr>
                <w:sz w:val="20"/>
              </w:rPr>
            </w:r>
          </w:p>
        </w:tc>
        <w:tc>
          <w:tcPr>
            <w:tcW w:w="1155" w:type="dxa"/>
          </w:tcPr>
          <w:p>
            <w:pPr>
              <w:pStyle w:val="0"/>
              <w:jc w:val="center"/>
            </w:pPr>
            <w:r>
              <w:rPr>
                <w:sz w:val="20"/>
              </w:rPr>
            </w:r>
          </w:p>
        </w:tc>
        <w:tc>
          <w:tcPr>
            <w:tcW w:w="1155" w:type="dxa"/>
          </w:tcPr>
          <w:p>
            <w:pPr>
              <w:pStyle w:val="0"/>
              <w:jc w:val="center"/>
            </w:pPr>
            <w:r>
              <w:rPr>
                <w:sz w:val="20"/>
              </w:rPr>
            </w:r>
          </w:p>
        </w:tc>
        <w:tc>
          <w:tcPr>
            <w:tcW w:w="1155" w:type="dxa"/>
          </w:tcPr>
          <w:p>
            <w:pPr>
              <w:pStyle w:val="0"/>
              <w:jc w:val="center"/>
            </w:pPr>
            <w:r>
              <w:rPr>
                <w:sz w:val="20"/>
              </w:rPr>
            </w:r>
          </w:p>
        </w:tc>
        <w:tc>
          <w:tcPr>
            <w:tcW w:w="1155" w:type="dxa"/>
          </w:tcPr>
          <w:p>
            <w:pPr>
              <w:pStyle w:val="0"/>
              <w:jc w:val="center"/>
            </w:pPr>
            <w:r>
              <w:rPr>
                <w:sz w:val="20"/>
              </w:rPr>
            </w:r>
          </w:p>
        </w:tc>
        <w:tc>
          <w:tcPr>
            <w:tcW w:w="1155" w:type="dxa"/>
          </w:tcPr>
          <w:p>
            <w:pPr>
              <w:pStyle w:val="0"/>
              <w:jc w:val="center"/>
            </w:pPr>
            <w:r>
              <w:rPr>
                <w:sz w:val="20"/>
              </w:rPr>
            </w:r>
          </w:p>
        </w:tc>
        <w:tc>
          <w:tcPr>
            <w:tcW w:w="1155" w:type="dxa"/>
          </w:tcPr>
          <w:p>
            <w:pPr>
              <w:pStyle w:val="0"/>
              <w:jc w:val="center"/>
            </w:pPr>
            <w:r>
              <w:rPr>
                <w:sz w:val="20"/>
              </w:rPr>
            </w:r>
          </w:p>
        </w:tc>
        <w:tc>
          <w:tcPr>
            <w:tcW w:w="1155" w:type="dxa"/>
          </w:tcPr>
          <w:p>
            <w:pPr>
              <w:pStyle w:val="0"/>
              <w:jc w:val="center"/>
            </w:pPr>
            <w:r>
              <w:rPr>
                <w:sz w:val="20"/>
              </w:rPr>
            </w:r>
          </w:p>
        </w:tc>
        <w:tc>
          <w:tcPr>
            <w:tcW w:w="1155" w:type="dxa"/>
          </w:tcPr>
          <w:p>
            <w:pPr>
              <w:pStyle w:val="0"/>
              <w:jc w:val="center"/>
            </w:pPr>
            <w:r>
              <w:rPr>
                <w:sz w:val="20"/>
              </w:rPr>
            </w:r>
          </w:p>
        </w:tc>
        <w:tc>
          <w:tcPr>
            <w:tcW w:w="1155" w:type="dxa"/>
          </w:tcPr>
          <w:p>
            <w:pPr>
              <w:pStyle w:val="0"/>
              <w:jc w:val="center"/>
            </w:pPr>
            <w:r>
              <w:rPr>
                <w:sz w:val="20"/>
              </w:rPr>
            </w:r>
          </w:p>
        </w:tc>
      </w:tr>
      <w:tr>
        <w:tc>
          <w:tcPr>
            <w:tcW w:w="4125" w:type="dxa"/>
          </w:tcPr>
          <w:p>
            <w:pPr>
              <w:pStyle w:val="0"/>
              <w:jc w:val="both"/>
            </w:pPr>
            <w:r>
              <w:rPr>
                <w:sz w:val="20"/>
              </w:rPr>
              <w:t xml:space="preserve">от мостов железных и автомобильных дорог, промышленных предприятий и гидротехнических сооружений</w:t>
            </w:r>
          </w:p>
        </w:tc>
        <w:tc>
          <w:tcPr>
            <w:tcW w:w="1320" w:type="dxa"/>
          </w:tcPr>
          <w:p>
            <w:pPr>
              <w:pStyle w:val="0"/>
              <w:jc w:val="center"/>
            </w:pPr>
            <w:r>
              <w:rPr>
                <w:sz w:val="20"/>
              </w:rPr>
              <w:t xml:space="preserve">-</w:t>
            </w:r>
          </w:p>
        </w:tc>
        <w:tc>
          <w:tcPr>
            <w:tcW w:w="1155" w:type="dxa"/>
          </w:tcPr>
          <w:p>
            <w:pPr>
              <w:pStyle w:val="0"/>
              <w:jc w:val="center"/>
            </w:pPr>
            <w:r>
              <w:rPr>
                <w:sz w:val="20"/>
              </w:rPr>
              <w:t xml:space="preserve">-</w:t>
            </w:r>
          </w:p>
        </w:tc>
        <w:tc>
          <w:tcPr>
            <w:tcW w:w="1155" w:type="dxa"/>
          </w:tcPr>
          <w:p>
            <w:pPr>
              <w:pStyle w:val="0"/>
              <w:jc w:val="center"/>
            </w:pPr>
            <w:r>
              <w:rPr>
                <w:sz w:val="20"/>
              </w:rPr>
              <w:t xml:space="preserve">-</w:t>
            </w:r>
          </w:p>
        </w:tc>
        <w:tc>
          <w:tcPr>
            <w:tcW w:w="1155" w:type="dxa"/>
          </w:tcPr>
          <w:p>
            <w:pPr>
              <w:pStyle w:val="0"/>
              <w:jc w:val="center"/>
            </w:pPr>
            <w:r>
              <w:rPr>
                <w:sz w:val="20"/>
              </w:rPr>
              <w:t xml:space="preserve">-</w:t>
            </w:r>
          </w:p>
        </w:tc>
        <w:tc>
          <w:tcPr>
            <w:tcW w:w="1155" w:type="dxa"/>
          </w:tcPr>
          <w:p>
            <w:pPr>
              <w:pStyle w:val="0"/>
              <w:jc w:val="center"/>
            </w:pPr>
            <w:r>
              <w:rPr>
                <w:sz w:val="20"/>
              </w:rPr>
              <w:t xml:space="preserve">-</w:t>
            </w:r>
          </w:p>
        </w:tc>
        <w:tc>
          <w:tcPr>
            <w:tcW w:w="1155" w:type="dxa"/>
          </w:tcPr>
          <w:p>
            <w:pPr>
              <w:pStyle w:val="0"/>
              <w:jc w:val="center"/>
            </w:pPr>
            <w:r>
              <w:rPr>
                <w:sz w:val="20"/>
              </w:rPr>
              <w:t xml:space="preserve">-</w:t>
            </w:r>
          </w:p>
        </w:tc>
        <w:tc>
          <w:tcPr>
            <w:tcW w:w="1155" w:type="dxa"/>
          </w:tcPr>
          <w:p>
            <w:pPr>
              <w:pStyle w:val="0"/>
              <w:jc w:val="center"/>
            </w:pPr>
            <w:r>
              <w:rPr>
                <w:sz w:val="20"/>
              </w:rPr>
              <w:t xml:space="preserve">-</w:t>
            </w:r>
          </w:p>
        </w:tc>
        <w:tc>
          <w:tcPr>
            <w:tcW w:w="1155" w:type="dxa"/>
          </w:tcPr>
          <w:p>
            <w:pPr>
              <w:pStyle w:val="0"/>
              <w:jc w:val="center"/>
            </w:pPr>
            <w:r>
              <w:rPr>
                <w:sz w:val="20"/>
              </w:rPr>
              <w:t xml:space="preserve">-</w:t>
            </w:r>
          </w:p>
        </w:tc>
        <w:tc>
          <w:tcPr>
            <w:tcW w:w="1155" w:type="dxa"/>
          </w:tcPr>
          <w:p>
            <w:pPr>
              <w:pStyle w:val="0"/>
              <w:jc w:val="center"/>
            </w:pPr>
            <w:r>
              <w:rPr>
                <w:sz w:val="20"/>
              </w:rPr>
              <w:t xml:space="preserve">300</w:t>
            </w:r>
          </w:p>
        </w:tc>
        <w:tc>
          <w:tcPr>
            <w:tcW w:w="1155" w:type="dxa"/>
          </w:tcPr>
          <w:p>
            <w:pPr>
              <w:pStyle w:val="0"/>
              <w:jc w:val="center"/>
            </w:pPr>
            <w:r>
              <w:rPr>
                <w:sz w:val="20"/>
              </w:rPr>
              <w:t xml:space="preserve">300</w:t>
            </w:r>
          </w:p>
        </w:tc>
        <w:tc>
          <w:tcPr>
            <w:tcW w:w="1155" w:type="dxa"/>
          </w:tcPr>
          <w:p>
            <w:pPr>
              <w:pStyle w:val="0"/>
              <w:jc w:val="center"/>
            </w:pPr>
            <w:r>
              <w:rPr>
                <w:sz w:val="20"/>
              </w:rPr>
              <w:t xml:space="preserve">300</w:t>
            </w:r>
          </w:p>
        </w:tc>
        <w:tc>
          <w:tcPr>
            <w:tcW w:w="1155" w:type="dxa"/>
          </w:tcPr>
          <w:p>
            <w:pPr>
              <w:pStyle w:val="0"/>
              <w:jc w:val="center"/>
            </w:pPr>
            <w:r>
              <w:rPr>
                <w:sz w:val="20"/>
              </w:rPr>
              <w:t xml:space="preserve">500</w:t>
            </w:r>
          </w:p>
        </w:tc>
      </w:tr>
      <w:tr>
        <w:tc>
          <w:tcPr>
            <w:tcW w:w="4125" w:type="dxa"/>
          </w:tcPr>
          <w:p>
            <w:pPr>
              <w:pStyle w:val="0"/>
              <w:jc w:val="both"/>
            </w:pPr>
            <w:r>
              <w:rPr>
                <w:sz w:val="20"/>
              </w:rPr>
              <w:t xml:space="preserve">от пристаней и речных вокзалов</w:t>
            </w:r>
          </w:p>
        </w:tc>
        <w:tc>
          <w:tcPr>
            <w:tcW w:w="1320" w:type="dxa"/>
          </w:tcPr>
          <w:p>
            <w:pPr>
              <w:pStyle w:val="0"/>
              <w:jc w:val="center"/>
            </w:pPr>
            <w:r>
              <w:rPr>
                <w:sz w:val="20"/>
              </w:rPr>
              <w:t xml:space="preserve">-</w:t>
            </w:r>
          </w:p>
        </w:tc>
        <w:tc>
          <w:tcPr>
            <w:tcW w:w="1155" w:type="dxa"/>
          </w:tcPr>
          <w:p>
            <w:pPr>
              <w:pStyle w:val="0"/>
              <w:jc w:val="center"/>
            </w:pPr>
            <w:r>
              <w:rPr>
                <w:sz w:val="20"/>
              </w:rPr>
              <w:t xml:space="preserve">-</w:t>
            </w:r>
          </w:p>
        </w:tc>
        <w:tc>
          <w:tcPr>
            <w:tcW w:w="1155" w:type="dxa"/>
          </w:tcPr>
          <w:p>
            <w:pPr>
              <w:pStyle w:val="0"/>
              <w:jc w:val="center"/>
            </w:pPr>
            <w:r>
              <w:rPr>
                <w:sz w:val="20"/>
              </w:rPr>
              <w:t xml:space="preserve">-</w:t>
            </w:r>
          </w:p>
        </w:tc>
        <w:tc>
          <w:tcPr>
            <w:tcW w:w="1155" w:type="dxa"/>
          </w:tcPr>
          <w:p>
            <w:pPr>
              <w:pStyle w:val="0"/>
              <w:jc w:val="center"/>
            </w:pPr>
            <w:r>
              <w:rPr>
                <w:sz w:val="20"/>
              </w:rPr>
              <w:t xml:space="preserve">-</w:t>
            </w:r>
          </w:p>
        </w:tc>
        <w:tc>
          <w:tcPr>
            <w:tcW w:w="1155" w:type="dxa"/>
          </w:tcPr>
          <w:p>
            <w:pPr>
              <w:pStyle w:val="0"/>
              <w:jc w:val="center"/>
            </w:pPr>
            <w:r>
              <w:rPr>
                <w:sz w:val="20"/>
              </w:rPr>
              <w:t xml:space="preserve">-</w:t>
            </w:r>
          </w:p>
        </w:tc>
        <w:tc>
          <w:tcPr>
            <w:tcW w:w="1155" w:type="dxa"/>
          </w:tcPr>
          <w:p>
            <w:pPr>
              <w:pStyle w:val="0"/>
              <w:jc w:val="center"/>
            </w:pPr>
            <w:r>
              <w:rPr>
                <w:sz w:val="20"/>
              </w:rPr>
              <w:t xml:space="preserve">-</w:t>
            </w:r>
          </w:p>
        </w:tc>
        <w:tc>
          <w:tcPr>
            <w:tcW w:w="1155" w:type="dxa"/>
          </w:tcPr>
          <w:p>
            <w:pPr>
              <w:pStyle w:val="0"/>
              <w:jc w:val="center"/>
            </w:pPr>
            <w:r>
              <w:rPr>
                <w:sz w:val="20"/>
              </w:rPr>
              <w:t xml:space="preserve">-</w:t>
            </w:r>
          </w:p>
        </w:tc>
        <w:tc>
          <w:tcPr>
            <w:tcW w:w="1155" w:type="dxa"/>
          </w:tcPr>
          <w:p>
            <w:pPr>
              <w:pStyle w:val="0"/>
              <w:jc w:val="center"/>
            </w:pPr>
            <w:r>
              <w:rPr>
                <w:sz w:val="20"/>
              </w:rPr>
              <w:t xml:space="preserve">-</w:t>
            </w:r>
          </w:p>
        </w:tc>
        <w:tc>
          <w:tcPr>
            <w:tcW w:w="1155" w:type="dxa"/>
          </w:tcPr>
          <w:p>
            <w:pPr>
              <w:pStyle w:val="0"/>
              <w:jc w:val="center"/>
            </w:pPr>
            <w:r>
              <w:rPr>
                <w:sz w:val="20"/>
              </w:rPr>
              <w:t xml:space="preserve">1000</w:t>
            </w:r>
          </w:p>
        </w:tc>
        <w:tc>
          <w:tcPr>
            <w:tcW w:w="1155" w:type="dxa"/>
          </w:tcPr>
          <w:p>
            <w:pPr>
              <w:pStyle w:val="0"/>
              <w:jc w:val="center"/>
            </w:pPr>
            <w:r>
              <w:rPr>
                <w:sz w:val="20"/>
              </w:rPr>
              <w:t xml:space="preserve">1000</w:t>
            </w:r>
          </w:p>
        </w:tc>
        <w:tc>
          <w:tcPr>
            <w:tcW w:w="1155" w:type="dxa"/>
          </w:tcPr>
          <w:p>
            <w:pPr>
              <w:pStyle w:val="0"/>
              <w:jc w:val="center"/>
            </w:pPr>
            <w:r>
              <w:rPr>
                <w:sz w:val="20"/>
              </w:rPr>
              <w:t xml:space="preserve">1000</w:t>
            </w:r>
          </w:p>
        </w:tc>
        <w:tc>
          <w:tcPr>
            <w:tcW w:w="1155" w:type="dxa"/>
          </w:tcPr>
          <w:p>
            <w:pPr>
              <w:pStyle w:val="0"/>
              <w:jc w:val="center"/>
            </w:pPr>
            <w:r>
              <w:rPr>
                <w:sz w:val="20"/>
              </w:rPr>
              <w:t xml:space="preserve">1500</w:t>
            </w:r>
          </w:p>
        </w:tc>
      </w:tr>
      <w:tr>
        <w:tc>
          <w:tcPr>
            <w:tcW w:w="4125" w:type="dxa"/>
          </w:tcPr>
          <w:p>
            <w:pPr>
              <w:pStyle w:val="0"/>
            </w:pPr>
            <w:r>
              <w:rPr>
                <w:sz w:val="20"/>
              </w:rPr>
              <w:t xml:space="preserve">от водозаборов</w:t>
            </w:r>
          </w:p>
        </w:tc>
        <w:tc>
          <w:tcPr>
            <w:tcW w:w="1320" w:type="dxa"/>
          </w:tcPr>
          <w:p>
            <w:pPr>
              <w:pStyle w:val="0"/>
              <w:jc w:val="center"/>
            </w:pPr>
            <w:r>
              <w:rPr>
                <w:sz w:val="20"/>
              </w:rPr>
              <w:t xml:space="preserve">-</w:t>
            </w:r>
          </w:p>
        </w:tc>
        <w:tc>
          <w:tcPr>
            <w:tcW w:w="1155" w:type="dxa"/>
          </w:tcPr>
          <w:p>
            <w:pPr>
              <w:pStyle w:val="0"/>
              <w:jc w:val="center"/>
            </w:pPr>
            <w:r>
              <w:rPr>
                <w:sz w:val="20"/>
              </w:rPr>
              <w:t xml:space="preserve">-</w:t>
            </w:r>
          </w:p>
        </w:tc>
        <w:tc>
          <w:tcPr>
            <w:tcW w:w="1155" w:type="dxa"/>
          </w:tcPr>
          <w:p>
            <w:pPr>
              <w:pStyle w:val="0"/>
              <w:jc w:val="center"/>
            </w:pPr>
            <w:r>
              <w:rPr>
                <w:sz w:val="20"/>
              </w:rPr>
              <w:t xml:space="preserve">-</w:t>
            </w:r>
          </w:p>
        </w:tc>
        <w:tc>
          <w:tcPr>
            <w:tcW w:w="1155" w:type="dxa"/>
          </w:tcPr>
          <w:p>
            <w:pPr>
              <w:pStyle w:val="0"/>
              <w:jc w:val="center"/>
            </w:pPr>
            <w:r>
              <w:rPr>
                <w:sz w:val="20"/>
              </w:rPr>
              <w:t xml:space="preserve">-</w:t>
            </w:r>
          </w:p>
        </w:tc>
        <w:tc>
          <w:tcPr>
            <w:tcW w:w="1155" w:type="dxa"/>
          </w:tcPr>
          <w:p>
            <w:pPr>
              <w:pStyle w:val="0"/>
              <w:jc w:val="center"/>
            </w:pPr>
            <w:r>
              <w:rPr>
                <w:sz w:val="20"/>
              </w:rPr>
              <w:t xml:space="preserve">-</w:t>
            </w:r>
          </w:p>
        </w:tc>
        <w:tc>
          <w:tcPr>
            <w:tcW w:w="1155" w:type="dxa"/>
          </w:tcPr>
          <w:p>
            <w:pPr>
              <w:pStyle w:val="0"/>
              <w:jc w:val="center"/>
            </w:pPr>
            <w:r>
              <w:rPr>
                <w:sz w:val="20"/>
              </w:rPr>
              <w:t xml:space="preserve">-</w:t>
            </w:r>
          </w:p>
        </w:tc>
        <w:tc>
          <w:tcPr>
            <w:tcW w:w="1155" w:type="dxa"/>
          </w:tcPr>
          <w:p>
            <w:pPr>
              <w:pStyle w:val="0"/>
              <w:jc w:val="center"/>
            </w:pPr>
            <w:r>
              <w:rPr>
                <w:sz w:val="20"/>
              </w:rPr>
              <w:t xml:space="preserve">-</w:t>
            </w:r>
          </w:p>
        </w:tc>
        <w:tc>
          <w:tcPr>
            <w:tcW w:w="1155" w:type="dxa"/>
          </w:tcPr>
          <w:p>
            <w:pPr>
              <w:pStyle w:val="0"/>
              <w:jc w:val="center"/>
            </w:pPr>
            <w:r>
              <w:rPr>
                <w:sz w:val="20"/>
              </w:rPr>
              <w:t xml:space="preserve">-</w:t>
            </w:r>
          </w:p>
        </w:tc>
        <w:tc>
          <w:tcPr>
            <w:tcW w:w="1155" w:type="dxa"/>
          </w:tcPr>
          <w:p>
            <w:pPr>
              <w:pStyle w:val="0"/>
              <w:jc w:val="center"/>
            </w:pPr>
            <w:r>
              <w:rPr>
                <w:sz w:val="20"/>
              </w:rPr>
              <w:t xml:space="preserve">3000</w:t>
            </w:r>
          </w:p>
        </w:tc>
        <w:tc>
          <w:tcPr>
            <w:tcW w:w="1155" w:type="dxa"/>
          </w:tcPr>
          <w:p>
            <w:pPr>
              <w:pStyle w:val="0"/>
              <w:jc w:val="center"/>
            </w:pPr>
            <w:r>
              <w:rPr>
                <w:sz w:val="20"/>
              </w:rPr>
              <w:t xml:space="preserve">3000</w:t>
            </w:r>
          </w:p>
        </w:tc>
        <w:tc>
          <w:tcPr>
            <w:tcW w:w="1155" w:type="dxa"/>
          </w:tcPr>
          <w:p>
            <w:pPr>
              <w:pStyle w:val="0"/>
              <w:jc w:val="center"/>
            </w:pPr>
            <w:r>
              <w:rPr>
                <w:sz w:val="20"/>
              </w:rPr>
              <w:t xml:space="preserve">3000</w:t>
            </w:r>
          </w:p>
        </w:tc>
        <w:tc>
          <w:tcPr>
            <w:tcW w:w="1155" w:type="dxa"/>
          </w:tcPr>
          <w:p>
            <w:pPr>
              <w:pStyle w:val="0"/>
              <w:jc w:val="center"/>
            </w:pPr>
            <w:r>
              <w:rPr>
                <w:sz w:val="20"/>
              </w:rPr>
              <w:t xml:space="preserve">3000</w:t>
            </w:r>
          </w:p>
        </w:tc>
      </w:tr>
      <w:tr>
        <w:tc>
          <w:tcPr>
            <w:tcW w:w="4125" w:type="dxa"/>
          </w:tcPr>
          <w:bookmarkStart w:id="3807" w:name="P3807"/>
          <w:bookmarkEnd w:id="3807"/>
          <w:p>
            <w:pPr>
              <w:pStyle w:val="0"/>
              <w:jc w:val="both"/>
            </w:pPr>
            <w:r>
              <w:rPr>
                <w:sz w:val="20"/>
              </w:rPr>
              <w:t xml:space="preserve">8. Территории ГРС, автоматизированных газораспределительных станций (АГРС), регуляторных станций, в том числе шкафного типа, предназначенных для обеспечения газом:</w:t>
            </w:r>
          </w:p>
        </w:tc>
        <w:tc>
          <w:tcPr>
            <w:tcW w:w="1320" w:type="dxa"/>
          </w:tcPr>
          <w:p>
            <w:pPr>
              <w:pStyle w:val="0"/>
              <w:jc w:val="center"/>
            </w:pPr>
            <w:r>
              <w:rPr>
                <w:sz w:val="20"/>
              </w:rPr>
            </w:r>
          </w:p>
        </w:tc>
        <w:tc>
          <w:tcPr>
            <w:tcW w:w="1155" w:type="dxa"/>
          </w:tcPr>
          <w:p>
            <w:pPr>
              <w:pStyle w:val="0"/>
              <w:jc w:val="center"/>
            </w:pPr>
            <w:r>
              <w:rPr>
                <w:sz w:val="20"/>
              </w:rPr>
            </w:r>
          </w:p>
        </w:tc>
        <w:tc>
          <w:tcPr>
            <w:tcW w:w="1155" w:type="dxa"/>
          </w:tcPr>
          <w:p>
            <w:pPr>
              <w:pStyle w:val="0"/>
              <w:jc w:val="center"/>
            </w:pPr>
            <w:r>
              <w:rPr>
                <w:sz w:val="20"/>
              </w:rPr>
            </w:r>
          </w:p>
        </w:tc>
        <w:tc>
          <w:tcPr>
            <w:tcW w:w="1155" w:type="dxa"/>
          </w:tcPr>
          <w:p>
            <w:pPr>
              <w:pStyle w:val="0"/>
              <w:jc w:val="center"/>
            </w:pPr>
            <w:r>
              <w:rPr>
                <w:sz w:val="20"/>
              </w:rPr>
            </w:r>
          </w:p>
        </w:tc>
        <w:tc>
          <w:tcPr>
            <w:tcW w:w="1155" w:type="dxa"/>
          </w:tcPr>
          <w:p>
            <w:pPr>
              <w:pStyle w:val="0"/>
              <w:jc w:val="center"/>
            </w:pPr>
            <w:r>
              <w:rPr>
                <w:sz w:val="20"/>
              </w:rPr>
            </w:r>
          </w:p>
        </w:tc>
        <w:tc>
          <w:tcPr>
            <w:tcW w:w="1155" w:type="dxa"/>
          </w:tcPr>
          <w:p>
            <w:pPr>
              <w:pStyle w:val="0"/>
              <w:jc w:val="center"/>
            </w:pPr>
            <w:r>
              <w:rPr>
                <w:sz w:val="20"/>
              </w:rPr>
            </w:r>
          </w:p>
        </w:tc>
        <w:tc>
          <w:tcPr>
            <w:tcW w:w="1155" w:type="dxa"/>
          </w:tcPr>
          <w:p>
            <w:pPr>
              <w:pStyle w:val="0"/>
              <w:jc w:val="center"/>
            </w:pPr>
            <w:r>
              <w:rPr>
                <w:sz w:val="20"/>
              </w:rPr>
            </w:r>
          </w:p>
        </w:tc>
        <w:tc>
          <w:tcPr>
            <w:tcW w:w="1155" w:type="dxa"/>
          </w:tcPr>
          <w:p>
            <w:pPr>
              <w:pStyle w:val="0"/>
              <w:jc w:val="center"/>
            </w:pPr>
            <w:r>
              <w:rPr>
                <w:sz w:val="20"/>
              </w:rPr>
            </w:r>
          </w:p>
        </w:tc>
        <w:tc>
          <w:tcPr>
            <w:tcW w:w="1155" w:type="dxa"/>
          </w:tcPr>
          <w:p>
            <w:pPr>
              <w:pStyle w:val="0"/>
              <w:jc w:val="center"/>
            </w:pPr>
            <w:r>
              <w:rPr>
                <w:sz w:val="20"/>
              </w:rPr>
            </w:r>
          </w:p>
        </w:tc>
        <w:tc>
          <w:tcPr>
            <w:tcW w:w="1155" w:type="dxa"/>
          </w:tcPr>
          <w:p>
            <w:pPr>
              <w:pStyle w:val="0"/>
              <w:jc w:val="center"/>
            </w:pPr>
            <w:r>
              <w:rPr>
                <w:sz w:val="20"/>
              </w:rPr>
            </w:r>
          </w:p>
        </w:tc>
        <w:tc>
          <w:tcPr>
            <w:tcW w:w="1155" w:type="dxa"/>
          </w:tcPr>
          <w:p>
            <w:pPr>
              <w:pStyle w:val="0"/>
              <w:jc w:val="center"/>
            </w:pPr>
            <w:r>
              <w:rPr>
                <w:sz w:val="20"/>
              </w:rPr>
            </w:r>
          </w:p>
        </w:tc>
        <w:tc>
          <w:tcPr>
            <w:tcW w:w="1155" w:type="dxa"/>
          </w:tcPr>
          <w:p>
            <w:pPr>
              <w:pStyle w:val="0"/>
              <w:jc w:val="center"/>
            </w:pPr>
            <w:r>
              <w:rPr>
                <w:sz w:val="20"/>
              </w:rPr>
            </w:r>
          </w:p>
        </w:tc>
      </w:tr>
      <w:tr>
        <w:tc>
          <w:tcPr>
            <w:tcW w:w="4125" w:type="dxa"/>
          </w:tcPr>
          <w:p>
            <w:pPr>
              <w:pStyle w:val="0"/>
              <w:jc w:val="both"/>
            </w:pPr>
            <w:r>
              <w:rPr>
                <w:sz w:val="20"/>
              </w:rPr>
              <w:t xml:space="preserve">а) городов; населенных пунктов; предприятий; отдельных зданий и сооружений; других потребителей</w:t>
            </w:r>
          </w:p>
        </w:tc>
        <w:tc>
          <w:tcPr>
            <w:tcW w:w="1320" w:type="dxa"/>
          </w:tcPr>
          <w:p>
            <w:pPr>
              <w:pStyle w:val="0"/>
              <w:jc w:val="center"/>
            </w:pPr>
            <w:r>
              <w:rPr>
                <w:sz w:val="20"/>
              </w:rPr>
              <w:t xml:space="preserve">50</w:t>
            </w:r>
          </w:p>
        </w:tc>
        <w:tc>
          <w:tcPr>
            <w:tcW w:w="1155" w:type="dxa"/>
          </w:tcPr>
          <w:p>
            <w:pPr>
              <w:pStyle w:val="0"/>
              <w:jc w:val="center"/>
            </w:pPr>
            <w:r>
              <w:rPr>
                <w:sz w:val="20"/>
              </w:rPr>
              <w:t xml:space="preserve">75</w:t>
            </w:r>
          </w:p>
        </w:tc>
        <w:tc>
          <w:tcPr>
            <w:tcW w:w="1155" w:type="dxa"/>
          </w:tcPr>
          <w:p>
            <w:pPr>
              <w:pStyle w:val="0"/>
              <w:jc w:val="center"/>
            </w:pPr>
            <w:r>
              <w:rPr>
                <w:sz w:val="20"/>
              </w:rPr>
              <w:t xml:space="preserve">100</w:t>
            </w:r>
          </w:p>
        </w:tc>
        <w:tc>
          <w:tcPr>
            <w:tcW w:w="1155" w:type="dxa"/>
          </w:tcPr>
          <w:p>
            <w:pPr>
              <w:pStyle w:val="0"/>
              <w:jc w:val="center"/>
            </w:pPr>
            <w:r>
              <w:rPr>
                <w:sz w:val="20"/>
              </w:rPr>
              <w:t xml:space="preserve">125</w:t>
            </w:r>
          </w:p>
        </w:tc>
        <w:tc>
          <w:tcPr>
            <w:tcW w:w="1155" w:type="dxa"/>
          </w:tcPr>
          <w:p>
            <w:pPr>
              <w:pStyle w:val="0"/>
              <w:jc w:val="center"/>
            </w:pPr>
            <w:r>
              <w:rPr>
                <w:sz w:val="20"/>
              </w:rPr>
              <w:t xml:space="preserve">150</w:t>
            </w:r>
          </w:p>
        </w:tc>
        <w:tc>
          <w:tcPr>
            <w:tcW w:w="1155" w:type="dxa"/>
          </w:tcPr>
          <w:p>
            <w:pPr>
              <w:pStyle w:val="0"/>
              <w:jc w:val="center"/>
            </w:pPr>
            <w:r>
              <w:rPr>
                <w:sz w:val="20"/>
              </w:rPr>
              <w:t xml:space="preserve">175</w:t>
            </w:r>
          </w:p>
        </w:tc>
        <w:tc>
          <w:tcPr>
            <w:tcW w:w="1155" w:type="dxa"/>
          </w:tcPr>
          <w:p>
            <w:pPr>
              <w:pStyle w:val="0"/>
              <w:jc w:val="center"/>
            </w:pPr>
            <w:r>
              <w:rPr>
                <w:sz w:val="20"/>
              </w:rPr>
              <w:t xml:space="preserve">50</w:t>
            </w:r>
          </w:p>
        </w:tc>
        <w:tc>
          <w:tcPr>
            <w:tcW w:w="1155" w:type="dxa"/>
          </w:tcPr>
          <w:p>
            <w:pPr>
              <w:pStyle w:val="0"/>
              <w:jc w:val="center"/>
            </w:pPr>
            <w:r>
              <w:rPr>
                <w:sz w:val="20"/>
              </w:rPr>
              <w:t xml:space="preserve">75</w:t>
            </w:r>
          </w:p>
        </w:tc>
        <w:tc>
          <w:tcPr>
            <w:tcW w:w="1155" w:type="dxa"/>
          </w:tcPr>
          <w:p>
            <w:pPr>
              <w:pStyle w:val="0"/>
              <w:jc w:val="center"/>
            </w:pPr>
            <w:r>
              <w:rPr>
                <w:sz w:val="20"/>
              </w:rPr>
              <w:t xml:space="preserve">-</w:t>
            </w:r>
          </w:p>
        </w:tc>
        <w:tc>
          <w:tcPr>
            <w:tcW w:w="1155" w:type="dxa"/>
          </w:tcPr>
          <w:p>
            <w:pPr>
              <w:pStyle w:val="0"/>
              <w:jc w:val="center"/>
            </w:pPr>
            <w:r>
              <w:rPr>
                <w:sz w:val="20"/>
              </w:rPr>
              <w:t xml:space="preserve">-</w:t>
            </w:r>
          </w:p>
        </w:tc>
        <w:tc>
          <w:tcPr>
            <w:tcW w:w="1155" w:type="dxa"/>
          </w:tcPr>
          <w:p>
            <w:pPr>
              <w:pStyle w:val="0"/>
              <w:jc w:val="center"/>
            </w:pPr>
            <w:r>
              <w:rPr>
                <w:sz w:val="20"/>
              </w:rPr>
              <w:t xml:space="preserve">-</w:t>
            </w:r>
          </w:p>
        </w:tc>
        <w:tc>
          <w:tcPr>
            <w:tcW w:w="1155" w:type="dxa"/>
          </w:tcPr>
          <w:p>
            <w:pPr>
              <w:pStyle w:val="0"/>
              <w:jc w:val="center"/>
            </w:pPr>
            <w:r>
              <w:rPr>
                <w:sz w:val="20"/>
              </w:rPr>
              <w:t xml:space="preserve">-</w:t>
            </w:r>
          </w:p>
        </w:tc>
      </w:tr>
      <w:tr>
        <w:tc>
          <w:tcPr>
            <w:tcW w:w="4125" w:type="dxa"/>
          </w:tcPr>
          <w:p>
            <w:pPr>
              <w:pStyle w:val="0"/>
              <w:jc w:val="both"/>
            </w:pPr>
            <w:r>
              <w:rPr>
                <w:sz w:val="20"/>
              </w:rPr>
              <w:t xml:space="preserve">б) объектов газопровода (пунктов замера расхода газа, термоэлектрогенераторов и т.д.)</w:t>
            </w:r>
          </w:p>
        </w:tc>
        <w:tc>
          <w:tcPr>
            <w:tcW w:w="1320" w:type="dxa"/>
          </w:tcPr>
          <w:p>
            <w:pPr>
              <w:pStyle w:val="0"/>
              <w:jc w:val="center"/>
            </w:pPr>
            <w:r>
              <w:rPr>
                <w:sz w:val="20"/>
              </w:rPr>
              <w:t xml:space="preserve">25</w:t>
            </w:r>
          </w:p>
        </w:tc>
        <w:tc>
          <w:tcPr>
            <w:tcW w:w="1155" w:type="dxa"/>
          </w:tcPr>
          <w:p>
            <w:pPr>
              <w:pStyle w:val="0"/>
              <w:jc w:val="center"/>
            </w:pPr>
            <w:r>
              <w:rPr>
                <w:sz w:val="20"/>
              </w:rPr>
              <w:t xml:space="preserve">25</w:t>
            </w:r>
          </w:p>
        </w:tc>
        <w:tc>
          <w:tcPr>
            <w:tcW w:w="1155" w:type="dxa"/>
          </w:tcPr>
          <w:p>
            <w:pPr>
              <w:pStyle w:val="0"/>
              <w:jc w:val="center"/>
            </w:pPr>
            <w:r>
              <w:rPr>
                <w:sz w:val="20"/>
              </w:rPr>
              <w:t xml:space="preserve">25</w:t>
            </w:r>
          </w:p>
        </w:tc>
        <w:tc>
          <w:tcPr>
            <w:tcW w:w="1155" w:type="dxa"/>
          </w:tcPr>
          <w:p>
            <w:pPr>
              <w:pStyle w:val="0"/>
              <w:jc w:val="center"/>
            </w:pPr>
            <w:r>
              <w:rPr>
                <w:sz w:val="20"/>
              </w:rPr>
              <w:t xml:space="preserve">25</w:t>
            </w:r>
          </w:p>
        </w:tc>
        <w:tc>
          <w:tcPr>
            <w:tcW w:w="1155" w:type="dxa"/>
          </w:tcPr>
          <w:p>
            <w:pPr>
              <w:pStyle w:val="0"/>
              <w:jc w:val="center"/>
            </w:pPr>
            <w:r>
              <w:rPr>
                <w:sz w:val="20"/>
              </w:rPr>
              <w:t xml:space="preserve">25</w:t>
            </w:r>
          </w:p>
        </w:tc>
        <w:tc>
          <w:tcPr>
            <w:tcW w:w="1155" w:type="dxa"/>
          </w:tcPr>
          <w:p>
            <w:pPr>
              <w:pStyle w:val="0"/>
              <w:jc w:val="center"/>
            </w:pPr>
            <w:r>
              <w:rPr>
                <w:sz w:val="20"/>
              </w:rPr>
              <w:t xml:space="preserve">25</w:t>
            </w:r>
          </w:p>
        </w:tc>
        <w:tc>
          <w:tcPr>
            <w:tcW w:w="1155" w:type="dxa"/>
          </w:tcPr>
          <w:p>
            <w:pPr>
              <w:pStyle w:val="0"/>
              <w:jc w:val="center"/>
            </w:pPr>
            <w:r>
              <w:rPr>
                <w:sz w:val="20"/>
              </w:rPr>
              <w:t xml:space="preserve">25</w:t>
            </w:r>
          </w:p>
        </w:tc>
        <w:tc>
          <w:tcPr>
            <w:tcW w:w="1155" w:type="dxa"/>
          </w:tcPr>
          <w:p>
            <w:pPr>
              <w:pStyle w:val="0"/>
              <w:jc w:val="center"/>
            </w:pPr>
            <w:r>
              <w:rPr>
                <w:sz w:val="20"/>
              </w:rPr>
              <w:t xml:space="preserve">25</w:t>
            </w:r>
          </w:p>
        </w:tc>
        <w:tc>
          <w:tcPr>
            <w:tcW w:w="1155" w:type="dxa"/>
          </w:tcPr>
          <w:p>
            <w:pPr>
              <w:pStyle w:val="0"/>
              <w:jc w:val="center"/>
            </w:pPr>
            <w:r>
              <w:rPr>
                <w:sz w:val="20"/>
              </w:rPr>
              <w:t xml:space="preserve">-</w:t>
            </w:r>
          </w:p>
        </w:tc>
        <w:tc>
          <w:tcPr>
            <w:tcW w:w="1155" w:type="dxa"/>
          </w:tcPr>
          <w:p>
            <w:pPr>
              <w:pStyle w:val="0"/>
              <w:jc w:val="center"/>
            </w:pPr>
            <w:r>
              <w:rPr>
                <w:sz w:val="20"/>
              </w:rPr>
              <w:t xml:space="preserve">-</w:t>
            </w:r>
          </w:p>
        </w:tc>
        <w:tc>
          <w:tcPr>
            <w:tcW w:w="1155" w:type="dxa"/>
          </w:tcPr>
          <w:p>
            <w:pPr>
              <w:pStyle w:val="0"/>
              <w:jc w:val="center"/>
            </w:pPr>
            <w:r>
              <w:rPr>
                <w:sz w:val="20"/>
              </w:rPr>
              <w:t xml:space="preserve">-</w:t>
            </w:r>
          </w:p>
        </w:tc>
        <w:tc>
          <w:tcPr>
            <w:tcW w:w="1155" w:type="dxa"/>
          </w:tcPr>
          <w:p>
            <w:pPr>
              <w:pStyle w:val="0"/>
              <w:jc w:val="center"/>
            </w:pPr>
            <w:r>
              <w:rPr>
                <w:sz w:val="20"/>
              </w:rPr>
              <w:t xml:space="preserve">-</w:t>
            </w:r>
          </w:p>
        </w:tc>
      </w:tr>
      <w:tr>
        <w:tc>
          <w:tcPr>
            <w:tcW w:w="4125" w:type="dxa"/>
          </w:tcPr>
          <w:p>
            <w:pPr>
              <w:pStyle w:val="0"/>
              <w:jc w:val="both"/>
            </w:pPr>
            <w:r>
              <w:rPr>
                <w:sz w:val="20"/>
              </w:rPr>
              <w:t xml:space="preserve">9. Автоматизированные электростанции с термоэлектрогенераторами: аппаратура связи, телемеханики и автоматики</w:t>
            </w:r>
          </w:p>
        </w:tc>
        <w:tc>
          <w:tcPr>
            <w:gridSpan w:val="12"/>
            <w:tcW w:w="14025" w:type="dxa"/>
          </w:tcPr>
          <w:p>
            <w:pPr>
              <w:pStyle w:val="0"/>
              <w:jc w:val="center"/>
            </w:pPr>
            <w:r>
              <w:rPr>
                <w:sz w:val="20"/>
              </w:rPr>
              <w:t xml:space="preserve">Не менее 15 от крайней нитки</w:t>
            </w:r>
          </w:p>
        </w:tc>
      </w:tr>
      <w:tr>
        <w:tc>
          <w:tcPr>
            <w:tcW w:w="4125" w:type="dxa"/>
          </w:tcPr>
          <w:bookmarkStart w:id="3848" w:name="P3848"/>
          <w:bookmarkEnd w:id="3848"/>
          <w:p>
            <w:pPr>
              <w:pStyle w:val="0"/>
              <w:jc w:val="both"/>
            </w:pPr>
            <w:r>
              <w:rPr>
                <w:sz w:val="20"/>
              </w:rPr>
              <w:t xml:space="preserve">10. Магистральные оросительные каналы и коллекторы, реки и водоемы, вдоль которых прокладывается трубопровод; водозаборные сооружения и станции оросительных систем</w:t>
            </w:r>
          </w:p>
        </w:tc>
        <w:tc>
          <w:tcPr>
            <w:tcW w:w="1320" w:type="dxa"/>
          </w:tcPr>
          <w:p>
            <w:pPr>
              <w:pStyle w:val="0"/>
              <w:jc w:val="center"/>
            </w:pPr>
            <w:r>
              <w:rPr>
                <w:sz w:val="20"/>
              </w:rPr>
              <w:t xml:space="preserve">25</w:t>
            </w:r>
          </w:p>
        </w:tc>
        <w:tc>
          <w:tcPr>
            <w:tcW w:w="1155" w:type="dxa"/>
          </w:tcPr>
          <w:p>
            <w:pPr>
              <w:pStyle w:val="0"/>
              <w:jc w:val="center"/>
            </w:pPr>
            <w:r>
              <w:rPr>
                <w:sz w:val="20"/>
              </w:rPr>
              <w:t xml:space="preserve">25</w:t>
            </w:r>
          </w:p>
        </w:tc>
        <w:tc>
          <w:tcPr>
            <w:tcW w:w="1155" w:type="dxa"/>
          </w:tcPr>
          <w:p>
            <w:pPr>
              <w:pStyle w:val="0"/>
              <w:jc w:val="center"/>
            </w:pPr>
            <w:r>
              <w:rPr>
                <w:sz w:val="20"/>
              </w:rPr>
              <w:t xml:space="preserve">25</w:t>
            </w:r>
          </w:p>
        </w:tc>
        <w:tc>
          <w:tcPr>
            <w:tcW w:w="1155" w:type="dxa"/>
          </w:tcPr>
          <w:p>
            <w:pPr>
              <w:pStyle w:val="0"/>
              <w:jc w:val="center"/>
            </w:pPr>
            <w:r>
              <w:rPr>
                <w:sz w:val="20"/>
              </w:rPr>
              <w:t xml:space="preserve">25</w:t>
            </w:r>
          </w:p>
        </w:tc>
        <w:tc>
          <w:tcPr>
            <w:tcW w:w="1155" w:type="dxa"/>
          </w:tcPr>
          <w:p>
            <w:pPr>
              <w:pStyle w:val="0"/>
              <w:jc w:val="center"/>
            </w:pPr>
            <w:r>
              <w:rPr>
                <w:sz w:val="20"/>
              </w:rPr>
              <w:t xml:space="preserve">25</w:t>
            </w:r>
          </w:p>
        </w:tc>
        <w:tc>
          <w:tcPr>
            <w:tcW w:w="1155" w:type="dxa"/>
          </w:tcPr>
          <w:p>
            <w:pPr>
              <w:pStyle w:val="0"/>
              <w:jc w:val="center"/>
            </w:pPr>
            <w:r>
              <w:rPr>
                <w:sz w:val="20"/>
              </w:rPr>
              <w:t xml:space="preserve">25</w:t>
            </w:r>
          </w:p>
        </w:tc>
        <w:tc>
          <w:tcPr>
            <w:tcW w:w="1155" w:type="dxa"/>
          </w:tcPr>
          <w:p>
            <w:pPr>
              <w:pStyle w:val="0"/>
              <w:jc w:val="center"/>
            </w:pPr>
            <w:r>
              <w:rPr>
                <w:sz w:val="20"/>
              </w:rPr>
              <w:t xml:space="preserve">25</w:t>
            </w:r>
          </w:p>
        </w:tc>
        <w:tc>
          <w:tcPr>
            <w:tcW w:w="1155" w:type="dxa"/>
          </w:tcPr>
          <w:p>
            <w:pPr>
              <w:pStyle w:val="0"/>
              <w:jc w:val="center"/>
            </w:pPr>
            <w:r>
              <w:rPr>
                <w:sz w:val="20"/>
              </w:rPr>
              <w:t xml:space="preserve">25</w:t>
            </w:r>
          </w:p>
        </w:tc>
        <w:tc>
          <w:tcPr>
            <w:tcW w:w="1155" w:type="dxa"/>
          </w:tcPr>
          <w:p>
            <w:pPr>
              <w:pStyle w:val="0"/>
              <w:jc w:val="center"/>
            </w:pPr>
            <w:r>
              <w:rPr>
                <w:sz w:val="20"/>
              </w:rPr>
              <w:t xml:space="preserve">75</w:t>
            </w:r>
          </w:p>
        </w:tc>
        <w:tc>
          <w:tcPr>
            <w:tcW w:w="1155" w:type="dxa"/>
          </w:tcPr>
          <w:p>
            <w:pPr>
              <w:pStyle w:val="0"/>
              <w:jc w:val="center"/>
            </w:pPr>
            <w:r>
              <w:rPr>
                <w:sz w:val="20"/>
              </w:rPr>
              <w:t xml:space="preserve">100</w:t>
            </w:r>
          </w:p>
        </w:tc>
        <w:tc>
          <w:tcPr>
            <w:tcW w:w="1155" w:type="dxa"/>
          </w:tcPr>
          <w:p>
            <w:pPr>
              <w:pStyle w:val="0"/>
              <w:jc w:val="center"/>
            </w:pPr>
            <w:r>
              <w:rPr>
                <w:sz w:val="20"/>
              </w:rPr>
              <w:t xml:space="preserve">150</w:t>
            </w:r>
          </w:p>
        </w:tc>
        <w:tc>
          <w:tcPr>
            <w:tcW w:w="1155" w:type="dxa"/>
          </w:tcPr>
          <w:p>
            <w:pPr>
              <w:pStyle w:val="0"/>
              <w:jc w:val="center"/>
            </w:pPr>
            <w:r>
              <w:rPr>
                <w:sz w:val="20"/>
              </w:rPr>
              <w:t xml:space="preserve">200</w:t>
            </w:r>
          </w:p>
        </w:tc>
      </w:tr>
      <w:tr>
        <w:tc>
          <w:tcPr>
            <w:tcW w:w="4125" w:type="dxa"/>
          </w:tcPr>
          <w:p>
            <w:pPr>
              <w:pStyle w:val="0"/>
              <w:jc w:val="both"/>
            </w:pPr>
            <w:r>
              <w:rPr>
                <w:sz w:val="20"/>
              </w:rPr>
              <w:t xml:space="preserve">11 &lt;*&gt;. Специальные предприятия, сооружения, площадки, охраняемые зоны, склады взрывчатых и взрывоопасных веществ, карьеры полезных ископаемых, добыча на которых производится с применением взрывных работ, склады сжиженных горючих газов</w:t>
            </w:r>
          </w:p>
        </w:tc>
        <w:tc>
          <w:tcPr>
            <w:gridSpan w:val="12"/>
            <w:tcW w:w="14025" w:type="dxa"/>
          </w:tcPr>
          <w:p>
            <w:pPr>
              <w:pStyle w:val="0"/>
              <w:jc w:val="center"/>
            </w:pPr>
            <w:r>
              <w:rPr>
                <w:sz w:val="20"/>
              </w:rPr>
              <w:t xml:space="preserve">В соответствии с требованиями специальных нормативных документов, утвержденных в установленном порядке</w:t>
            </w:r>
          </w:p>
        </w:tc>
      </w:tr>
      <w:tr>
        <w:tc>
          <w:tcPr>
            <w:tcW w:w="4125" w:type="dxa"/>
          </w:tcPr>
          <w:p>
            <w:pPr>
              <w:pStyle w:val="0"/>
              <w:jc w:val="both"/>
            </w:pPr>
            <w:r>
              <w:rPr>
                <w:sz w:val="20"/>
              </w:rPr>
              <w:t xml:space="preserve">12. Воздушные линии электропередачи высокого напряжения, параллельно которым прокладывается трубопровод; воздушные линии электропередачи высокого напряжения, параллельно которым прокладывается трубопровод в стесненных условиях трассы; опоры воздушных линий электропередачи высокого напряжения при пересечении их трубопроводом; открытые и закрытые трансформаторные подстанции и закрытые распределительные устройства напряжением 35 кВ и более</w:t>
            </w:r>
          </w:p>
        </w:tc>
        <w:tc>
          <w:tcPr>
            <w:gridSpan w:val="12"/>
            <w:tcW w:w="14025" w:type="dxa"/>
          </w:tcPr>
          <w:p>
            <w:pPr>
              <w:pStyle w:val="0"/>
              <w:jc w:val="center"/>
            </w:pPr>
            <w:r>
              <w:rPr>
                <w:sz w:val="20"/>
              </w:rPr>
              <w:t xml:space="preserve">В соответствии с требованиями </w:t>
            </w:r>
            <w:hyperlink w:history="0" w:anchor="P4427" w:tooltip="[1]        ПУЭ        &quot;Правила устройства электроустановок&quot;, издание 6 и 7.">
              <w:r>
                <w:rPr>
                  <w:sz w:val="20"/>
                  <w:color w:val="0000ff"/>
                </w:rPr>
                <w:t xml:space="preserve">[1]</w:t>
              </w:r>
            </w:hyperlink>
          </w:p>
        </w:tc>
      </w:tr>
      <w:tr>
        <w:tc>
          <w:tcPr>
            <w:tcW w:w="4125" w:type="dxa"/>
          </w:tcPr>
          <w:bookmarkStart w:id="3865" w:name="P3865"/>
          <w:bookmarkEnd w:id="3865"/>
          <w:p>
            <w:pPr>
              <w:pStyle w:val="0"/>
              <w:jc w:val="both"/>
            </w:pPr>
            <w:r>
              <w:rPr>
                <w:sz w:val="20"/>
              </w:rPr>
              <w:t xml:space="preserve">13. Земляной амбар для аварийного выпуска нефти и конденсата из трубопровода</w:t>
            </w:r>
          </w:p>
        </w:tc>
        <w:tc>
          <w:tcPr>
            <w:tcW w:w="1320" w:type="dxa"/>
          </w:tcPr>
          <w:p>
            <w:pPr>
              <w:pStyle w:val="0"/>
              <w:jc w:val="center"/>
            </w:pPr>
            <w:r>
              <w:rPr>
                <w:sz w:val="20"/>
              </w:rPr>
              <w:t xml:space="preserve">50</w:t>
            </w:r>
          </w:p>
        </w:tc>
        <w:tc>
          <w:tcPr>
            <w:tcW w:w="1155" w:type="dxa"/>
          </w:tcPr>
          <w:p>
            <w:pPr>
              <w:pStyle w:val="0"/>
              <w:jc w:val="center"/>
            </w:pPr>
            <w:r>
              <w:rPr>
                <w:sz w:val="20"/>
              </w:rPr>
              <w:t xml:space="preserve">75</w:t>
            </w:r>
          </w:p>
        </w:tc>
        <w:tc>
          <w:tcPr>
            <w:tcW w:w="1155" w:type="dxa"/>
          </w:tcPr>
          <w:p>
            <w:pPr>
              <w:pStyle w:val="0"/>
              <w:jc w:val="center"/>
            </w:pPr>
            <w:r>
              <w:rPr>
                <w:sz w:val="20"/>
              </w:rPr>
              <w:t xml:space="preserve">75</w:t>
            </w:r>
          </w:p>
        </w:tc>
        <w:tc>
          <w:tcPr>
            <w:tcW w:w="1155" w:type="dxa"/>
          </w:tcPr>
          <w:p>
            <w:pPr>
              <w:pStyle w:val="0"/>
              <w:jc w:val="center"/>
            </w:pPr>
            <w:r>
              <w:rPr>
                <w:sz w:val="20"/>
              </w:rPr>
              <w:t xml:space="preserve">75</w:t>
            </w:r>
          </w:p>
        </w:tc>
        <w:tc>
          <w:tcPr>
            <w:tcW w:w="1155" w:type="dxa"/>
          </w:tcPr>
          <w:p>
            <w:pPr>
              <w:pStyle w:val="0"/>
              <w:jc w:val="center"/>
            </w:pPr>
            <w:r>
              <w:rPr>
                <w:sz w:val="20"/>
              </w:rPr>
              <w:t xml:space="preserve">100</w:t>
            </w:r>
          </w:p>
        </w:tc>
        <w:tc>
          <w:tcPr>
            <w:tcW w:w="1155" w:type="dxa"/>
          </w:tcPr>
          <w:p>
            <w:pPr>
              <w:pStyle w:val="0"/>
              <w:jc w:val="center"/>
            </w:pPr>
            <w:r>
              <w:rPr>
                <w:sz w:val="20"/>
              </w:rPr>
              <w:t xml:space="preserve">100</w:t>
            </w:r>
          </w:p>
        </w:tc>
        <w:tc>
          <w:tcPr>
            <w:tcW w:w="1155" w:type="dxa"/>
          </w:tcPr>
          <w:p>
            <w:pPr>
              <w:pStyle w:val="0"/>
              <w:jc w:val="center"/>
            </w:pPr>
            <w:r>
              <w:rPr>
                <w:sz w:val="20"/>
              </w:rPr>
              <w:t xml:space="preserve">50</w:t>
            </w:r>
          </w:p>
        </w:tc>
        <w:tc>
          <w:tcPr>
            <w:tcW w:w="1155" w:type="dxa"/>
          </w:tcPr>
          <w:p>
            <w:pPr>
              <w:pStyle w:val="0"/>
              <w:jc w:val="center"/>
            </w:pPr>
            <w:r>
              <w:rPr>
                <w:sz w:val="20"/>
              </w:rPr>
              <w:t xml:space="preserve">50</w:t>
            </w:r>
          </w:p>
        </w:tc>
        <w:tc>
          <w:tcPr>
            <w:tcW w:w="1155" w:type="dxa"/>
          </w:tcPr>
          <w:p>
            <w:pPr>
              <w:pStyle w:val="0"/>
              <w:jc w:val="center"/>
            </w:pPr>
            <w:r>
              <w:rPr>
                <w:sz w:val="20"/>
              </w:rPr>
              <w:t xml:space="preserve">30</w:t>
            </w:r>
          </w:p>
        </w:tc>
        <w:tc>
          <w:tcPr>
            <w:tcW w:w="1155" w:type="dxa"/>
          </w:tcPr>
          <w:p>
            <w:pPr>
              <w:pStyle w:val="0"/>
              <w:jc w:val="center"/>
            </w:pPr>
            <w:r>
              <w:rPr>
                <w:sz w:val="20"/>
              </w:rPr>
              <w:t xml:space="preserve">30</w:t>
            </w:r>
          </w:p>
        </w:tc>
        <w:tc>
          <w:tcPr>
            <w:tcW w:w="1155" w:type="dxa"/>
          </w:tcPr>
          <w:p>
            <w:pPr>
              <w:pStyle w:val="0"/>
              <w:jc w:val="center"/>
            </w:pPr>
            <w:r>
              <w:rPr>
                <w:sz w:val="20"/>
              </w:rPr>
              <w:t xml:space="preserve">50</w:t>
            </w:r>
          </w:p>
        </w:tc>
        <w:tc>
          <w:tcPr>
            <w:tcW w:w="1155" w:type="dxa"/>
          </w:tcPr>
          <w:p>
            <w:pPr>
              <w:pStyle w:val="0"/>
              <w:jc w:val="center"/>
            </w:pPr>
            <w:r>
              <w:rPr>
                <w:sz w:val="20"/>
              </w:rPr>
              <w:t xml:space="preserve">50</w:t>
            </w:r>
          </w:p>
        </w:tc>
      </w:tr>
      <w:tr>
        <w:tc>
          <w:tcPr>
            <w:tcW w:w="4125" w:type="dxa"/>
          </w:tcPr>
          <w:p>
            <w:pPr>
              <w:pStyle w:val="0"/>
              <w:jc w:val="both"/>
            </w:pPr>
            <w:r>
              <w:rPr>
                <w:sz w:val="20"/>
              </w:rPr>
              <w:t xml:space="preserve">14. Кабели междугородной связи и силовые электрокабели</w:t>
            </w:r>
          </w:p>
        </w:tc>
        <w:tc>
          <w:tcPr>
            <w:tcW w:w="1320" w:type="dxa"/>
          </w:tcPr>
          <w:p>
            <w:pPr>
              <w:pStyle w:val="0"/>
              <w:jc w:val="center"/>
            </w:pPr>
            <w:r>
              <w:rPr>
                <w:sz w:val="20"/>
              </w:rPr>
              <w:t xml:space="preserve">10</w:t>
            </w:r>
          </w:p>
        </w:tc>
        <w:tc>
          <w:tcPr>
            <w:tcW w:w="1155" w:type="dxa"/>
          </w:tcPr>
          <w:p>
            <w:pPr>
              <w:pStyle w:val="0"/>
              <w:jc w:val="center"/>
            </w:pPr>
            <w:r>
              <w:rPr>
                <w:sz w:val="20"/>
              </w:rPr>
              <w:t xml:space="preserve">10</w:t>
            </w:r>
          </w:p>
        </w:tc>
        <w:tc>
          <w:tcPr>
            <w:tcW w:w="1155" w:type="dxa"/>
          </w:tcPr>
          <w:p>
            <w:pPr>
              <w:pStyle w:val="0"/>
              <w:jc w:val="center"/>
            </w:pPr>
            <w:r>
              <w:rPr>
                <w:sz w:val="20"/>
              </w:rPr>
              <w:t xml:space="preserve">10</w:t>
            </w:r>
          </w:p>
        </w:tc>
        <w:tc>
          <w:tcPr>
            <w:tcW w:w="1155" w:type="dxa"/>
          </w:tcPr>
          <w:p>
            <w:pPr>
              <w:pStyle w:val="0"/>
              <w:jc w:val="center"/>
            </w:pPr>
            <w:r>
              <w:rPr>
                <w:sz w:val="20"/>
              </w:rPr>
              <w:t xml:space="preserve">10</w:t>
            </w:r>
          </w:p>
        </w:tc>
        <w:tc>
          <w:tcPr>
            <w:tcW w:w="1155" w:type="dxa"/>
          </w:tcPr>
          <w:p>
            <w:pPr>
              <w:pStyle w:val="0"/>
              <w:jc w:val="center"/>
            </w:pPr>
            <w:r>
              <w:rPr>
                <w:sz w:val="20"/>
              </w:rPr>
              <w:t xml:space="preserve">10</w:t>
            </w:r>
          </w:p>
        </w:tc>
        <w:tc>
          <w:tcPr>
            <w:tcW w:w="1155" w:type="dxa"/>
          </w:tcPr>
          <w:p>
            <w:pPr>
              <w:pStyle w:val="0"/>
              <w:jc w:val="center"/>
            </w:pPr>
            <w:r>
              <w:rPr>
                <w:sz w:val="20"/>
              </w:rPr>
              <w:t xml:space="preserve">10</w:t>
            </w:r>
          </w:p>
        </w:tc>
        <w:tc>
          <w:tcPr>
            <w:tcW w:w="1155" w:type="dxa"/>
          </w:tcPr>
          <w:p>
            <w:pPr>
              <w:pStyle w:val="0"/>
              <w:jc w:val="center"/>
            </w:pPr>
            <w:r>
              <w:rPr>
                <w:sz w:val="20"/>
              </w:rPr>
              <w:t xml:space="preserve">10</w:t>
            </w:r>
          </w:p>
        </w:tc>
        <w:tc>
          <w:tcPr>
            <w:tcW w:w="1155" w:type="dxa"/>
          </w:tcPr>
          <w:p>
            <w:pPr>
              <w:pStyle w:val="0"/>
              <w:jc w:val="center"/>
            </w:pPr>
            <w:r>
              <w:rPr>
                <w:sz w:val="20"/>
              </w:rPr>
              <w:t xml:space="preserve">10</w:t>
            </w:r>
          </w:p>
        </w:tc>
        <w:tc>
          <w:tcPr>
            <w:tcW w:w="1155" w:type="dxa"/>
          </w:tcPr>
          <w:p>
            <w:pPr>
              <w:pStyle w:val="0"/>
              <w:jc w:val="center"/>
            </w:pPr>
            <w:r>
              <w:rPr>
                <w:sz w:val="20"/>
              </w:rPr>
              <w:t xml:space="preserve">10</w:t>
            </w:r>
          </w:p>
        </w:tc>
        <w:tc>
          <w:tcPr>
            <w:tcW w:w="1155" w:type="dxa"/>
          </w:tcPr>
          <w:p>
            <w:pPr>
              <w:pStyle w:val="0"/>
              <w:jc w:val="center"/>
            </w:pPr>
            <w:r>
              <w:rPr>
                <w:sz w:val="20"/>
              </w:rPr>
              <w:t xml:space="preserve">10</w:t>
            </w:r>
          </w:p>
        </w:tc>
        <w:tc>
          <w:tcPr>
            <w:tcW w:w="1155" w:type="dxa"/>
          </w:tcPr>
          <w:p>
            <w:pPr>
              <w:pStyle w:val="0"/>
              <w:jc w:val="center"/>
            </w:pPr>
            <w:r>
              <w:rPr>
                <w:sz w:val="20"/>
              </w:rPr>
              <w:t xml:space="preserve">10</w:t>
            </w:r>
          </w:p>
        </w:tc>
        <w:tc>
          <w:tcPr>
            <w:tcW w:w="1155" w:type="dxa"/>
          </w:tcPr>
          <w:p>
            <w:pPr>
              <w:pStyle w:val="0"/>
              <w:jc w:val="center"/>
            </w:pPr>
            <w:r>
              <w:rPr>
                <w:sz w:val="20"/>
              </w:rPr>
              <w:t xml:space="preserve">10</w:t>
            </w:r>
          </w:p>
        </w:tc>
      </w:tr>
    </w:tbl>
    <w:p>
      <w:pPr>
        <w:sectPr>
          <w:headerReference w:type="default" r:id="rId212"/>
          <w:headerReference w:type="first" r:id="rId212"/>
          <w:footerReference w:type="default" r:id="rId213"/>
          <w:footerReference w:type="first" r:id="rId213"/>
          <w:pgSz w:w="16838" w:h="11906" w:orient="landscape"/>
          <w:pgMar w:top="1133" w:right="1440" w:bottom="566" w:left="1440" w:header="0" w:footer="0" w:gutter="0"/>
          <w:titlePg/>
        </w:sectPr>
      </w:pPr>
    </w:p>
    <w:p>
      <w:pPr>
        <w:pStyle w:val="0"/>
        <w:ind w:firstLine="540"/>
        <w:jc w:val="both"/>
      </w:pPr>
      <w:r>
        <w:rPr>
          <w:sz w:val="20"/>
        </w:rPr>
      </w:r>
    </w:p>
    <w:bookmarkStart w:id="3892" w:name="P3892"/>
    <w:bookmarkEnd w:id="3892"/>
    <w:p>
      <w:pPr>
        <w:pStyle w:val="0"/>
        <w:ind w:firstLine="540"/>
        <w:jc w:val="both"/>
      </w:pPr>
      <w:r>
        <w:rPr>
          <w:sz w:val="20"/>
        </w:rPr>
        <w:t xml:space="preserve">Примечания.</w:t>
      </w:r>
    </w:p>
    <w:bookmarkStart w:id="3893" w:name="P3893"/>
    <w:bookmarkEnd w:id="3893"/>
    <w:p>
      <w:pPr>
        <w:pStyle w:val="0"/>
        <w:spacing w:before="200" w:line-rule="auto"/>
        <w:ind w:firstLine="540"/>
        <w:jc w:val="both"/>
      </w:pPr>
      <w:r>
        <w:rPr>
          <w:sz w:val="20"/>
        </w:rPr>
        <w:t xml:space="preserve">1. Расстояния, указанные в </w:t>
      </w:r>
      <w:hyperlink w:history="0" w:anchor="P3638" w:tooltip="Таблица 44">
        <w:r>
          <w:rPr>
            <w:sz w:val="20"/>
            <w:color w:val="0000ff"/>
          </w:rPr>
          <w:t xml:space="preserve">таблице</w:t>
        </w:r>
      </w:hyperlink>
      <w:r>
        <w:rPr>
          <w:sz w:val="20"/>
        </w:rPr>
        <w:t xml:space="preserve">, следует принимать: для городов и других населенных пунктов - от проектной городской черты на расчетный срок 20 - 25 лет; для отдельных промышленных предприятий, железнодорожных станций, аэродромов, морских и речных портов и пристаней, гидротехнических сооружений, складов горючих и легковоспламеняющихся материалов, артезианских скважин - от границ отведенных им территорий с учетом их развития; для железных дорог - от подошвы насыпи или бровки выемки со стороны трубопровода, но не менее 10 м от границы полосы отвода дороги; для автомобильных дорог - от подошвы насыпи земляного полотна; для всех мостов - от подошвы конусов: для отдельно стоящих зданий - от ближайших выступающих их частей.</w:t>
      </w:r>
    </w:p>
    <w:p>
      <w:pPr>
        <w:pStyle w:val="0"/>
        <w:spacing w:before="200" w:line-rule="auto"/>
        <w:ind w:firstLine="540"/>
        <w:jc w:val="both"/>
      </w:pPr>
      <w:r>
        <w:rPr>
          <w:sz w:val="20"/>
        </w:rPr>
        <w:t xml:space="preserve">2. При определении минимальных допустимых расстояний от магистральных газопроводов до не относящихся к ним объектов под отдельно стоящим зданием или сооружением следует понимать здание или сооружение, расположенное вне населенного пункта на расстоянии не менее 50 м от ближайших к нему зданий и сооружений.</w:t>
      </w:r>
    </w:p>
    <w:p>
      <w:pPr>
        <w:pStyle w:val="0"/>
        <w:jc w:val="both"/>
      </w:pPr>
      <w:r>
        <w:rPr>
          <w:sz w:val="20"/>
        </w:rPr>
        <w:t xml:space="preserve">(п. 2 в ред. </w:t>
      </w:r>
      <w:hyperlink w:history="0" r:id="rId409"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bookmarkStart w:id="3896" w:name="P3896"/>
    <w:bookmarkEnd w:id="3896"/>
    <w:p>
      <w:pPr>
        <w:pStyle w:val="0"/>
        <w:spacing w:before="200" w:line-rule="auto"/>
        <w:ind w:firstLine="540"/>
        <w:jc w:val="both"/>
      </w:pPr>
      <w:r>
        <w:rPr>
          <w:sz w:val="20"/>
        </w:rPr>
        <w:t xml:space="preserve">3. Минимальные расстояния от мостов железных и автомобильных дорог с пролетом 20 м и менее следует принимать такие же, как от соответствующих дорог.</w:t>
      </w:r>
    </w:p>
    <w:p>
      <w:pPr>
        <w:pStyle w:val="0"/>
        <w:spacing w:before="200" w:line-rule="auto"/>
        <w:ind w:firstLine="540"/>
        <w:jc w:val="both"/>
      </w:pPr>
      <w:r>
        <w:rPr>
          <w:sz w:val="20"/>
        </w:rPr>
        <w:t xml:space="preserve">4. При соответствующем обосновании допускается сокращать указанные в гр. 3 - 9 таблицы (за исключением </w:t>
      </w:r>
      <w:hyperlink w:history="0" w:anchor="P3729" w:tooltip="5. Территории НПС, КС, установок комплексной подготовки нефти и газа, СПХГ, групповых и сборных пунктов промыслов, промысловых газораспределительных станций (ПГРС), установок очистки и осушки газа">
        <w:r>
          <w:rPr>
            <w:sz w:val="20"/>
            <w:color w:val="0000ff"/>
          </w:rPr>
          <w:t xml:space="preserve">позиций 5</w:t>
        </w:r>
      </w:hyperlink>
      <w:r>
        <w:rPr>
          <w:sz w:val="20"/>
        </w:rPr>
        <w:t xml:space="preserve">, </w:t>
      </w:r>
      <w:hyperlink w:history="0" w:anchor="P3807" w:tooltip="8. Территории ГРС, автоматизированных газораспределительных станций (АГРС), регуляторных станций, в том числе шкафного типа, предназначенных для обеспечения газом:">
        <w:r>
          <w:rPr>
            <w:sz w:val="20"/>
            <w:color w:val="0000ff"/>
          </w:rPr>
          <w:t xml:space="preserve">8</w:t>
        </w:r>
      </w:hyperlink>
      <w:r>
        <w:rPr>
          <w:sz w:val="20"/>
        </w:rPr>
        <w:t xml:space="preserve">, </w:t>
      </w:r>
      <w:hyperlink w:history="0" w:anchor="P3848" w:tooltip="10. Магистральные оросительные каналы и коллекторы, реки и водоемы, вдоль которых прокладывается трубопровод; водозаборные сооружения и станции оросительных систем">
        <w:r>
          <w:rPr>
            <w:sz w:val="20"/>
            <w:color w:val="0000ff"/>
          </w:rPr>
          <w:t xml:space="preserve">10</w:t>
        </w:r>
      </w:hyperlink>
      <w:r>
        <w:rPr>
          <w:sz w:val="20"/>
        </w:rPr>
        <w:t xml:space="preserve">, </w:t>
      </w:r>
      <w:hyperlink w:history="0" w:anchor="P3865" w:tooltip="13. Земляной амбар для аварийного выпуска нефти и конденсата из трубопровода">
        <w:r>
          <w:rPr>
            <w:sz w:val="20"/>
            <w:color w:val="0000ff"/>
          </w:rPr>
          <w:t xml:space="preserve">13</w:t>
        </w:r>
      </w:hyperlink>
      <w:r>
        <w:rPr>
          <w:sz w:val="20"/>
        </w:rPr>
        <w:t xml:space="preserve"> - 16) и в графе 2 только для </w:t>
      </w:r>
      <w:hyperlink w:history="0" w:anchor="P3664" w:tooltip="1. Города и другие населенные пункты; коллективные сады с садовыми домиками, дачные поселки; отдельные промышленные и сельскохозяйственные предприятия; тепличные комбинаты и хозяйства; птицефабрики; молокозаводы; карьеры разработки полезных ископаемых; гаражи и открытые стоянки для автомобилей индивидуальных владельцев на количество автомобилей более 20;">
        <w:r>
          <w:rPr>
            <w:sz w:val="20"/>
            <w:color w:val="0000ff"/>
          </w:rPr>
          <w:t xml:space="preserve">позиций 1</w:t>
        </w:r>
      </w:hyperlink>
      <w:r>
        <w:rPr>
          <w:sz w:val="20"/>
        </w:rPr>
        <w:t xml:space="preserve"> - </w:t>
      </w:r>
      <w:hyperlink w:history="0" w:anchor="P3742" w:tooltip="6. Вертодромы и посадочные площадки без базирования на них вертолетов">
        <w:r>
          <w:rPr>
            <w:sz w:val="20"/>
            <w:color w:val="0000ff"/>
          </w:rPr>
          <w:t xml:space="preserve">6</w:t>
        </w:r>
      </w:hyperlink>
      <w:r>
        <w:rPr>
          <w:sz w:val="20"/>
        </w:rPr>
        <w:t xml:space="preserve"> расстояния от газопроводов не более чем на 30% при условии отнесения участков трубопроводов ко II категории со 100%-ным контролем монтажных сварных соединений рентгеновскими или гамма-лучами и не более чем на 50% при отнесении их к категории В, при этом указанные в позиции 3 расстояния допускается сокращать не более чем на 30% при условии отнесения участков трубопроводов к категории В.</w:t>
      </w:r>
    </w:p>
    <w:p>
      <w:pPr>
        <w:pStyle w:val="0"/>
        <w:spacing w:before="200" w:line-rule="auto"/>
        <w:ind w:firstLine="540"/>
        <w:jc w:val="both"/>
      </w:pPr>
      <w:r>
        <w:rPr>
          <w:sz w:val="20"/>
        </w:rPr>
        <w:t xml:space="preserve">Указанные в </w:t>
      </w:r>
      <w:hyperlink w:history="0" w:anchor="P3664" w:tooltip="1. Города и другие населенные пункты; коллективные сады с садовыми домиками, дачные поселки; отдельные промышленные и сельскохозяйственные предприятия; тепличные комбинаты и хозяйства; птицефабрики; молокозаводы; карьеры разработки полезных ископаемых; гаражи и открытые стоянки для автомобилей индивидуальных владельцев на количество автомобилей более 20;">
        <w:r>
          <w:rPr>
            <w:sz w:val="20"/>
            <w:color w:val="0000ff"/>
          </w:rPr>
          <w:t xml:space="preserve">позиции 1</w:t>
        </w:r>
      </w:hyperlink>
      <w:r>
        <w:rPr>
          <w:sz w:val="20"/>
        </w:rPr>
        <w:t xml:space="preserve">, </w:t>
      </w:r>
      <w:hyperlink w:history="0" w:anchor="P3716" w:tooltip="4. Мосты железных дорог промышленных предприятий, автомобильных дорог III, III-п, IV, IV-п категорий с пролетом свыше 20 м (при прокладке нефтепроводов и нефтепродуктопроводов ниже мостов по течению)">
        <w:r>
          <w:rPr>
            <w:sz w:val="20"/>
            <w:color w:val="0000ff"/>
          </w:rPr>
          <w:t xml:space="preserve">4</w:t>
        </w:r>
      </w:hyperlink>
      <w:r>
        <w:rPr>
          <w:sz w:val="20"/>
        </w:rPr>
        <w:t xml:space="preserve"> и </w:t>
      </w:r>
      <w:hyperlink w:history="0" w:anchor="P3848" w:tooltip="10. Магистральные оросительные каналы и коллекторы, реки и водоемы, вдоль которых прокладывается трубопровод; водозаборные сооружения и станции оросительных систем">
        <w:r>
          <w:rPr>
            <w:sz w:val="20"/>
            <w:color w:val="0000ff"/>
          </w:rPr>
          <w:t xml:space="preserve">10</w:t>
        </w:r>
      </w:hyperlink>
      <w:r>
        <w:rPr>
          <w:sz w:val="20"/>
        </w:rPr>
        <w:t xml:space="preserve"> расстояния для нефтепроводов и нефтепродуктопроводов допускается сокращать не более чем на 30% при условии увеличения номинальной (расчетной) толщины стенки труб на такую величину в процентах, на которую сокращается расстояние.</w:t>
      </w:r>
    </w:p>
    <w:p>
      <w:pPr>
        <w:pStyle w:val="0"/>
        <w:spacing w:before="200" w:line-rule="auto"/>
        <w:ind w:firstLine="540"/>
        <w:jc w:val="both"/>
      </w:pPr>
      <w:r>
        <w:rPr>
          <w:sz w:val="20"/>
        </w:rPr>
        <w:t xml:space="preserve">5. Минимальные расстояния от оси газопроводов до зданий и сооружений при надземной прокладке, предусмотренные в </w:t>
      </w:r>
      <w:hyperlink w:history="0" w:anchor="P3664" w:tooltip="1. Города и другие населенные пункты; коллективные сады с садовыми домиками, дачные поселки; отдельные промышленные и сельскохозяйственные предприятия; тепличные комбинаты и хозяйства; птицефабрики; молокозаводы; карьеры разработки полезных ископаемых; гаражи и открытые стоянки для автомобилей индивидуальных владельцев на количество автомобилей более 20;">
        <w:r>
          <w:rPr>
            <w:sz w:val="20"/>
            <w:color w:val="0000ff"/>
          </w:rPr>
          <w:t xml:space="preserve">позиции 1</w:t>
        </w:r>
      </w:hyperlink>
      <w:r>
        <w:rPr>
          <w:sz w:val="20"/>
        </w:rPr>
        <w:t xml:space="preserve">, следует принимать увеличенными в 2 раза, в </w:t>
      </w:r>
      <w:hyperlink w:history="0" w:anchor="P3690" w:tooltip="2. Железные дороги общей сети (на перегонах) и автодороги I - III категорий, параллельно которым прокладывается трубопровод; отдельно стоящие: жилые здания 1 - 2-этажные; садовые домики, дачи; дома линейных обходчиков; кладбища; сельскохозяйственные фермы и огороженные участки для организованного выпаса скота; полевые станы">
        <w:r>
          <w:rPr>
            <w:sz w:val="20"/>
            <w:color w:val="0000ff"/>
          </w:rPr>
          <w:t xml:space="preserve">позициях 2</w:t>
        </w:r>
      </w:hyperlink>
      <w:r>
        <w:rPr>
          <w:sz w:val="20"/>
        </w:rPr>
        <w:t xml:space="preserve"> - </w:t>
      </w:r>
      <w:hyperlink w:history="0" w:anchor="P3742" w:tooltip="6. Вертодромы и посадочные площадки без базирования на них вертолетов">
        <w:r>
          <w:rPr>
            <w:sz w:val="20"/>
            <w:color w:val="0000ff"/>
          </w:rPr>
          <w:t xml:space="preserve">6</w:t>
        </w:r>
      </w:hyperlink>
      <w:r>
        <w:rPr>
          <w:sz w:val="20"/>
        </w:rPr>
        <w:t xml:space="preserve">, </w:t>
      </w:r>
      <w:hyperlink w:history="0" w:anchor="P3807" w:tooltip="8. Территории ГРС, автоматизированных газораспределительных станций (АГРС), регуляторных станций, в том числе шкафного типа, предназначенных для обеспечения газом:">
        <w:r>
          <w:rPr>
            <w:sz w:val="20"/>
            <w:color w:val="0000ff"/>
          </w:rPr>
          <w:t xml:space="preserve">8</w:t>
        </w:r>
      </w:hyperlink>
      <w:r>
        <w:rPr>
          <w:sz w:val="20"/>
        </w:rPr>
        <w:t xml:space="preserve"> - </w:t>
      </w:r>
      <w:hyperlink w:history="0" w:anchor="P3848" w:tooltip="10. Магистральные оросительные каналы и коллекторы, реки и водоемы, вдоль которых прокладывается трубопровод; водозаборные сооружения и станции оросительных систем">
        <w:r>
          <w:rPr>
            <w:sz w:val="20"/>
            <w:color w:val="0000ff"/>
          </w:rPr>
          <w:t xml:space="preserve">10</w:t>
        </w:r>
      </w:hyperlink>
      <w:r>
        <w:rPr>
          <w:sz w:val="20"/>
        </w:rPr>
        <w:t xml:space="preserve"> и </w:t>
      </w:r>
      <w:hyperlink w:history="0" w:anchor="P3865" w:tooltip="13. Земляной амбар для аварийного выпуска нефти и конденсата из трубопровода">
        <w:r>
          <w:rPr>
            <w:sz w:val="20"/>
            <w:color w:val="0000ff"/>
          </w:rPr>
          <w:t xml:space="preserve">13</w:t>
        </w:r>
      </w:hyperlink>
      <w:r>
        <w:rPr>
          <w:sz w:val="20"/>
        </w:rPr>
        <w:t xml:space="preserve"> - в 1,5 раза. Данное требование относится к участкам надземной прокладки протяженностью свыше 150 м.</w:t>
      </w:r>
    </w:p>
    <w:p>
      <w:pPr>
        <w:pStyle w:val="0"/>
        <w:spacing w:before="200" w:line-rule="auto"/>
        <w:ind w:firstLine="540"/>
        <w:jc w:val="both"/>
      </w:pPr>
      <w:r>
        <w:rPr>
          <w:sz w:val="20"/>
        </w:rPr>
        <w:t xml:space="preserve">6. При расположении зданий и сооружений на отметках выше отметок нефтепроводов и нефтепродуктопроводов допускается уменьшение указанных в </w:t>
      </w:r>
      <w:hyperlink w:history="0" w:anchor="P3664" w:tooltip="1. Города и другие населенные пункты; коллективные сады с садовыми домиками, дачные поселки; отдельные промышленные и сельскохозяйственные предприятия; тепличные комбинаты и хозяйства; птицефабрики; молокозаводы; карьеры разработки полезных ископаемых; гаражи и открытые стоянки для автомобилей индивидуальных владельцев на количество автомобилей более 20;">
        <w:r>
          <w:rPr>
            <w:sz w:val="20"/>
            <w:color w:val="0000ff"/>
          </w:rPr>
          <w:t xml:space="preserve">позициях 1</w:t>
        </w:r>
      </w:hyperlink>
      <w:r>
        <w:rPr>
          <w:sz w:val="20"/>
        </w:rPr>
        <w:t xml:space="preserve">, </w:t>
      </w:r>
      <w:hyperlink w:history="0" w:anchor="P3690" w:tooltip="2. Железные дороги общей сети (на перегонах) и автодороги I - III категорий, параллельно которым прокладывается трубопровод; отдельно стоящие: жилые здания 1 - 2-этажные; садовые домики, дачи; дома линейных обходчиков; кладбища; сельскохозяйственные фермы и огороженные участки для организованного выпаса скота; полевые станы">
        <w:r>
          <w:rPr>
            <w:sz w:val="20"/>
            <w:color w:val="0000ff"/>
          </w:rPr>
          <w:t xml:space="preserve">2</w:t>
        </w:r>
      </w:hyperlink>
      <w:r>
        <w:rPr>
          <w:sz w:val="20"/>
        </w:rPr>
        <w:t xml:space="preserve">, </w:t>
      </w:r>
      <w:hyperlink w:history="0" w:anchor="P3716" w:tooltip="4. Мосты железных дорог промышленных предприятий, автомобильных дорог III, III-п, IV, IV-п категорий с пролетом свыше 20 м (при прокладке нефтепроводов и нефтепродуктопроводов ниже мостов по течению)">
        <w:r>
          <w:rPr>
            <w:sz w:val="20"/>
            <w:color w:val="0000ff"/>
          </w:rPr>
          <w:t xml:space="preserve">4</w:t>
        </w:r>
      </w:hyperlink>
      <w:r>
        <w:rPr>
          <w:sz w:val="20"/>
        </w:rPr>
        <w:t xml:space="preserve"> и </w:t>
      </w:r>
      <w:hyperlink w:history="0" w:anchor="P3848" w:tooltip="10. Магистральные оросительные каналы и коллекторы, реки и водоемы, вдоль которых прокладывается трубопровод; водозаборные сооружения и станции оросительных систем">
        <w:r>
          <w:rPr>
            <w:sz w:val="20"/>
            <w:color w:val="0000ff"/>
          </w:rPr>
          <w:t xml:space="preserve">10</w:t>
        </w:r>
      </w:hyperlink>
      <w:r>
        <w:rPr>
          <w:sz w:val="20"/>
        </w:rPr>
        <w:t xml:space="preserve"> расстояний до 25% при условии, что принятые расстояния должны быть не менее 50 м.</w:t>
      </w:r>
    </w:p>
    <w:p>
      <w:pPr>
        <w:pStyle w:val="0"/>
        <w:spacing w:before="200" w:line-rule="auto"/>
        <w:ind w:firstLine="540"/>
        <w:jc w:val="both"/>
      </w:pPr>
      <w:r>
        <w:rPr>
          <w:sz w:val="20"/>
        </w:rPr>
        <w:t xml:space="preserve">7. При надземной прокладке нефтепроводов и нефтепродуктопроводов допускаемые минимальные расстояния от населенных пунктов, промышленных предприятий, зданий и сооружений до оси трубопроводов следует принимать как для подземных нефтепроводов, но не менее 50 м.</w:t>
      </w:r>
    </w:p>
    <w:p>
      <w:pPr>
        <w:pStyle w:val="0"/>
        <w:spacing w:before="200" w:line-rule="auto"/>
        <w:ind w:firstLine="540"/>
        <w:jc w:val="both"/>
      </w:pPr>
      <w:r>
        <w:rPr>
          <w:sz w:val="20"/>
        </w:rPr>
        <w:t xml:space="preserve">8. Для газопроводов, прокладываемых в лесных районах, минимальные расстояния от железных и автомобильных дорог допускается сокращать на 30%.</w:t>
      </w:r>
    </w:p>
    <w:p>
      <w:pPr>
        <w:pStyle w:val="0"/>
        <w:spacing w:before="200" w:line-rule="auto"/>
        <w:ind w:firstLine="540"/>
        <w:jc w:val="both"/>
      </w:pPr>
      <w:r>
        <w:rPr>
          <w:sz w:val="20"/>
        </w:rPr>
        <w:t xml:space="preserve">9. Указанные в </w:t>
      </w:r>
      <w:hyperlink w:history="0" w:anchor="P3755" w:tooltip="7. При прокладке подводных нефтепроводов и нефтепродуктопроводов выше по течению:">
        <w:r>
          <w:rPr>
            <w:sz w:val="20"/>
            <w:color w:val="0000ff"/>
          </w:rPr>
          <w:t xml:space="preserve">позиции 7</w:t>
        </w:r>
      </w:hyperlink>
      <w:r>
        <w:rPr>
          <w:sz w:val="20"/>
        </w:rPr>
        <w:t xml:space="preserve"> минимальные расстояния от подводных переходов нефтепроводов и нефтепродуктопроводов допускается уменьшать до 50% при условии строительства перехода методами наклонно-направленного бурения или микротоннелирования с заглублением трубопровода (или микротоннеля) до верхней образующей не менее 6 м на всем протяжении руслового участка и не менее 3 м от линии предельного размыва русла (рассчитанной на срок службы перехода) или при укладке этих трубопроводов в стальных футлярах (кожухах).</w:t>
      </w:r>
    </w:p>
    <w:p>
      <w:pPr>
        <w:pStyle w:val="0"/>
        <w:jc w:val="both"/>
      </w:pPr>
      <w:r>
        <w:rPr>
          <w:sz w:val="20"/>
        </w:rPr>
        <w:t xml:space="preserve">(в ред. Приказов МЧС России от 14.02.2020 </w:t>
      </w:r>
      <w:hyperlink w:history="0" r:id="rId410"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N 89</w:t>
        </w:r>
      </w:hyperlink>
      <w:r>
        <w:rPr>
          <w:sz w:val="20"/>
        </w:rPr>
        <w:t xml:space="preserve">, от 15.06.2022 </w:t>
      </w:r>
      <w:hyperlink w:history="0" r:id="rId411"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N 610</w:t>
        </w:r>
      </w:hyperlink>
      <w:r>
        <w:rPr>
          <w:sz w:val="20"/>
        </w:rPr>
        <w:t xml:space="preserve">)</w:t>
      </w:r>
    </w:p>
    <w:p>
      <w:pPr>
        <w:pStyle w:val="0"/>
        <w:spacing w:before="200" w:line-rule="auto"/>
        <w:ind w:firstLine="540"/>
        <w:jc w:val="both"/>
      </w:pPr>
      <w:r>
        <w:rPr>
          <w:sz w:val="20"/>
        </w:rPr>
        <w:t xml:space="preserve">10. Газопроводы и другие объекты, из которых возможен выброс или утечка газа в атмосферу, должны располагаться за пределами полос воздушных подходов к аэродромам и вертодромам.</w:t>
      </w:r>
    </w:p>
    <w:p>
      <w:pPr>
        <w:pStyle w:val="0"/>
        <w:spacing w:before="200" w:line-rule="auto"/>
        <w:ind w:firstLine="540"/>
        <w:jc w:val="both"/>
      </w:pPr>
      <w:r>
        <w:rPr>
          <w:sz w:val="20"/>
        </w:rPr>
        <w:t xml:space="preserve">11. Знак "-" в </w:t>
      </w:r>
      <w:hyperlink w:history="0" w:anchor="P3638" w:tooltip="Таблица 44">
        <w:r>
          <w:rPr>
            <w:sz w:val="20"/>
            <w:color w:val="0000ff"/>
          </w:rPr>
          <w:t xml:space="preserve">таблице</w:t>
        </w:r>
      </w:hyperlink>
      <w:r>
        <w:rPr>
          <w:sz w:val="20"/>
        </w:rPr>
        <w:t xml:space="preserve"> означает, что расстояние не регламентируется.</w:t>
      </w:r>
    </w:p>
    <w:p>
      <w:pPr>
        <w:pStyle w:val="0"/>
        <w:ind w:firstLine="540"/>
        <w:jc w:val="both"/>
      </w:pPr>
      <w:r>
        <w:rPr>
          <w:sz w:val="20"/>
        </w:rPr>
      </w:r>
    </w:p>
    <w:p>
      <w:pPr>
        <w:pStyle w:val="0"/>
        <w:ind w:firstLine="540"/>
        <w:jc w:val="both"/>
      </w:pPr>
      <w:r>
        <w:rPr>
          <w:sz w:val="20"/>
        </w:rPr>
        <w:t xml:space="preserve">6.12.4. При прокладке нефтепроводов и нефтепродуктопроводов вблизи населенных пунктов и промышленных предприятий, расположенных на отметках ниже этих трубопроводов на расстоянии от них менее 500 м при номинальном диаметре труб 700 мм и менее и 1000 м - при номинальном диаметре труб свыше 700 мм, должно предусматриваться устройство с низовой стороны трубопровода защитного вала или канавы, обеспечивающих отвод разлившегося продукта при аварии. Сбор разлившегося продукта должен осуществляться в защитные амбары, расположение которых должно исключать попадание продукта в водотоки и на территорию населенных пунктов.</w:t>
      </w:r>
    </w:p>
    <w:p>
      <w:pPr>
        <w:pStyle w:val="0"/>
        <w:jc w:val="both"/>
      </w:pPr>
      <w:r>
        <w:rPr>
          <w:sz w:val="20"/>
        </w:rPr>
        <w:t xml:space="preserve">(п. 6.12.4 в ред. </w:t>
      </w:r>
      <w:hyperlink w:history="0" r:id="rId412"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6.12.5. Минимальное расстояние от ближайшего магистрального газопровода первого класса диаметром 1000 мм и более и от границ технических коридоров трубопроводов до границ проектной застройки городов и других населенных пунктов в районах Западной Сибири и Крайнего Севера следует принимать не менее 700 м.</w:t>
      </w:r>
    </w:p>
    <w:p>
      <w:pPr>
        <w:pStyle w:val="0"/>
        <w:spacing w:before="200" w:line-rule="auto"/>
        <w:ind w:firstLine="540"/>
        <w:jc w:val="both"/>
      </w:pPr>
      <w:r>
        <w:rPr>
          <w:sz w:val="20"/>
        </w:rPr>
        <w:t xml:space="preserve">В стесненных условиях, когда это расстояние выдержать невозможно, его допускается сокращать до 350 м при условии повышения категорийности таких участков до I категории, и принятия дополнительных мер, обеспечивающих безопасную эксплуатацию трубопровода, или до значений, приведенных в </w:t>
      </w:r>
      <w:hyperlink w:history="0" w:anchor="P3638" w:tooltip="Таблица 44">
        <w:r>
          <w:rPr>
            <w:sz w:val="20"/>
            <w:color w:val="0000ff"/>
          </w:rPr>
          <w:t xml:space="preserve">таблице 44</w:t>
        </w:r>
      </w:hyperlink>
      <w:r>
        <w:rPr>
          <w:sz w:val="20"/>
        </w:rPr>
        <w:t xml:space="preserve">, при отсутствии в районе прокладки трубопроводов вечномерзлых грунтов.</w:t>
      </w:r>
    </w:p>
    <w:p>
      <w:pPr>
        <w:pStyle w:val="0"/>
        <w:spacing w:before="200" w:line-rule="auto"/>
        <w:ind w:firstLine="540"/>
        <w:jc w:val="both"/>
      </w:pPr>
      <w:r>
        <w:rPr>
          <w:sz w:val="20"/>
        </w:rPr>
        <w:t xml:space="preserve">6.12.6. Расстояния от КС, ГРС, НПС газопроводов, нефтепроводов, нефтепродуктопроводов или конденсатопроводов до населенных пунктов, промышленных предприятий, зданий и сооружений следует принимать в зависимости от класса и диаметра газопровода и категории нефтеперекачивающих насосных станций и необходимости обеспечения их безопасности, но не менее значений, указанных в </w:t>
      </w:r>
      <w:hyperlink w:history="0" w:anchor="P3892" w:tooltip="Примечания.">
        <w:r>
          <w:rPr>
            <w:sz w:val="20"/>
            <w:color w:val="0000ff"/>
          </w:rPr>
          <w:t xml:space="preserve">таблице 45</w:t>
        </w:r>
      </w:hyperlink>
      <w:r>
        <w:rPr>
          <w:sz w:val="20"/>
        </w:rPr>
        <w:t xml:space="preserve">.</w:t>
      </w:r>
    </w:p>
    <w:p>
      <w:pPr>
        <w:pStyle w:val="0"/>
        <w:ind w:firstLine="540"/>
        <w:jc w:val="both"/>
      </w:pPr>
      <w:r>
        <w:rPr>
          <w:sz w:val="20"/>
        </w:rPr>
      </w:r>
    </w:p>
    <w:bookmarkStart w:id="3914" w:name="P3914"/>
    <w:bookmarkEnd w:id="3914"/>
    <w:p>
      <w:pPr>
        <w:pStyle w:val="0"/>
        <w:outlineLvl w:val="3"/>
      </w:pPr>
      <w:r>
        <w:rPr>
          <w:sz w:val="20"/>
        </w:rPr>
        <w:t xml:space="preserve">Таблица 45</w:t>
      </w:r>
    </w:p>
    <w:p>
      <w:pPr>
        <w:pStyle w:val="0"/>
        <w:jc w:val="center"/>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65"/>
        <w:gridCol w:w="990"/>
        <w:gridCol w:w="1155"/>
        <w:gridCol w:w="990"/>
        <w:gridCol w:w="1155"/>
        <w:gridCol w:w="680"/>
        <w:gridCol w:w="990"/>
        <w:gridCol w:w="794"/>
        <w:gridCol w:w="825"/>
        <w:gridCol w:w="990"/>
        <w:gridCol w:w="990"/>
        <w:gridCol w:w="990"/>
      </w:tblGrid>
      <w:tr>
        <w:tc>
          <w:tcPr>
            <w:tcW w:w="3465" w:type="dxa"/>
            <w:vMerge w:val="restart"/>
          </w:tcPr>
          <w:p>
            <w:pPr>
              <w:pStyle w:val="0"/>
              <w:jc w:val="center"/>
            </w:pPr>
            <w:r>
              <w:rPr>
                <w:sz w:val="20"/>
              </w:rPr>
              <w:t xml:space="preserve">Объекты, здания и сооружения</w:t>
            </w:r>
          </w:p>
        </w:tc>
        <w:tc>
          <w:tcPr>
            <w:gridSpan w:val="11"/>
            <w:tcW w:w="10549" w:type="dxa"/>
          </w:tcPr>
          <w:p>
            <w:pPr>
              <w:pStyle w:val="0"/>
              <w:jc w:val="center"/>
            </w:pPr>
            <w:r>
              <w:rPr>
                <w:sz w:val="20"/>
              </w:rPr>
              <w:t xml:space="preserve">Минимальные расстояния, м</w:t>
            </w:r>
          </w:p>
        </w:tc>
      </w:tr>
      <w:tr>
        <w:tc>
          <w:tcPr>
            <w:vMerge w:val="continue"/>
          </w:tcPr>
          <w:p/>
        </w:tc>
        <w:tc>
          <w:tcPr>
            <w:gridSpan w:val="8"/>
            <w:tcW w:w="7579" w:type="dxa"/>
          </w:tcPr>
          <w:p>
            <w:pPr>
              <w:pStyle w:val="0"/>
              <w:jc w:val="center"/>
            </w:pPr>
            <w:r>
              <w:rPr>
                <w:sz w:val="20"/>
              </w:rPr>
              <w:t xml:space="preserve">от КС и ГРС</w:t>
            </w:r>
          </w:p>
        </w:tc>
        <w:tc>
          <w:tcPr>
            <w:gridSpan w:val="3"/>
            <w:tcW w:w="2970" w:type="dxa"/>
          </w:tcPr>
          <w:p>
            <w:pPr>
              <w:pStyle w:val="0"/>
              <w:jc w:val="center"/>
            </w:pPr>
            <w:r>
              <w:rPr>
                <w:sz w:val="20"/>
              </w:rPr>
              <w:t xml:space="preserve">от НПС</w:t>
            </w:r>
          </w:p>
        </w:tc>
      </w:tr>
      <w:tr>
        <w:tc>
          <w:tcPr>
            <w:vMerge w:val="continue"/>
          </w:tcPr>
          <w:p/>
        </w:tc>
        <w:tc>
          <w:tcPr>
            <w:gridSpan w:val="8"/>
            <w:tcW w:w="7579" w:type="dxa"/>
          </w:tcPr>
          <w:p>
            <w:pPr>
              <w:pStyle w:val="0"/>
              <w:jc w:val="center"/>
            </w:pPr>
            <w:r>
              <w:rPr>
                <w:sz w:val="20"/>
              </w:rPr>
              <w:t xml:space="preserve">Класс газопровода</w:t>
            </w:r>
          </w:p>
        </w:tc>
        <w:tc>
          <w:tcPr>
            <w:gridSpan w:val="3"/>
            <w:tcW w:w="2970" w:type="dxa"/>
          </w:tcPr>
          <w:p>
            <w:pPr>
              <w:pStyle w:val="0"/>
              <w:jc w:val="center"/>
            </w:pPr>
            <w:r>
              <w:rPr>
                <w:sz w:val="20"/>
              </w:rPr>
              <w:t xml:space="preserve">Категория НПС</w:t>
            </w:r>
          </w:p>
        </w:tc>
      </w:tr>
      <w:tr>
        <w:tc>
          <w:tcPr>
            <w:vMerge w:val="continue"/>
          </w:tcPr>
          <w:p/>
        </w:tc>
        <w:tc>
          <w:tcPr>
            <w:gridSpan w:val="6"/>
            <w:tcW w:w="5960" w:type="dxa"/>
          </w:tcPr>
          <w:p>
            <w:pPr>
              <w:pStyle w:val="0"/>
              <w:jc w:val="center"/>
            </w:pPr>
            <w:r>
              <w:rPr>
                <w:sz w:val="20"/>
              </w:rPr>
              <w:t xml:space="preserve">I</w:t>
            </w:r>
          </w:p>
        </w:tc>
        <w:tc>
          <w:tcPr>
            <w:gridSpan w:val="2"/>
            <w:tcW w:w="1619" w:type="dxa"/>
          </w:tcPr>
          <w:p>
            <w:pPr>
              <w:pStyle w:val="0"/>
              <w:jc w:val="center"/>
            </w:pPr>
            <w:r>
              <w:rPr>
                <w:sz w:val="20"/>
              </w:rPr>
              <w:t xml:space="preserve">II</w:t>
            </w:r>
          </w:p>
        </w:tc>
        <w:tc>
          <w:tcPr>
            <w:tcW w:w="990" w:type="dxa"/>
            <w:vMerge w:val="restart"/>
          </w:tcPr>
          <w:p>
            <w:pPr>
              <w:pStyle w:val="0"/>
              <w:jc w:val="center"/>
            </w:pPr>
            <w:r>
              <w:rPr>
                <w:sz w:val="20"/>
              </w:rPr>
              <w:t xml:space="preserve">III</w:t>
            </w:r>
          </w:p>
        </w:tc>
        <w:tc>
          <w:tcPr>
            <w:tcW w:w="990" w:type="dxa"/>
            <w:vMerge w:val="restart"/>
          </w:tcPr>
          <w:p>
            <w:pPr>
              <w:pStyle w:val="0"/>
              <w:jc w:val="center"/>
            </w:pPr>
            <w:r>
              <w:rPr>
                <w:sz w:val="20"/>
              </w:rPr>
              <w:t xml:space="preserve">II</w:t>
            </w:r>
          </w:p>
        </w:tc>
        <w:tc>
          <w:tcPr>
            <w:tcW w:w="990" w:type="dxa"/>
            <w:vMerge w:val="restart"/>
          </w:tcPr>
          <w:p>
            <w:pPr>
              <w:pStyle w:val="0"/>
              <w:jc w:val="center"/>
            </w:pPr>
            <w:r>
              <w:rPr>
                <w:sz w:val="20"/>
              </w:rPr>
              <w:t xml:space="preserve">I</w:t>
            </w:r>
          </w:p>
        </w:tc>
      </w:tr>
      <w:tr>
        <w:tc>
          <w:tcPr>
            <w:vMerge w:val="continue"/>
          </w:tcPr>
          <w:p/>
        </w:tc>
        <w:tc>
          <w:tcPr>
            <w:gridSpan w:val="8"/>
            <w:tcW w:w="7579" w:type="dxa"/>
          </w:tcPr>
          <w:p>
            <w:pPr>
              <w:pStyle w:val="0"/>
              <w:jc w:val="center"/>
            </w:pPr>
            <w:r>
              <w:rPr>
                <w:sz w:val="20"/>
              </w:rPr>
              <w:t xml:space="preserve">Условный диаметр газопровода, мм</w:t>
            </w:r>
          </w:p>
        </w:tc>
        <w:tc>
          <w:tcPr>
            <w:vMerge w:val="continue"/>
          </w:tcPr>
          <w:p/>
        </w:tc>
        <w:tc>
          <w:tcPr>
            <w:vMerge w:val="continue"/>
          </w:tcPr>
          <w:p/>
        </w:tc>
        <w:tc>
          <w:tcPr>
            <w:vMerge w:val="continue"/>
          </w:tcPr>
          <w:p/>
        </w:tc>
      </w:tr>
      <w:tr>
        <w:tc>
          <w:tcPr>
            <w:vMerge w:val="continue"/>
          </w:tcPr>
          <w:p/>
        </w:tc>
        <w:tc>
          <w:tcPr>
            <w:tcW w:w="990" w:type="dxa"/>
          </w:tcPr>
          <w:p>
            <w:pPr>
              <w:pStyle w:val="0"/>
              <w:jc w:val="center"/>
            </w:pPr>
            <w:r>
              <w:rPr>
                <w:sz w:val="20"/>
              </w:rPr>
              <w:t xml:space="preserve">300 и менее</w:t>
            </w:r>
          </w:p>
        </w:tc>
        <w:tc>
          <w:tcPr>
            <w:tcW w:w="1155" w:type="dxa"/>
          </w:tcPr>
          <w:p>
            <w:pPr>
              <w:pStyle w:val="0"/>
              <w:jc w:val="center"/>
            </w:pPr>
            <w:r>
              <w:rPr>
                <w:sz w:val="20"/>
              </w:rPr>
              <w:t xml:space="preserve">св. 300 до 600</w:t>
            </w:r>
          </w:p>
        </w:tc>
        <w:tc>
          <w:tcPr>
            <w:tcW w:w="990" w:type="dxa"/>
          </w:tcPr>
          <w:p>
            <w:pPr>
              <w:pStyle w:val="0"/>
              <w:jc w:val="center"/>
            </w:pPr>
            <w:r>
              <w:rPr>
                <w:sz w:val="20"/>
              </w:rPr>
              <w:t xml:space="preserve">св. 600 до 800</w:t>
            </w:r>
          </w:p>
        </w:tc>
        <w:tc>
          <w:tcPr>
            <w:tcW w:w="1155" w:type="dxa"/>
          </w:tcPr>
          <w:p>
            <w:pPr>
              <w:pStyle w:val="0"/>
              <w:jc w:val="center"/>
            </w:pPr>
            <w:r>
              <w:rPr>
                <w:sz w:val="20"/>
              </w:rPr>
              <w:t xml:space="preserve">св. 800 до 1000</w:t>
            </w:r>
          </w:p>
        </w:tc>
        <w:tc>
          <w:tcPr>
            <w:tcW w:w="680" w:type="dxa"/>
          </w:tcPr>
          <w:p>
            <w:pPr>
              <w:pStyle w:val="0"/>
              <w:jc w:val="center"/>
            </w:pPr>
            <w:r>
              <w:rPr>
                <w:sz w:val="20"/>
              </w:rPr>
              <w:t xml:space="preserve">св. 1000 до 1200</w:t>
            </w:r>
          </w:p>
        </w:tc>
        <w:tc>
          <w:tcPr>
            <w:tcW w:w="990" w:type="dxa"/>
          </w:tcPr>
          <w:p>
            <w:pPr>
              <w:pStyle w:val="0"/>
              <w:jc w:val="center"/>
            </w:pPr>
            <w:r>
              <w:rPr>
                <w:sz w:val="20"/>
              </w:rPr>
              <w:t xml:space="preserve">св. 1200 до 1400</w:t>
            </w:r>
          </w:p>
        </w:tc>
        <w:tc>
          <w:tcPr>
            <w:tcW w:w="794" w:type="dxa"/>
          </w:tcPr>
          <w:p>
            <w:pPr>
              <w:pStyle w:val="0"/>
              <w:jc w:val="center"/>
            </w:pPr>
            <w:r>
              <w:rPr>
                <w:sz w:val="20"/>
              </w:rPr>
              <w:t xml:space="preserve">300 и менее</w:t>
            </w:r>
          </w:p>
        </w:tc>
        <w:tc>
          <w:tcPr>
            <w:tcW w:w="825" w:type="dxa"/>
          </w:tcPr>
          <w:p>
            <w:pPr>
              <w:pStyle w:val="0"/>
              <w:jc w:val="center"/>
            </w:pPr>
            <w:r>
              <w:rPr>
                <w:sz w:val="20"/>
              </w:rPr>
              <w:t xml:space="preserve">св. 300</w:t>
            </w:r>
          </w:p>
        </w:tc>
        <w:tc>
          <w:tcPr>
            <w:tcW w:w="990" w:type="dxa"/>
          </w:tcPr>
          <w:p>
            <w:pPr>
              <w:pStyle w:val="0"/>
              <w:jc w:val="center"/>
            </w:pPr>
            <w:r>
              <w:rPr>
                <w:sz w:val="20"/>
              </w:rPr>
            </w:r>
          </w:p>
        </w:tc>
        <w:tc>
          <w:tcPr>
            <w:tcW w:w="990" w:type="dxa"/>
          </w:tcPr>
          <w:p>
            <w:pPr>
              <w:pStyle w:val="0"/>
              <w:jc w:val="center"/>
            </w:pPr>
            <w:r>
              <w:rPr>
                <w:sz w:val="20"/>
              </w:rPr>
            </w:r>
          </w:p>
        </w:tc>
        <w:tc>
          <w:tcPr>
            <w:tcW w:w="990" w:type="dxa"/>
          </w:tcPr>
          <w:p>
            <w:pPr>
              <w:pStyle w:val="0"/>
              <w:jc w:val="center"/>
            </w:pPr>
            <w:r>
              <w:rPr>
                <w:sz w:val="20"/>
              </w:rPr>
            </w:r>
          </w:p>
        </w:tc>
      </w:tr>
      <w:tr>
        <w:tc>
          <w:tcPr>
            <w:tcW w:w="3465" w:type="dxa"/>
          </w:tcPr>
          <w:bookmarkStart w:id="3939" w:name="P3939"/>
          <w:bookmarkEnd w:id="3939"/>
          <w:p>
            <w:pPr>
              <w:pStyle w:val="0"/>
            </w:pPr>
            <w:r>
              <w:rPr>
                <w:sz w:val="20"/>
              </w:rPr>
              <w:t xml:space="preserve">1. Города и другие населенные пункты; коллективные сады с садовыми домиками, дачные поселки; отдельные промышленные и сельскохозяйственные предприятия, тепличные комбинаты и хозяйства; птицефабрики; молокозаводы; карьеры разработки полезных ископаемых; гаражи и открытые стоянки для автомобилей индивидуальных владельцев на количество автомобилей свыше 20; установки комплексной подготовки нефти и газа и их групповые и сборные пункты; отдельно стоящие здания с массовым скоплением людей (школы, больницы, клубы, детские сады и ясли, вокзалы и т.д.); жилые здания 3-этажные и выше; железнодорожные станции; аэропорты; морские и речные порты и пристани; гидроэлектростанции; гидротехнические сооружения морского и речного транспорта I - IV классов; мачты (башни) и сооружения многоканальной радиорелейной линии технологической связи трубопроводов; мачты (башни) и сооружения многоканальной радиорелейной связи; телевизионные башни</w:t>
            </w:r>
          </w:p>
        </w:tc>
        <w:tc>
          <w:tcPr>
            <w:tcW w:w="990" w:type="dxa"/>
          </w:tcPr>
          <w:p>
            <w:pPr>
              <w:pStyle w:val="0"/>
              <w:jc w:val="center"/>
            </w:pPr>
            <w:r>
              <w:rPr>
                <w:sz w:val="20"/>
              </w:rPr>
              <w:t xml:space="preserve">500/150</w:t>
            </w:r>
          </w:p>
        </w:tc>
        <w:tc>
          <w:tcPr>
            <w:tcW w:w="1155" w:type="dxa"/>
          </w:tcPr>
          <w:p>
            <w:pPr>
              <w:pStyle w:val="0"/>
              <w:jc w:val="center"/>
            </w:pPr>
            <w:r>
              <w:rPr>
                <w:sz w:val="20"/>
              </w:rPr>
              <w:t xml:space="preserve">500/175</w:t>
            </w:r>
          </w:p>
        </w:tc>
        <w:tc>
          <w:tcPr>
            <w:tcW w:w="990" w:type="dxa"/>
          </w:tcPr>
          <w:p>
            <w:pPr>
              <w:pStyle w:val="0"/>
              <w:jc w:val="center"/>
            </w:pPr>
            <w:r>
              <w:rPr>
                <w:sz w:val="20"/>
              </w:rPr>
              <w:t xml:space="preserve">700/200</w:t>
            </w:r>
          </w:p>
        </w:tc>
        <w:tc>
          <w:tcPr>
            <w:tcW w:w="1155" w:type="dxa"/>
          </w:tcPr>
          <w:p>
            <w:pPr>
              <w:pStyle w:val="0"/>
              <w:jc w:val="center"/>
            </w:pPr>
            <w:r>
              <w:rPr>
                <w:sz w:val="20"/>
              </w:rPr>
              <w:t xml:space="preserve">700/250</w:t>
            </w:r>
          </w:p>
        </w:tc>
        <w:tc>
          <w:tcPr>
            <w:tcW w:w="680" w:type="dxa"/>
          </w:tcPr>
          <w:p>
            <w:pPr>
              <w:pStyle w:val="0"/>
              <w:jc w:val="center"/>
            </w:pPr>
            <w:r>
              <w:rPr>
                <w:sz w:val="20"/>
              </w:rPr>
              <w:t xml:space="preserve">700/300</w:t>
            </w:r>
          </w:p>
        </w:tc>
        <w:tc>
          <w:tcPr>
            <w:tcW w:w="990" w:type="dxa"/>
          </w:tcPr>
          <w:p>
            <w:pPr>
              <w:pStyle w:val="0"/>
              <w:jc w:val="center"/>
            </w:pPr>
            <w:r>
              <w:rPr>
                <w:sz w:val="20"/>
              </w:rPr>
              <w:t xml:space="preserve">700/350</w:t>
            </w:r>
          </w:p>
        </w:tc>
        <w:tc>
          <w:tcPr>
            <w:tcW w:w="794" w:type="dxa"/>
          </w:tcPr>
          <w:p>
            <w:pPr>
              <w:pStyle w:val="0"/>
              <w:jc w:val="center"/>
            </w:pPr>
            <w:r>
              <w:rPr>
                <w:sz w:val="20"/>
              </w:rPr>
              <w:t xml:space="preserve">500/100</w:t>
            </w:r>
          </w:p>
        </w:tc>
        <w:tc>
          <w:tcPr>
            <w:tcW w:w="825" w:type="dxa"/>
          </w:tcPr>
          <w:p>
            <w:pPr>
              <w:pStyle w:val="0"/>
              <w:jc w:val="center"/>
            </w:pPr>
            <w:r>
              <w:rPr>
                <w:sz w:val="20"/>
              </w:rPr>
              <w:t xml:space="preserve">500/125</w:t>
            </w:r>
          </w:p>
        </w:tc>
        <w:tc>
          <w:tcPr>
            <w:tcW w:w="990" w:type="dxa"/>
          </w:tcPr>
          <w:p>
            <w:pPr>
              <w:pStyle w:val="0"/>
              <w:jc w:val="center"/>
            </w:pPr>
            <w:r>
              <w:rPr>
                <w:sz w:val="20"/>
              </w:rPr>
              <w:t xml:space="preserve">100</w:t>
            </w:r>
          </w:p>
        </w:tc>
        <w:tc>
          <w:tcPr>
            <w:tcW w:w="990" w:type="dxa"/>
          </w:tcPr>
          <w:p>
            <w:pPr>
              <w:pStyle w:val="0"/>
              <w:jc w:val="center"/>
            </w:pPr>
            <w:r>
              <w:rPr>
                <w:sz w:val="20"/>
              </w:rPr>
              <w:t xml:space="preserve">150</w:t>
            </w:r>
          </w:p>
        </w:tc>
        <w:tc>
          <w:tcPr>
            <w:tcW w:w="990" w:type="dxa"/>
          </w:tcPr>
          <w:p>
            <w:pPr>
              <w:pStyle w:val="0"/>
              <w:jc w:val="center"/>
            </w:pPr>
            <w:r>
              <w:rPr>
                <w:sz w:val="20"/>
              </w:rPr>
              <w:t xml:space="preserve">200</w:t>
            </w:r>
          </w:p>
        </w:tc>
      </w:tr>
      <w:tr>
        <w:tc>
          <w:tcPr>
            <w:tcW w:w="3465" w:type="dxa"/>
          </w:tcPr>
          <w:bookmarkStart w:id="3951" w:name="P3951"/>
          <w:bookmarkEnd w:id="3951"/>
          <w:p>
            <w:pPr>
              <w:pStyle w:val="0"/>
            </w:pPr>
            <w:r>
              <w:rPr>
                <w:sz w:val="20"/>
              </w:rPr>
              <w:t xml:space="preserve">2. Мосты железных дорог общей сети и автомобильных дорог I и II категорий с пролетом свыше 20 м (при прокладке нефтепроводов и нефтепродуктопроводов ниже мостов по течению); склады легковоспламеняющихся и горючих жидкостей и газов с объемом хранения свыше 1000 м</w:t>
            </w:r>
            <w:r>
              <w:rPr>
                <w:sz w:val="20"/>
                <w:vertAlign w:val="superscript"/>
              </w:rPr>
              <w:t xml:space="preserve">3</w:t>
            </w:r>
            <w:r>
              <w:rPr>
                <w:sz w:val="20"/>
              </w:rPr>
              <w:t xml:space="preserve">; автозаправочные станции; водопроводные сооружения, не относящиеся к магистральному трубопроводу</w:t>
            </w:r>
          </w:p>
        </w:tc>
        <w:tc>
          <w:tcPr>
            <w:tcW w:w="990" w:type="dxa"/>
          </w:tcPr>
          <w:p>
            <w:pPr>
              <w:pStyle w:val="0"/>
              <w:jc w:val="center"/>
            </w:pPr>
            <w:r>
              <w:rPr>
                <w:sz w:val="20"/>
              </w:rPr>
              <w:t xml:space="preserve">250/150</w:t>
            </w:r>
          </w:p>
        </w:tc>
        <w:tc>
          <w:tcPr>
            <w:tcW w:w="1155" w:type="dxa"/>
          </w:tcPr>
          <w:p>
            <w:pPr>
              <w:pStyle w:val="0"/>
              <w:jc w:val="center"/>
            </w:pPr>
            <w:r>
              <w:rPr>
                <w:sz w:val="20"/>
              </w:rPr>
              <w:t xml:space="preserve">300/175</w:t>
            </w:r>
          </w:p>
        </w:tc>
        <w:tc>
          <w:tcPr>
            <w:tcW w:w="990" w:type="dxa"/>
          </w:tcPr>
          <w:p>
            <w:pPr>
              <w:pStyle w:val="0"/>
              <w:jc w:val="center"/>
            </w:pPr>
            <w:r>
              <w:rPr>
                <w:sz w:val="20"/>
              </w:rPr>
              <w:t xml:space="preserve">350/200</w:t>
            </w:r>
          </w:p>
        </w:tc>
        <w:tc>
          <w:tcPr>
            <w:tcW w:w="1155" w:type="dxa"/>
          </w:tcPr>
          <w:p>
            <w:pPr>
              <w:pStyle w:val="0"/>
              <w:jc w:val="center"/>
            </w:pPr>
            <w:r>
              <w:rPr>
                <w:sz w:val="20"/>
              </w:rPr>
              <w:t xml:space="preserve">400/225</w:t>
            </w:r>
          </w:p>
        </w:tc>
        <w:tc>
          <w:tcPr>
            <w:tcW w:w="680" w:type="dxa"/>
          </w:tcPr>
          <w:p>
            <w:pPr>
              <w:pStyle w:val="0"/>
              <w:jc w:val="center"/>
            </w:pPr>
            <w:r>
              <w:rPr>
                <w:sz w:val="20"/>
              </w:rPr>
              <w:t xml:space="preserve">450/250</w:t>
            </w:r>
          </w:p>
        </w:tc>
        <w:tc>
          <w:tcPr>
            <w:tcW w:w="990" w:type="dxa"/>
          </w:tcPr>
          <w:p>
            <w:pPr>
              <w:pStyle w:val="0"/>
              <w:jc w:val="center"/>
            </w:pPr>
            <w:r>
              <w:rPr>
                <w:sz w:val="20"/>
              </w:rPr>
              <w:t xml:space="preserve">500/300</w:t>
            </w:r>
          </w:p>
        </w:tc>
        <w:tc>
          <w:tcPr>
            <w:tcW w:w="794" w:type="dxa"/>
          </w:tcPr>
          <w:p>
            <w:pPr>
              <w:pStyle w:val="0"/>
              <w:jc w:val="center"/>
            </w:pPr>
            <w:r>
              <w:rPr>
                <w:sz w:val="20"/>
              </w:rPr>
              <w:t xml:space="preserve">250/100</w:t>
            </w:r>
          </w:p>
        </w:tc>
        <w:tc>
          <w:tcPr>
            <w:tcW w:w="825" w:type="dxa"/>
          </w:tcPr>
          <w:p>
            <w:pPr>
              <w:pStyle w:val="0"/>
              <w:jc w:val="center"/>
            </w:pPr>
            <w:r>
              <w:rPr>
                <w:sz w:val="20"/>
              </w:rPr>
              <w:t xml:space="preserve">300/125</w:t>
            </w:r>
          </w:p>
        </w:tc>
        <w:tc>
          <w:tcPr>
            <w:tcW w:w="990" w:type="dxa"/>
          </w:tcPr>
          <w:p>
            <w:pPr>
              <w:pStyle w:val="0"/>
              <w:jc w:val="center"/>
            </w:pPr>
            <w:r>
              <w:rPr>
                <w:sz w:val="20"/>
              </w:rPr>
              <w:t xml:space="preserve">100</w:t>
            </w:r>
          </w:p>
        </w:tc>
        <w:tc>
          <w:tcPr>
            <w:tcW w:w="990" w:type="dxa"/>
          </w:tcPr>
          <w:p>
            <w:pPr>
              <w:pStyle w:val="0"/>
              <w:jc w:val="center"/>
            </w:pPr>
            <w:r>
              <w:rPr>
                <w:sz w:val="20"/>
              </w:rPr>
              <w:t xml:space="preserve">150</w:t>
            </w:r>
          </w:p>
        </w:tc>
        <w:tc>
          <w:tcPr>
            <w:tcW w:w="990" w:type="dxa"/>
          </w:tcPr>
          <w:p>
            <w:pPr>
              <w:pStyle w:val="0"/>
              <w:jc w:val="center"/>
            </w:pPr>
            <w:r>
              <w:rPr>
                <w:sz w:val="20"/>
              </w:rPr>
              <w:t xml:space="preserve">200</w:t>
            </w:r>
          </w:p>
        </w:tc>
      </w:tr>
      <w:tr>
        <w:tc>
          <w:tcPr>
            <w:tcW w:w="3465" w:type="dxa"/>
          </w:tcPr>
          <w:p>
            <w:pPr>
              <w:pStyle w:val="0"/>
            </w:pPr>
            <w:r>
              <w:rPr>
                <w:sz w:val="20"/>
              </w:rPr>
              <w:t xml:space="preserve">3. Железные дороги общей сети (на перегонах) и автодороги I - III категорий; отдельно стоящие: жилые здания 1 - 2-этажные; дома линейных обходчиков; кладбища; сельскохозяйственные фермы и огороженные участки для организованного выпаса скота; полевые станы</w:t>
            </w:r>
          </w:p>
        </w:tc>
        <w:tc>
          <w:tcPr>
            <w:tcW w:w="990" w:type="dxa"/>
          </w:tcPr>
          <w:p>
            <w:pPr>
              <w:pStyle w:val="0"/>
              <w:jc w:val="center"/>
            </w:pPr>
            <w:r>
              <w:rPr>
                <w:sz w:val="20"/>
              </w:rPr>
              <w:t xml:space="preserve">100/75</w:t>
            </w:r>
          </w:p>
        </w:tc>
        <w:tc>
          <w:tcPr>
            <w:tcW w:w="1155" w:type="dxa"/>
          </w:tcPr>
          <w:p>
            <w:pPr>
              <w:pStyle w:val="0"/>
              <w:jc w:val="center"/>
            </w:pPr>
            <w:r>
              <w:rPr>
                <w:sz w:val="20"/>
              </w:rPr>
              <w:t xml:space="preserve">150/125</w:t>
            </w:r>
          </w:p>
        </w:tc>
        <w:tc>
          <w:tcPr>
            <w:tcW w:w="990" w:type="dxa"/>
          </w:tcPr>
          <w:p>
            <w:pPr>
              <w:pStyle w:val="0"/>
              <w:jc w:val="center"/>
            </w:pPr>
            <w:r>
              <w:rPr>
                <w:sz w:val="20"/>
              </w:rPr>
              <w:t xml:space="preserve">200/150</w:t>
            </w:r>
          </w:p>
        </w:tc>
        <w:tc>
          <w:tcPr>
            <w:tcW w:w="1155" w:type="dxa"/>
          </w:tcPr>
          <w:p>
            <w:pPr>
              <w:pStyle w:val="0"/>
              <w:jc w:val="center"/>
            </w:pPr>
            <w:r>
              <w:rPr>
                <w:sz w:val="20"/>
              </w:rPr>
              <w:t xml:space="preserve">250/200</w:t>
            </w:r>
          </w:p>
        </w:tc>
        <w:tc>
          <w:tcPr>
            <w:tcW w:w="680" w:type="dxa"/>
          </w:tcPr>
          <w:p>
            <w:pPr>
              <w:pStyle w:val="0"/>
              <w:jc w:val="center"/>
            </w:pPr>
            <w:r>
              <w:rPr>
                <w:sz w:val="20"/>
              </w:rPr>
              <w:t xml:space="preserve">300/225</w:t>
            </w:r>
          </w:p>
        </w:tc>
        <w:tc>
          <w:tcPr>
            <w:tcW w:w="990" w:type="dxa"/>
          </w:tcPr>
          <w:p>
            <w:pPr>
              <w:pStyle w:val="0"/>
              <w:jc w:val="center"/>
            </w:pPr>
            <w:r>
              <w:rPr>
                <w:sz w:val="20"/>
              </w:rPr>
              <w:t xml:space="preserve">350/250</w:t>
            </w:r>
          </w:p>
        </w:tc>
        <w:tc>
          <w:tcPr>
            <w:tcW w:w="794" w:type="dxa"/>
          </w:tcPr>
          <w:p>
            <w:pPr>
              <w:pStyle w:val="0"/>
              <w:jc w:val="center"/>
            </w:pPr>
            <w:r>
              <w:rPr>
                <w:sz w:val="20"/>
              </w:rPr>
              <w:t xml:space="preserve">75/75</w:t>
            </w:r>
          </w:p>
        </w:tc>
        <w:tc>
          <w:tcPr>
            <w:tcW w:w="825" w:type="dxa"/>
          </w:tcPr>
          <w:p>
            <w:pPr>
              <w:pStyle w:val="0"/>
              <w:jc w:val="center"/>
            </w:pPr>
            <w:r>
              <w:rPr>
                <w:sz w:val="20"/>
              </w:rPr>
              <w:t xml:space="preserve">150/100</w:t>
            </w:r>
          </w:p>
        </w:tc>
        <w:tc>
          <w:tcPr>
            <w:tcW w:w="990" w:type="dxa"/>
          </w:tcPr>
          <w:p>
            <w:pPr>
              <w:pStyle w:val="0"/>
              <w:jc w:val="center"/>
            </w:pPr>
            <w:r>
              <w:rPr>
                <w:sz w:val="20"/>
              </w:rPr>
              <w:t xml:space="preserve">50</w:t>
            </w:r>
          </w:p>
        </w:tc>
        <w:tc>
          <w:tcPr>
            <w:tcW w:w="990" w:type="dxa"/>
          </w:tcPr>
          <w:p>
            <w:pPr>
              <w:pStyle w:val="0"/>
              <w:jc w:val="center"/>
            </w:pPr>
            <w:r>
              <w:rPr>
                <w:sz w:val="20"/>
              </w:rPr>
              <w:t xml:space="preserve">75</w:t>
            </w:r>
          </w:p>
        </w:tc>
        <w:tc>
          <w:tcPr>
            <w:tcW w:w="990" w:type="dxa"/>
          </w:tcPr>
          <w:p>
            <w:pPr>
              <w:pStyle w:val="0"/>
              <w:jc w:val="center"/>
            </w:pPr>
            <w:r>
              <w:rPr>
                <w:sz w:val="20"/>
              </w:rPr>
              <w:t xml:space="preserve">100</w:t>
            </w:r>
          </w:p>
        </w:tc>
      </w:tr>
      <w:tr>
        <w:tc>
          <w:tcPr>
            <w:tcW w:w="3465" w:type="dxa"/>
          </w:tcPr>
          <w:p>
            <w:pPr>
              <w:pStyle w:val="0"/>
            </w:pPr>
            <w:r>
              <w:rPr>
                <w:sz w:val="20"/>
              </w:rPr>
              <w:t xml:space="preserve">4. Мосты железных дорог промышленных предприятий, автомобильных дорог III - V, III-п и IV-п категорий с пролетом свыше 20 м</w:t>
            </w:r>
          </w:p>
        </w:tc>
        <w:tc>
          <w:tcPr>
            <w:tcW w:w="990" w:type="dxa"/>
          </w:tcPr>
          <w:p>
            <w:pPr>
              <w:pStyle w:val="0"/>
              <w:jc w:val="center"/>
            </w:pPr>
            <w:r>
              <w:rPr>
                <w:sz w:val="20"/>
              </w:rPr>
              <w:t xml:space="preserve">125/100</w:t>
            </w:r>
          </w:p>
        </w:tc>
        <w:tc>
          <w:tcPr>
            <w:tcW w:w="1155" w:type="dxa"/>
          </w:tcPr>
          <w:p>
            <w:pPr>
              <w:pStyle w:val="0"/>
              <w:jc w:val="center"/>
            </w:pPr>
            <w:r>
              <w:rPr>
                <w:sz w:val="20"/>
              </w:rPr>
              <w:t xml:space="preserve">150/125</w:t>
            </w:r>
          </w:p>
        </w:tc>
        <w:tc>
          <w:tcPr>
            <w:tcW w:w="990" w:type="dxa"/>
          </w:tcPr>
          <w:p>
            <w:pPr>
              <w:pStyle w:val="0"/>
              <w:jc w:val="center"/>
            </w:pPr>
            <w:r>
              <w:rPr>
                <w:sz w:val="20"/>
              </w:rPr>
              <w:t xml:space="preserve">200/150</w:t>
            </w:r>
          </w:p>
        </w:tc>
        <w:tc>
          <w:tcPr>
            <w:tcW w:w="1155" w:type="dxa"/>
          </w:tcPr>
          <w:p>
            <w:pPr>
              <w:pStyle w:val="0"/>
              <w:jc w:val="center"/>
            </w:pPr>
            <w:r>
              <w:rPr>
                <w:sz w:val="20"/>
              </w:rPr>
              <w:t xml:space="preserve">250/200</w:t>
            </w:r>
          </w:p>
        </w:tc>
        <w:tc>
          <w:tcPr>
            <w:tcW w:w="680" w:type="dxa"/>
          </w:tcPr>
          <w:p>
            <w:pPr>
              <w:pStyle w:val="0"/>
              <w:jc w:val="center"/>
            </w:pPr>
            <w:r>
              <w:rPr>
                <w:sz w:val="20"/>
              </w:rPr>
              <w:t xml:space="preserve">300/225</w:t>
            </w:r>
          </w:p>
        </w:tc>
        <w:tc>
          <w:tcPr>
            <w:tcW w:w="990" w:type="dxa"/>
          </w:tcPr>
          <w:p>
            <w:pPr>
              <w:pStyle w:val="0"/>
              <w:jc w:val="center"/>
            </w:pPr>
            <w:r>
              <w:rPr>
                <w:sz w:val="20"/>
              </w:rPr>
              <w:t xml:space="preserve">350/250</w:t>
            </w:r>
          </w:p>
        </w:tc>
        <w:tc>
          <w:tcPr>
            <w:tcW w:w="794" w:type="dxa"/>
          </w:tcPr>
          <w:p>
            <w:pPr>
              <w:pStyle w:val="0"/>
              <w:jc w:val="center"/>
            </w:pPr>
            <w:r>
              <w:rPr>
                <w:sz w:val="20"/>
              </w:rPr>
              <w:t xml:space="preserve">100/75</w:t>
            </w:r>
          </w:p>
        </w:tc>
        <w:tc>
          <w:tcPr>
            <w:tcW w:w="825" w:type="dxa"/>
          </w:tcPr>
          <w:p>
            <w:pPr>
              <w:pStyle w:val="0"/>
              <w:jc w:val="center"/>
            </w:pPr>
            <w:r>
              <w:rPr>
                <w:sz w:val="20"/>
              </w:rPr>
              <w:t xml:space="preserve">150/125</w:t>
            </w:r>
          </w:p>
        </w:tc>
        <w:tc>
          <w:tcPr>
            <w:tcW w:w="990" w:type="dxa"/>
          </w:tcPr>
          <w:p>
            <w:pPr>
              <w:pStyle w:val="0"/>
              <w:jc w:val="center"/>
            </w:pPr>
            <w:r>
              <w:rPr>
                <w:sz w:val="20"/>
              </w:rPr>
              <w:t xml:space="preserve">100</w:t>
            </w:r>
          </w:p>
        </w:tc>
        <w:tc>
          <w:tcPr>
            <w:tcW w:w="990" w:type="dxa"/>
          </w:tcPr>
          <w:p>
            <w:pPr>
              <w:pStyle w:val="0"/>
              <w:jc w:val="center"/>
            </w:pPr>
            <w:r>
              <w:rPr>
                <w:sz w:val="20"/>
              </w:rPr>
              <w:t xml:space="preserve">150</w:t>
            </w:r>
          </w:p>
        </w:tc>
        <w:tc>
          <w:tcPr>
            <w:tcW w:w="990" w:type="dxa"/>
          </w:tcPr>
          <w:p>
            <w:pPr>
              <w:pStyle w:val="0"/>
              <w:jc w:val="center"/>
            </w:pPr>
            <w:r>
              <w:rPr>
                <w:sz w:val="20"/>
              </w:rPr>
              <w:t xml:space="preserve">200</w:t>
            </w:r>
          </w:p>
        </w:tc>
      </w:tr>
      <w:tr>
        <w:tc>
          <w:tcPr>
            <w:tcW w:w="3465" w:type="dxa"/>
          </w:tcPr>
          <w:p>
            <w:pPr>
              <w:pStyle w:val="0"/>
            </w:pPr>
            <w:r>
              <w:rPr>
                <w:sz w:val="20"/>
              </w:rPr>
              <w:t xml:space="preserve">5. Железные дороги промышленных предприятий</w:t>
            </w:r>
          </w:p>
        </w:tc>
        <w:tc>
          <w:tcPr>
            <w:tcW w:w="990" w:type="dxa"/>
          </w:tcPr>
          <w:p>
            <w:pPr>
              <w:pStyle w:val="0"/>
              <w:jc w:val="center"/>
            </w:pPr>
            <w:r>
              <w:rPr>
                <w:sz w:val="20"/>
              </w:rPr>
              <w:t xml:space="preserve">75 50</w:t>
            </w:r>
          </w:p>
        </w:tc>
        <w:tc>
          <w:tcPr>
            <w:tcW w:w="1155" w:type="dxa"/>
          </w:tcPr>
          <w:p>
            <w:pPr>
              <w:pStyle w:val="0"/>
              <w:jc w:val="center"/>
            </w:pPr>
            <w:r>
              <w:rPr>
                <w:sz w:val="20"/>
              </w:rPr>
              <w:t xml:space="preserve">100</w:t>
            </w:r>
          </w:p>
          <w:p>
            <w:pPr>
              <w:pStyle w:val="0"/>
              <w:jc w:val="center"/>
            </w:pPr>
            <w:r>
              <w:rPr>
                <w:sz w:val="20"/>
              </w:rPr>
              <w:t xml:space="preserve">75</w:t>
            </w:r>
          </w:p>
        </w:tc>
        <w:tc>
          <w:tcPr>
            <w:tcW w:w="990" w:type="dxa"/>
          </w:tcPr>
          <w:p>
            <w:pPr>
              <w:pStyle w:val="0"/>
              <w:jc w:val="center"/>
            </w:pPr>
            <w:r>
              <w:rPr>
                <w:sz w:val="20"/>
              </w:rPr>
              <w:t xml:space="preserve">150</w:t>
            </w:r>
          </w:p>
          <w:p>
            <w:pPr>
              <w:pStyle w:val="0"/>
              <w:jc w:val="center"/>
            </w:pPr>
            <w:r>
              <w:rPr>
                <w:sz w:val="20"/>
              </w:rPr>
              <w:t xml:space="preserve">100</w:t>
            </w:r>
          </w:p>
        </w:tc>
        <w:tc>
          <w:tcPr>
            <w:tcW w:w="1155" w:type="dxa"/>
          </w:tcPr>
          <w:p>
            <w:pPr>
              <w:pStyle w:val="0"/>
              <w:jc w:val="center"/>
            </w:pPr>
            <w:r>
              <w:rPr>
                <w:sz w:val="20"/>
              </w:rPr>
              <w:t xml:space="preserve">175</w:t>
            </w:r>
          </w:p>
          <w:p>
            <w:pPr>
              <w:pStyle w:val="0"/>
              <w:jc w:val="center"/>
            </w:pPr>
            <w:r>
              <w:rPr>
                <w:sz w:val="20"/>
              </w:rPr>
              <w:t xml:space="preserve">150</w:t>
            </w:r>
          </w:p>
        </w:tc>
        <w:tc>
          <w:tcPr>
            <w:tcW w:w="680" w:type="dxa"/>
          </w:tcPr>
          <w:p>
            <w:pPr>
              <w:pStyle w:val="0"/>
              <w:jc w:val="center"/>
            </w:pPr>
            <w:r>
              <w:rPr>
                <w:sz w:val="20"/>
              </w:rPr>
              <w:t xml:space="preserve">200</w:t>
            </w:r>
          </w:p>
          <w:p>
            <w:pPr>
              <w:pStyle w:val="0"/>
              <w:jc w:val="center"/>
            </w:pPr>
            <w:r>
              <w:rPr>
                <w:sz w:val="20"/>
              </w:rPr>
              <w:t xml:space="preserve">175</w:t>
            </w:r>
          </w:p>
        </w:tc>
        <w:tc>
          <w:tcPr>
            <w:tcW w:w="990" w:type="dxa"/>
          </w:tcPr>
          <w:p>
            <w:pPr>
              <w:pStyle w:val="0"/>
              <w:jc w:val="center"/>
            </w:pPr>
            <w:r>
              <w:rPr>
                <w:sz w:val="20"/>
              </w:rPr>
              <w:t xml:space="preserve">250</w:t>
            </w:r>
          </w:p>
          <w:p>
            <w:pPr>
              <w:pStyle w:val="0"/>
              <w:jc w:val="center"/>
            </w:pPr>
            <w:r>
              <w:rPr>
                <w:sz w:val="20"/>
              </w:rPr>
              <w:t xml:space="preserve">200</w:t>
            </w:r>
          </w:p>
        </w:tc>
        <w:tc>
          <w:tcPr>
            <w:tcW w:w="794" w:type="dxa"/>
          </w:tcPr>
          <w:p>
            <w:pPr>
              <w:pStyle w:val="0"/>
              <w:jc w:val="center"/>
            </w:pPr>
            <w:r>
              <w:rPr>
                <w:sz w:val="20"/>
              </w:rPr>
              <w:t xml:space="preserve">50/50</w:t>
            </w:r>
          </w:p>
        </w:tc>
        <w:tc>
          <w:tcPr>
            <w:tcW w:w="825" w:type="dxa"/>
          </w:tcPr>
          <w:p>
            <w:pPr>
              <w:pStyle w:val="0"/>
              <w:jc w:val="center"/>
            </w:pPr>
            <w:r>
              <w:rPr>
                <w:sz w:val="20"/>
              </w:rPr>
              <w:t xml:space="preserve">100</w:t>
            </w:r>
          </w:p>
          <w:p>
            <w:pPr>
              <w:pStyle w:val="0"/>
              <w:jc w:val="center"/>
            </w:pPr>
            <w:r>
              <w:rPr>
                <w:sz w:val="20"/>
              </w:rPr>
              <w:t xml:space="preserve">75</w:t>
            </w:r>
          </w:p>
        </w:tc>
        <w:tc>
          <w:tcPr>
            <w:tcW w:w="990" w:type="dxa"/>
          </w:tcPr>
          <w:p>
            <w:pPr>
              <w:pStyle w:val="0"/>
              <w:jc w:val="center"/>
            </w:pPr>
            <w:r>
              <w:rPr>
                <w:sz w:val="20"/>
              </w:rPr>
              <w:t xml:space="preserve">50</w:t>
            </w:r>
          </w:p>
        </w:tc>
        <w:tc>
          <w:tcPr>
            <w:tcW w:w="990" w:type="dxa"/>
          </w:tcPr>
          <w:p>
            <w:pPr>
              <w:pStyle w:val="0"/>
              <w:jc w:val="center"/>
            </w:pPr>
            <w:r>
              <w:rPr>
                <w:sz w:val="20"/>
              </w:rPr>
              <w:t xml:space="preserve">75</w:t>
            </w:r>
          </w:p>
        </w:tc>
        <w:tc>
          <w:tcPr>
            <w:tcW w:w="990" w:type="dxa"/>
          </w:tcPr>
          <w:p>
            <w:pPr>
              <w:pStyle w:val="0"/>
              <w:jc w:val="center"/>
            </w:pPr>
            <w:r>
              <w:rPr>
                <w:sz w:val="20"/>
              </w:rPr>
              <w:t xml:space="preserve">100</w:t>
            </w:r>
          </w:p>
        </w:tc>
      </w:tr>
      <w:tr>
        <w:tc>
          <w:tcPr>
            <w:tcW w:w="3465" w:type="dxa"/>
            <w:vMerge w:val="restart"/>
          </w:tcPr>
          <w:p>
            <w:pPr>
              <w:pStyle w:val="0"/>
            </w:pPr>
            <w:r>
              <w:rPr>
                <w:sz w:val="20"/>
              </w:rPr>
              <w:t xml:space="preserve">6. Автомобильные дороги III-п, IV, IV-п и V категорий</w:t>
            </w:r>
          </w:p>
        </w:tc>
        <w:tc>
          <w:tcPr>
            <w:tcW w:w="990" w:type="dxa"/>
            <w:vMerge w:val="restart"/>
          </w:tcPr>
          <w:p>
            <w:pPr>
              <w:pStyle w:val="0"/>
              <w:jc w:val="center"/>
            </w:pPr>
            <w:r>
              <w:rPr>
                <w:sz w:val="20"/>
              </w:rPr>
              <w:t xml:space="preserve">75/50</w:t>
            </w:r>
          </w:p>
        </w:tc>
        <w:tc>
          <w:tcPr>
            <w:tcW w:w="1155" w:type="dxa"/>
            <w:vMerge w:val="restart"/>
          </w:tcPr>
          <w:p>
            <w:pPr>
              <w:pStyle w:val="0"/>
              <w:jc w:val="center"/>
            </w:pPr>
            <w:r>
              <w:rPr>
                <w:sz w:val="20"/>
              </w:rPr>
              <w:t xml:space="preserve">100/75</w:t>
            </w:r>
          </w:p>
        </w:tc>
        <w:tc>
          <w:tcPr>
            <w:tcW w:w="990" w:type="dxa"/>
            <w:vMerge w:val="restart"/>
          </w:tcPr>
          <w:p>
            <w:pPr>
              <w:pStyle w:val="0"/>
              <w:jc w:val="center"/>
            </w:pPr>
            <w:r>
              <w:rPr>
                <w:sz w:val="20"/>
              </w:rPr>
              <w:t xml:space="preserve">150/100</w:t>
            </w:r>
          </w:p>
        </w:tc>
        <w:tc>
          <w:tcPr>
            <w:tcW w:w="1155" w:type="dxa"/>
            <w:vMerge w:val="restart"/>
          </w:tcPr>
          <w:p>
            <w:pPr>
              <w:pStyle w:val="0"/>
              <w:jc w:val="center"/>
            </w:pPr>
            <w:r>
              <w:rPr>
                <w:sz w:val="20"/>
              </w:rPr>
              <w:t xml:space="preserve">175/150</w:t>
            </w:r>
          </w:p>
        </w:tc>
        <w:tc>
          <w:tcPr>
            <w:tcW w:w="680" w:type="dxa"/>
            <w:vMerge w:val="restart"/>
          </w:tcPr>
          <w:p>
            <w:pPr>
              <w:pStyle w:val="0"/>
              <w:jc w:val="center"/>
            </w:pPr>
            <w:r>
              <w:rPr>
                <w:sz w:val="20"/>
              </w:rPr>
              <w:t xml:space="preserve">200/175</w:t>
            </w:r>
          </w:p>
        </w:tc>
        <w:tc>
          <w:tcPr>
            <w:tcW w:w="990" w:type="dxa"/>
            <w:vMerge w:val="restart"/>
          </w:tcPr>
          <w:p>
            <w:pPr>
              <w:pStyle w:val="0"/>
              <w:jc w:val="center"/>
            </w:pPr>
            <w:r>
              <w:rPr>
                <w:sz w:val="20"/>
              </w:rPr>
              <w:t xml:space="preserve">250/200</w:t>
            </w:r>
          </w:p>
        </w:tc>
        <w:tc>
          <w:tcPr>
            <w:tcW w:w="794" w:type="dxa"/>
            <w:vMerge w:val="restart"/>
          </w:tcPr>
          <w:p>
            <w:pPr>
              <w:pStyle w:val="0"/>
              <w:jc w:val="center"/>
            </w:pPr>
            <w:r>
              <w:rPr>
                <w:sz w:val="20"/>
              </w:rPr>
              <w:t xml:space="preserve">50/50</w:t>
            </w:r>
          </w:p>
        </w:tc>
        <w:tc>
          <w:tcPr>
            <w:tcW w:w="825" w:type="dxa"/>
            <w:vMerge w:val="restart"/>
          </w:tcPr>
          <w:p>
            <w:pPr>
              <w:pStyle w:val="0"/>
              <w:jc w:val="center"/>
            </w:pPr>
            <w:r>
              <w:rPr>
                <w:sz w:val="20"/>
              </w:rPr>
              <w:t xml:space="preserve">100/75</w:t>
            </w:r>
          </w:p>
        </w:tc>
        <w:tc>
          <w:tcPr>
            <w:tcW w:w="990" w:type="dxa"/>
          </w:tcPr>
          <w:p>
            <w:pPr>
              <w:pStyle w:val="0"/>
              <w:jc w:val="center"/>
            </w:pPr>
            <w:r>
              <w:rPr>
                <w:sz w:val="20"/>
              </w:rPr>
              <w:t xml:space="preserve">20</w:t>
            </w:r>
          </w:p>
        </w:tc>
        <w:tc>
          <w:tcPr>
            <w:tcW w:w="990" w:type="dxa"/>
          </w:tcPr>
          <w:p>
            <w:pPr>
              <w:pStyle w:val="0"/>
              <w:jc w:val="center"/>
            </w:pPr>
            <w:r>
              <w:rPr>
                <w:sz w:val="20"/>
              </w:rPr>
              <w:t xml:space="preserve">20</w:t>
            </w:r>
          </w:p>
        </w:tc>
        <w:tc>
          <w:tcPr>
            <w:tcW w:w="990" w:type="dxa"/>
          </w:tcPr>
          <w:p>
            <w:pPr>
              <w:pStyle w:val="0"/>
              <w:jc w:val="center"/>
            </w:pPr>
            <w:r>
              <w:rPr>
                <w:sz w:val="20"/>
              </w:rPr>
              <w:t xml:space="preserve">50</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gridSpan w:val="3"/>
            <w:tcW w:w="2970" w:type="dxa"/>
          </w:tcPr>
          <w:p>
            <w:pPr>
              <w:pStyle w:val="0"/>
              <w:jc w:val="center"/>
            </w:pPr>
            <w:r>
              <w:rPr>
                <w:sz w:val="20"/>
              </w:rPr>
              <w:t xml:space="preserve">(но не менее 100 м от ближайшего наземного резервуара, резервуарного парка</w:t>
            </w:r>
          </w:p>
        </w:tc>
      </w:tr>
      <w:tr>
        <w:tc>
          <w:tcPr>
            <w:tcW w:w="3465" w:type="dxa"/>
          </w:tcPr>
          <w:p>
            <w:pPr>
              <w:pStyle w:val="0"/>
            </w:pPr>
            <w:r>
              <w:rPr>
                <w:sz w:val="20"/>
              </w:rPr>
              <w:t xml:space="preserve">7. Отдельно стоящие нежилые и подсобные здания (сараи и т.п.); устья бурящихся и эксплуатируемых нефтяных, газовых и артезианских скважин; гаражи и открытые стоянки для автомобилей индивидуальных владельцев на 20 автомобилей и менее; очистные сооружения и насосные станции канализации</w:t>
            </w:r>
          </w:p>
        </w:tc>
        <w:tc>
          <w:tcPr>
            <w:tcW w:w="990" w:type="dxa"/>
          </w:tcPr>
          <w:p>
            <w:pPr>
              <w:pStyle w:val="0"/>
              <w:jc w:val="center"/>
            </w:pPr>
            <w:r>
              <w:rPr>
                <w:sz w:val="20"/>
              </w:rPr>
              <w:t xml:space="preserve">50/50</w:t>
            </w:r>
          </w:p>
        </w:tc>
        <w:tc>
          <w:tcPr>
            <w:tcW w:w="1155" w:type="dxa"/>
          </w:tcPr>
          <w:p>
            <w:pPr>
              <w:pStyle w:val="0"/>
              <w:jc w:val="center"/>
            </w:pPr>
            <w:r>
              <w:rPr>
                <w:sz w:val="20"/>
              </w:rPr>
              <w:t xml:space="preserve">75/75</w:t>
            </w:r>
          </w:p>
        </w:tc>
        <w:tc>
          <w:tcPr>
            <w:tcW w:w="990" w:type="dxa"/>
          </w:tcPr>
          <w:p>
            <w:pPr>
              <w:pStyle w:val="0"/>
              <w:jc w:val="center"/>
            </w:pPr>
            <w:r>
              <w:rPr>
                <w:sz w:val="20"/>
              </w:rPr>
              <w:t xml:space="preserve">150/100</w:t>
            </w:r>
          </w:p>
        </w:tc>
        <w:tc>
          <w:tcPr>
            <w:tcW w:w="1155" w:type="dxa"/>
          </w:tcPr>
          <w:p>
            <w:pPr>
              <w:pStyle w:val="0"/>
              <w:jc w:val="center"/>
            </w:pPr>
            <w:r>
              <w:rPr>
                <w:sz w:val="20"/>
              </w:rPr>
              <w:t xml:space="preserve">200/150</w:t>
            </w:r>
          </w:p>
        </w:tc>
        <w:tc>
          <w:tcPr>
            <w:tcW w:w="680" w:type="dxa"/>
          </w:tcPr>
          <w:p>
            <w:pPr>
              <w:pStyle w:val="0"/>
              <w:jc w:val="center"/>
            </w:pPr>
            <w:r>
              <w:rPr>
                <w:sz w:val="20"/>
              </w:rPr>
              <w:t xml:space="preserve">225/175</w:t>
            </w:r>
          </w:p>
        </w:tc>
        <w:tc>
          <w:tcPr>
            <w:tcW w:w="990" w:type="dxa"/>
          </w:tcPr>
          <w:p>
            <w:pPr>
              <w:pStyle w:val="0"/>
              <w:jc w:val="center"/>
            </w:pPr>
            <w:r>
              <w:rPr>
                <w:sz w:val="20"/>
              </w:rPr>
              <w:t xml:space="preserve">250/200</w:t>
            </w:r>
          </w:p>
        </w:tc>
        <w:tc>
          <w:tcPr>
            <w:tcW w:w="794" w:type="dxa"/>
          </w:tcPr>
          <w:p>
            <w:pPr>
              <w:pStyle w:val="0"/>
              <w:jc w:val="center"/>
            </w:pPr>
            <w:r>
              <w:rPr>
                <w:sz w:val="20"/>
              </w:rPr>
              <w:t xml:space="preserve">50/30</w:t>
            </w:r>
          </w:p>
        </w:tc>
        <w:tc>
          <w:tcPr>
            <w:tcW w:w="825" w:type="dxa"/>
          </w:tcPr>
          <w:p>
            <w:pPr>
              <w:pStyle w:val="0"/>
              <w:jc w:val="center"/>
            </w:pPr>
            <w:r>
              <w:rPr>
                <w:sz w:val="20"/>
              </w:rPr>
              <w:t xml:space="preserve">75/50</w:t>
            </w:r>
          </w:p>
        </w:tc>
        <w:tc>
          <w:tcPr>
            <w:tcW w:w="990" w:type="dxa"/>
          </w:tcPr>
          <w:p>
            <w:pPr>
              <w:pStyle w:val="0"/>
              <w:jc w:val="center"/>
            </w:pPr>
            <w:r>
              <w:rPr>
                <w:sz w:val="20"/>
              </w:rPr>
              <w:t xml:space="preserve">30</w:t>
            </w:r>
          </w:p>
        </w:tc>
        <w:tc>
          <w:tcPr>
            <w:tcW w:w="990" w:type="dxa"/>
          </w:tcPr>
          <w:p>
            <w:pPr>
              <w:pStyle w:val="0"/>
              <w:jc w:val="center"/>
            </w:pPr>
            <w:r>
              <w:rPr>
                <w:sz w:val="20"/>
              </w:rPr>
              <w:t xml:space="preserve">50</w:t>
            </w:r>
          </w:p>
        </w:tc>
        <w:tc>
          <w:tcPr>
            <w:tcW w:w="990" w:type="dxa"/>
          </w:tcPr>
          <w:p>
            <w:pPr>
              <w:pStyle w:val="0"/>
              <w:jc w:val="center"/>
            </w:pPr>
            <w:r>
              <w:rPr>
                <w:sz w:val="20"/>
              </w:rPr>
              <w:t xml:space="preserve">75</w:t>
            </w:r>
          </w:p>
        </w:tc>
      </w:tr>
      <w:tr>
        <w:tc>
          <w:tcPr>
            <w:tcW w:w="3465" w:type="dxa"/>
          </w:tcPr>
          <w:p>
            <w:pPr>
              <w:pStyle w:val="0"/>
            </w:pPr>
            <w:r>
              <w:rPr>
                <w:sz w:val="20"/>
              </w:rPr>
              <w:t xml:space="preserve">8. Открытые распределительные устройства 35, 110, 220 кВ электроподстанций, питающих КС и НПС магистральных трубопроводов и других потребителей</w:t>
            </w:r>
          </w:p>
        </w:tc>
        <w:tc>
          <w:tcPr>
            <w:tcW w:w="990" w:type="dxa"/>
          </w:tcPr>
          <w:p>
            <w:pPr>
              <w:pStyle w:val="0"/>
              <w:jc w:val="center"/>
            </w:pPr>
            <w:r>
              <w:rPr>
                <w:sz w:val="20"/>
              </w:rPr>
              <w:t xml:space="preserve">100</w:t>
            </w:r>
          </w:p>
        </w:tc>
        <w:tc>
          <w:tcPr>
            <w:tcW w:w="1155" w:type="dxa"/>
          </w:tcPr>
          <w:p>
            <w:pPr>
              <w:pStyle w:val="0"/>
              <w:jc w:val="center"/>
            </w:pPr>
            <w:r>
              <w:rPr>
                <w:sz w:val="20"/>
              </w:rPr>
              <w:t xml:space="preserve">100</w:t>
            </w:r>
          </w:p>
        </w:tc>
        <w:tc>
          <w:tcPr>
            <w:tcW w:w="990" w:type="dxa"/>
          </w:tcPr>
          <w:p>
            <w:pPr>
              <w:pStyle w:val="0"/>
              <w:jc w:val="center"/>
            </w:pPr>
            <w:r>
              <w:rPr>
                <w:sz w:val="20"/>
              </w:rPr>
              <w:t xml:space="preserve">100</w:t>
            </w:r>
          </w:p>
        </w:tc>
        <w:tc>
          <w:tcPr>
            <w:tcW w:w="1155" w:type="dxa"/>
          </w:tcPr>
          <w:p>
            <w:pPr>
              <w:pStyle w:val="0"/>
              <w:jc w:val="center"/>
            </w:pPr>
            <w:r>
              <w:rPr>
                <w:sz w:val="20"/>
              </w:rPr>
              <w:t xml:space="preserve">100</w:t>
            </w:r>
          </w:p>
        </w:tc>
        <w:tc>
          <w:tcPr>
            <w:tcW w:w="680" w:type="dxa"/>
          </w:tcPr>
          <w:p>
            <w:pPr>
              <w:pStyle w:val="0"/>
              <w:jc w:val="center"/>
            </w:pPr>
            <w:r>
              <w:rPr>
                <w:sz w:val="20"/>
              </w:rPr>
              <w:t xml:space="preserve">100</w:t>
            </w:r>
          </w:p>
        </w:tc>
        <w:tc>
          <w:tcPr>
            <w:tcW w:w="990" w:type="dxa"/>
          </w:tcPr>
          <w:p>
            <w:pPr>
              <w:pStyle w:val="0"/>
              <w:jc w:val="center"/>
            </w:pPr>
            <w:r>
              <w:rPr>
                <w:sz w:val="20"/>
              </w:rPr>
              <w:t xml:space="preserve">100</w:t>
            </w:r>
          </w:p>
        </w:tc>
        <w:tc>
          <w:tcPr>
            <w:tcW w:w="794" w:type="dxa"/>
          </w:tcPr>
          <w:p>
            <w:pPr>
              <w:pStyle w:val="0"/>
              <w:jc w:val="center"/>
            </w:pPr>
            <w:r>
              <w:rPr>
                <w:sz w:val="20"/>
              </w:rPr>
              <w:t xml:space="preserve">100</w:t>
            </w:r>
          </w:p>
        </w:tc>
        <w:tc>
          <w:tcPr>
            <w:tcW w:w="825" w:type="dxa"/>
          </w:tcPr>
          <w:p>
            <w:pPr>
              <w:pStyle w:val="0"/>
              <w:jc w:val="center"/>
            </w:pPr>
            <w:r>
              <w:rPr>
                <w:sz w:val="20"/>
              </w:rPr>
              <w:t xml:space="preserve">100</w:t>
            </w:r>
          </w:p>
        </w:tc>
        <w:tc>
          <w:tcPr>
            <w:tcW w:w="990" w:type="dxa"/>
          </w:tcPr>
          <w:p>
            <w:pPr>
              <w:pStyle w:val="0"/>
              <w:jc w:val="center"/>
            </w:pPr>
            <w:r>
              <w:rPr>
                <w:sz w:val="20"/>
              </w:rPr>
              <w:t xml:space="preserve">100</w:t>
            </w:r>
          </w:p>
        </w:tc>
        <w:tc>
          <w:tcPr>
            <w:tcW w:w="990" w:type="dxa"/>
          </w:tcPr>
          <w:p>
            <w:pPr>
              <w:pStyle w:val="0"/>
              <w:jc w:val="center"/>
            </w:pPr>
            <w:r>
              <w:rPr>
                <w:sz w:val="20"/>
              </w:rPr>
              <w:t xml:space="preserve">100</w:t>
            </w:r>
          </w:p>
        </w:tc>
        <w:tc>
          <w:tcPr>
            <w:tcW w:w="990" w:type="dxa"/>
          </w:tcPr>
          <w:p>
            <w:pPr>
              <w:pStyle w:val="0"/>
              <w:jc w:val="center"/>
            </w:pPr>
            <w:r>
              <w:rPr>
                <w:sz w:val="20"/>
              </w:rPr>
              <w:t xml:space="preserve">100</w:t>
            </w:r>
          </w:p>
        </w:tc>
      </w:tr>
      <w:tr>
        <w:tc>
          <w:tcPr>
            <w:tcW w:w="3465" w:type="dxa"/>
          </w:tcPr>
          <w:p>
            <w:pPr>
              <w:pStyle w:val="0"/>
            </w:pPr>
            <w:r>
              <w:rPr>
                <w:sz w:val="20"/>
              </w:rPr>
              <w:t xml:space="preserve">9. Лесные массивы пород:</w:t>
            </w:r>
          </w:p>
        </w:tc>
        <w:tc>
          <w:tcPr>
            <w:tcW w:w="990" w:type="dxa"/>
          </w:tcPr>
          <w:p>
            <w:pPr>
              <w:pStyle w:val="0"/>
              <w:jc w:val="center"/>
            </w:pPr>
            <w:r>
              <w:rPr>
                <w:sz w:val="20"/>
              </w:rPr>
            </w:r>
          </w:p>
        </w:tc>
        <w:tc>
          <w:tcPr>
            <w:tcW w:w="1155" w:type="dxa"/>
          </w:tcPr>
          <w:p>
            <w:pPr>
              <w:pStyle w:val="0"/>
              <w:jc w:val="center"/>
            </w:pPr>
            <w:r>
              <w:rPr>
                <w:sz w:val="20"/>
              </w:rPr>
            </w:r>
          </w:p>
        </w:tc>
        <w:tc>
          <w:tcPr>
            <w:tcW w:w="990" w:type="dxa"/>
          </w:tcPr>
          <w:p>
            <w:pPr>
              <w:pStyle w:val="0"/>
              <w:jc w:val="center"/>
            </w:pPr>
            <w:r>
              <w:rPr>
                <w:sz w:val="20"/>
              </w:rPr>
            </w:r>
          </w:p>
        </w:tc>
        <w:tc>
          <w:tcPr>
            <w:tcW w:w="1155" w:type="dxa"/>
          </w:tcPr>
          <w:p>
            <w:pPr>
              <w:pStyle w:val="0"/>
              <w:jc w:val="center"/>
            </w:pPr>
            <w:r>
              <w:rPr>
                <w:sz w:val="20"/>
              </w:rPr>
            </w:r>
          </w:p>
        </w:tc>
        <w:tc>
          <w:tcPr>
            <w:tcW w:w="680" w:type="dxa"/>
          </w:tcPr>
          <w:p>
            <w:pPr>
              <w:pStyle w:val="0"/>
              <w:jc w:val="center"/>
            </w:pPr>
            <w:r>
              <w:rPr>
                <w:sz w:val="20"/>
              </w:rPr>
            </w:r>
          </w:p>
        </w:tc>
        <w:tc>
          <w:tcPr>
            <w:tcW w:w="990" w:type="dxa"/>
          </w:tcPr>
          <w:p>
            <w:pPr>
              <w:pStyle w:val="0"/>
              <w:jc w:val="center"/>
            </w:pPr>
            <w:r>
              <w:rPr>
                <w:sz w:val="20"/>
              </w:rPr>
            </w:r>
          </w:p>
        </w:tc>
        <w:tc>
          <w:tcPr>
            <w:tcW w:w="794"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990" w:type="dxa"/>
          </w:tcPr>
          <w:p>
            <w:pPr>
              <w:pStyle w:val="0"/>
              <w:jc w:val="center"/>
            </w:pPr>
            <w:r>
              <w:rPr>
                <w:sz w:val="20"/>
              </w:rPr>
            </w:r>
          </w:p>
        </w:tc>
        <w:tc>
          <w:tcPr>
            <w:tcW w:w="990" w:type="dxa"/>
          </w:tcPr>
          <w:p>
            <w:pPr>
              <w:pStyle w:val="0"/>
              <w:jc w:val="center"/>
            </w:pPr>
            <w:r>
              <w:rPr>
                <w:sz w:val="20"/>
              </w:rPr>
            </w:r>
          </w:p>
        </w:tc>
      </w:tr>
      <w:tr>
        <w:tc>
          <w:tcPr>
            <w:tcW w:w="3465" w:type="dxa"/>
          </w:tcPr>
          <w:p>
            <w:pPr>
              <w:pStyle w:val="0"/>
            </w:pPr>
            <w:r>
              <w:rPr>
                <w:sz w:val="20"/>
              </w:rPr>
              <w:t xml:space="preserve">а) хвойных</w:t>
            </w:r>
          </w:p>
        </w:tc>
        <w:tc>
          <w:tcPr>
            <w:tcW w:w="990" w:type="dxa"/>
          </w:tcPr>
          <w:p>
            <w:pPr>
              <w:pStyle w:val="0"/>
              <w:jc w:val="center"/>
            </w:pPr>
            <w:r>
              <w:rPr>
                <w:sz w:val="20"/>
              </w:rPr>
              <w:t xml:space="preserve">50</w:t>
            </w:r>
          </w:p>
        </w:tc>
        <w:tc>
          <w:tcPr>
            <w:tcW w:w="1155" w:type="dxa"/>
          </w:tcPr>
          <w:p>
            <w:pPr>
              <w:pStyle w:val="0"/>
              <w:jc w:val="center"/>
            </w:pPr>
            <w:r>
              <w:rPr>
                <w:sz w:val="20"/>
              </w:rPr>
              <w:t xml:space="preserve">50</w:t>
            </w:r>
          </w:p>
        </w:tc>
        <w:tc>
          <w:tcPr>
            <w:tcW w:w="990" w:type="dxa"/>
          </w:tcPr>
          <w:p>
            <w:pPr>
              <w:pStyle w:val="0"/>
              <w:jc w:val="center"/>
            </w:pPr>
            <w:r>
              <w:rPr>
                <w:sz w:val="20"/>
              </w:rPr>
              <w:t xml:space="preserve">50</w:t>
            </w:r>
          </w:p>
        </w:tc>
        <w:tc>
          <w:tcPr>
            <w:tcW w:w="1155" w:type="dxa"/>
          </w:tcPr>
          <w:p>
            <w:pPr>
              <w:pStyle w:val="0"/>
              <w:jc w:val="center"/>
            </w:pPr>
            <w:r>
              <w:rPr>
                <w:sz w:val="20"/>
              </w:rPr>
              <w:t xml:space="preserve">75</w:t>
            </w:r>
          </w:p>
        </w:tc>
        <w:tc>
          <w:tcPr>
            <w:tcW w:w="680" w:type="dxa"/>
          </w:tcPr>
          <w:p>
            <w:pPr>
              <w:pStyle w:val="0"/>
              <w:jc w:val="center"/>
            </w:pPr>
            <w:r>
              <w:rPr>
                <w:sz w:val="20"/>
              </w:rPr>
              <w:t xml:space="preserve">75</w:t>
            </w:r>
          </w:p>
        </w:tc>
        <w:tc>
          <w:tcPr>
            <w:tcW w:w="990" w:type="dxa"/>
          </w:tcPr>
          <w:p>
            <w:pPr>
              <w:pStyle w:val="0"/>
              <w:jc w:val="center"/>
            </w:pPr>
            <w:r>
              <w:rPr>
                <w:sz w:val="20"/>
              </w:rPr>
              <w:t xml:space="preserve">75</w:t>
            </w:r>
          </w:p>
        </w:tc>
        <w:tc>
          <w:tcPr>
            <w:tcW w:w="794" w:type="dxa"/>
          </w:tcPr>
          <w:p>
            <w:pPr>
              <w:pStyle w:val="0"/>
              <w:jc w:val="center"/>
            </w:pPr>
            <w:r>
              <w:rPr>
                <w:sz w:val="20"/>
              </w:rPr>
              <w:t xml:space="preserve">50</w:t>
            </w:r>
          </w:p>
        </w:tc>
        <w:tc>
          <w:tcPr>
            <w:tcW w:w="825" w:type="dxa"/>
          </w:tcPr>
          <w:p>
            <w:pPr>
              <w:pStyle w:val="0"/>
              <w:jc w:val="center"/>
            </w:pPr>
            <w:r>
              <w:rPr>
                <w:sz w:val="20"/>
              </w:rPr>
              <w:t xml:space="preserve">50</w:t>
            </w:r>
          </w:p>
        </w:tc>
        <w:tc>
          <w:tcPr>
            <w:tcW w:w="990" w:type="dxa"/>
          </w:tcPr>
          <w:p>
            <w:pPr>
              <w:pStyle w:val="0"/>
              <w:jc w:val="center"/>
            </w:pPr>
            <w:r>
              <w:rPr>
                <w:sz w:val="20"/>
              </w:rPr>
              <w:t xml:space="preserve">50</w:t>
            </w:r>
          </w:p>
        </w:tc>
        <w:tc>
          <w:tcPr>
            <w:tcW w:w="990" w:type="dxa"/>
          </w:tcPr>
          <w:p>
            <w:pPr>
              <w:pStyle w:val="0"/>
              <w:jc w:val="center"/>
            </w:pPr>
            <w:r>
              <w:rPr>
                <w:sz w:val="20"/>
              </w:rPr>
              <w:t xml:space="preserve">50</w:t>
            </w:r>
          </w:p>
        </w:tc>
        <w:tc>
          <w:tcPr>
            <w:tcW w:w="990" w:type="dxa"/>
          </w:tcPr>
          <w:p>
            <w:pPr>
              <w:pStyle w:val="0"/>
              <w:jc w:val="center"/>
            </w:pPr>
            <w:r>
              <w:rPr>
                <w:sz w:val="20"/>
              </w:rPr>
              <w:t xml:space="preserve">50</w:t>
            </w:r>
          </w:p>
        </w:tc>
      </w:tr>
      <w:tr>
        <w:tc>
          <w:tcPr>
            <w:tcW w:w="3465" w:type="dxa"/>
          </w:tcPr>
          <w:p>
            <w:pPr>
              <w:pStyle w:val="0"/>
            </w:pPr>
            <w:r>
              <w:rPr>
                <w:sz w:val="20"/>
              </w:rPr>
              <w:t xml:space="preserve">б) лиственных</w:t>
            </w:r>
          </w:p>
        </w:tc>
        <w:tc>
          <w:tcPr>
            <w:tcW w:w="990" w:type="dxa"/>
          </w:tcPr>
          <w:p>
            <w:pPr>
              <w:pStyle w:val="0"/>
              <w:jc w:val="center"/>
            </w:pPr>
            <w:r>
              <w:rPr>
                <w:sz w:val="20"/>
              </w:rPr>
              <w:t xml:space="preserve">20</w:t>
            </w:r>
          </w:p>
        </w:tc>
        <w:tc>
          <w:tcPr>
            <w:tcW w:w="1155" w:type="dxa"/>
          </w:tcPr>
          <w:p>
            <w:pPr>
              <w:pStyle w:val="0"/>
              <w:jc w:val="center"/>
            </w:pPr>
            <w:r>
              <w:rPr>
                <w:sz w:val="20"/>
              </w:rPr>
              <w:t xml:space="preserve">20</w:t>
            </w:r>
          </w:p>
        </w:tc>
        <w:tc>
          <w:tcPr>
            <w:tcW w:w="990" w:type="dxa"/>
          </w:tcPr>
          <w:p>
            <w:pPr>
              <w:pStyle w:val="0"/>
              <w:jc w:val="center"/>
            </w:pPr>
            <w:r>
              <w:rPr>
                <w:sz w:val="20"/>
              </w:rPr>
              <w:t xml:space="preserve">20</w:t>
            </w:r>
          </w:p>
        </w:tc>
        <w:tc>
          <w:tcPr>
            <w:tcW w:w="1155" w:type="dxa"/>
          </w:tcPr>
          <w:p>
            <w:pPr>
              <w:pStyle w:val="0"/>
              <w:jc w:val="center"/>
            </w:pPr>
            <w:r>
              <w:rPr>
                <w:sz w:val="20"/>
              </w:rPr>
              <w:t xml:space="preserve">30</w:t>
            </w:r>
          </w:p>
        </w:tc>
        <w:tc>
          <w:tcPr>
            <w:tcW w:w="680" w:type="dxa"/>
          </w:tcPr>
          <w:p>
            <w:pPr>
              <w:pStyle w:val="0"/>
              <w:jc w:val="center"/>
            </w:pPr>
            <w:r>
              <w:rPr>
                <w:sz w:val="20"/>
              </w:rPr>
              <w:t xml:space="preserve">30</w:t>
            </w:r>
          </w:p>
        </w:tc>
        <w:tc>
          <w:tcPr>
            <w:tcW w:w="990" w:type="dxa"/>
          </w:tcPr>
          <w:p>
            <w:pPr>
              <w:pStyle w:val="0"/>
              <w:jc w:val="center"/>
            </w:pPr>
            <w:r>
              <w:rPr>
                <w:sz w:val="20"/>
              </w:rPr>
              <w:t xml:space="preserve">30</w:t>
            </w:r>
          </w:p>
        </w:tc>
        <w:tc>
          <w:tcPr>
            <w:tcW w:w="794" w:type="dxa"/>
          </w:tcPr>
          <w:p>
            <w:pPr>
              <w:pStyle w:val="0"/>
              <w:jc w:val="center"/>
            </w:pPr>
            <w:r>
              <w:rPr>
                <w:sz w:val="20"/>
              </w:rPr>
              <w:t xml:space="preserve">20</w:t>
            </w:r>
          </w:p>
        </w:tc>
        <w:tc>
          <w:tcPr>
            <w:tcW w:w="825" w:type="dxa"/>
          </w:tcPr>
          <w:p>
            <w:pPr>
              <w:pStyle w:val="0"/>
              <w:jc w:val="center"/>
            </w:pPr>
            <w:r>
              <w:rPr>
                <w:sz w:val="20"/>
              </w:rPr>
              <w:t xml:space="preserve">20</w:t>
            </w:r>
          </w:p>
        </w:tc>
        <w:tc>
          <w:tcPr>
            <w:tcW w:w="990" w:type="dxa"/>
          </w:tcPr>
          <w:p>
            <w:pPr>
              <w:pStyle w:val="0"/>
              <w:jc w:val="center"/>
            </w:pPr>
            <w:r>
              <w:rPr>
                <w:sz w:val="20"/>
              </w:rPr>
              <w:t xml:space="preserve">20</w:t>
            </w:r>
          </w:p>
        </w:tc>
        <w:tc>
          <w:tcPr>
            <w:tcW w:w="990" w:type="dxa"/>
          </w:tcPr>
          <w:p>
            <w:pPr>
              <w:pStyle w:val="0"/>
              <w:jc w:val="center"/>
            </w:pPr>
            <w:r>
              <w:rPr>
                <w:sz w:val="20"/>
              </w:rPr>
              <w:t xml:space="preserve">20</w:t>
            </w:r>
          </w:p>
        </w:tc>
        <w:tc>
          <w:tcPr>
            <w:tcW w:w="990" w:type="dxa"/>
          </w:tcPr>
          <w:p>
            <w:pPr>
              <w:pStyle w:val="0"/>
              <w:jc w:val="center"/>
            </w:pPr>
            <w:r>
              <w:rPr>
                <w:sz w:val="20"/>
              </w:rPr>
              <w:t xml:space="preserve">20</w:t>
            </w:r>
          </w:p>
        </w:tc>
      </w:tr>
      <w:tr>
        <w:tc>
          <w:tcPr>
            <w:tcW w:w="3465" w:type="dxa"/>
          </w:tcPr>
          <w:p>
            <w:pPr>
              <w:pStyle w:val="0"/>
            </w:pPr>
            <w:r>
              <w:rPr>
                <w:sz w:val="20"/>
              </w:rPr>
              <w:t xml:space="preserve">10. Вертодромы и посадочные площадки без базирования на них вертолетов:</w:t>
            </w:r>
          </w:p>
        </w:tc>
        <w:tc>
          <w:tcPr>
            <w:tcW w:w="990" w:type="dxa"/>
          </w:tcPr>
          <w:p>
            <w:pPr>
              <w:pStyle w:val="0"/>
              <w:jc w:val="center"/>
            </w:pPr>
            <w:r>
              <w:rPr>
                <w:sz w:val="20"/>
              </w:rPr>
            </w:r>
          </w:p>
        </w:tc>
        <w:tc>
          <w:tcPr>
            <w:tcW w:w="1155" w:type="dxa"/>
          </w:tcPr>
          <w:p>
            <w:pPr>
              <w:pStyle w:val="0"/>
              <w:jc w:val="center"/>
            </w:pPr>
            <w:r>
              <w:rPr>
                <w:sz w:val="20"/>
              </w:rPr>
            </w:r>
          </w:p>
        </w:tc>
        <w:tc>
          <w:tcPr>
            <w:tcW w:w="990" w:type="dxa"/>
          </w:tcPr>
          <w:p>
            <w:pPr>
              <w:pStyle w:val="0"/>
              <w:jc w:val="center"/>
            </w:pPr>
            <w:r>
              <w:rPr>
                <w:sz w:val="20"/>
              </w:rPr>
            </w:r>
          </w:p>
        </w:tc>
        <w:tc>
          <w:tcPr>
            <w:tcW w:w="1155" w:type="dxa"/>
          </w:tcPr>
          <w:p>
            <w:pPr>
              <w:pStyle w:val="0"/>
              <w:jc w:val="center"/>
            </w:pPr>
            <w:r>
              <w:rPr>
                <w:sz w:val="20"/>
              </w:rPr>
            </w:r>
          </w:p>
        </w:tc>
        <w:tc>
          <w:tcPr>
            <w:tcW w:w="680" w:type="dxa"/>
          </w:tcPr>
          <w:p>
            <w:pPr>
              <w:pStyle w:val="0"/>
              <w:jc w:val="center"/>
            </w:pPr>
            <w:r>
              <w:rPr>
                <w:sz w:val="20"/>
              </w:rPr>
            </w:r>
          </w:p>
        </w:tc>
        <w:tc>
          <w:tcPr>
            <w:tcW w:w="990" w:type="dxa"/>
          </w:tcPr>
          <w:p>
            <w:pPr>
              <w:pStyle w:val="0"/>
              <w:jc w:val="center"/>
            </w:pPr>
            <w:r>
              <w:rPr>
                <w:sz w:val="20"/>
              </w:rPr>
            </w:r>
          </w:p>
        </w:tc>
        <w:tc>
          <w:tcPr>
            <w:tcW w:w="794" w:type="dxa"/>
          </w:tcPr>
          <w:p>
            <w:pPr>
              <w:pStyle w:val="0"/>
              <w:jc w:val="center"/>
            </w:pPr>
            <w:r>
              <w:rPr>
                <w:sz w:val="20"/>
              </w:rPr>
            </w:r>
          </w:p>
        </w:tc>
        <w:tc>
          <w:tcPr>
            <w:tcW w:w="825" w:type="dxa"/>
          </w:tcPr>
          <w:p>
            <w:pPr>
              <w:pStyle w:val="0"/>
              <w:jc w:val="center"/>
            </w:pPr>
            <w:r>
              <w:rPr>
                <w:sz w:val="20"/>
              </w:rPr>
            </w:r>
          </w:p>
        </w:tc>
        <w:tc>
          <w:tcPr>
            <w:tcW w:w="990" w:type="dxa"/>
          </w:tcPr>
          <w:p>
            <w:pPr>
              <w:pStyle w:val="0"/>
              <w:jc w:val="center"/>
            </w:pPr>
            <w:r>
              <w:rPr>
                <w:sz w:val="20"/>
              </w:rPr>
            </w:r>
          </w:p>
        </w:tc>
        <w:tc>
          <w:tcPr>
            <w:tcW w:w="990" w:type="dxa"/>
          </w:tcPr>
          <w:p>
            <w:pPr>
              <w:pStyle w:val="0"/>
              <w:jc w:val="center"/>
            </w:pPr>
            <w:r>
              <w:rPr>
                <w:sz w:val="20"/>
              </w:rPr>
            </w:r>
          </w:p>
        </w:tc>
        <w:tc>
          <w:tcPr>
            <w:tcW w:w="990" w:type="dxa"/>
          </w:tcPr>
          <w:p>
            <w:pPr>
              <w:pStyle w:val="0"/>
              <w:jc w:val="center"/>
            </w:pPr>
            <w:r>
              <w:rPr>
                <w:sz w:val="20"/>
              </w:rPr>
            </w:r>
          </w:p>
        </w:tc>
      </w:tr>
      <w:tr>
        <w:tc>
          <w:tcPr>
            <w:tcW w:w="3465" w:type="dxa"/>
          </w:tcPr>
          <w:p>
            <w:pPr>
              <w:pStyle w:val="0"/>
            </w:pPr>
            <w:r>
              <w:rPr>
                <w:sz w:val="20"/>
              </w:rPr>
              <w:t xml:space="preserve">тяжелых типа МИ-6, МИ-10</w:t>
            </w:r>
          </w:p>
        </w:tc>
        <w:tc>
          <w:tcPr>
            <w:tcW w:w="990" w:type="dxa"/>
          </w:tcPr>
          <w:p>
            <w:pPr>
              <w:pStyle w:val="0"/>
              <w:jc w:val="center"/>
            </w:pPr>
            <w:r>
              <w:rPr>
                <w:sz w:val="20"/>
              </w:rPr>
              <w:t xml:space="preserve">100</w:t>
            </w:r>
          </w:p>
        </w:tc>
        <w:tc>
          <w:tcPr>
            <w:tcW w:w="1155" w:type="dxa"/>
          </w:tcPr>
          <w:p>
            <w:pPr>
              <w:pStyle w:val="0"/>
              <w:jc w:val="center"/>
            </w:pPr>
            <w:r>
              <w:rPr>
                <w:sz w:val="20"/>
              </w:rPr>
              <w:t xml:space="preserve">100</w:t>
            </w:r>
          </w:p>
        </w:tc>
        <w:tc>
          <w:tcPr>
            <w:tcW w:w="990" w:type="dxa"/>
          </w:tcPr>
          <w:p>
            <w:pPr>
              <w:pStyle w:val="0"/>
              <w:jc w:val="center"/>
            </w:pPr>
            <w:r>
              <w:rPr>
                <w:sz w:val="20"/>
              </w:rPr>
              <w:t xml:space="preserve">150</w:t>
            </w:r>
          </w:p>
        </w:tc>
        <w:tc>
          <w:tcPr>
            <w:tcW w:w="1155" w:type="dxa"/>
          </w:tcPr>
          <w:p>
            <w:pPr>
              <w:pStyle w:val="0"/>
              <w:jc w:val="center"/>
            </w:pPr>
            <w:r>
              <w:rPr>
                <w:sz w:val="20"/>
              </w:rPr>
              <w:t xml:space="preserve">200</w:t>
            </w:r>
          </w:p>
        </w:tc>
        <w:tc>
          <w:tcPr>
            <w:tcW w:w="680" w:type="dxa"/>
          </w:tcPr>
          <w:p>
            <w:pPr>
              <w:pStyle w:val="0"/>
              <w:jc w:val="center"/>
            </w:pPr>
            <w:r>
              <w:rPr>
                <w:sz w:val="20"/>
              </w:rPr>
              <w:t xml:space="preserve">225</w:t>
            </w:r>
          </w:p>
        </w:tc>
        <w:tc>
          <w:tcPr>
            <w:tcW w:w="990" w:type="dxa"/>
          </w:tcPr>
          <w:p>
            <w:pPr>
              <w:pStyle w:val="0"/>
              <w:jc w:val="center"/>
            </w:pPr>
            <w:r>
              <w:rPr>
                <w:sz w:val="20"/>
              </w:rPr>
              <w:t xml:space="preserve">250</w:t>
            </w:r>
          </w:p>
        </w:tc>
        <w:tc>
          <w:tcPr>
            <w:tcW w:w="794" w:type="dxa"/>
          </w:tcPr>
          <w:p>
            <w:pPr>
              <w:pStyle w:val="0"/>
              <w:jc w:val="center"/>
            </w:pPr>
            <w:r>
              <w:rPr>
                <w:sz w:val="20"/>
              </w:rPr>
              <w:t xml:space="preserve">100</w:t>
            </w:r>
          </w:p>
        </w:tc>
        <w:tc>
          <w:tcPr>
            <w:tcW w:w="825" w:type="dxa"/>
          </w:tcPr>
          <w:p>
            <w:pPr>
              <w:pStyle w:val="0"/>
              <w:jc w:val="center"/>
            </w:pPr>
            <w:r>
              <w:rPr>
                <w:sz w:val="20"/>
              </w:rPr>
              <w:t xml:space="preserve">100</w:t>
            </w:r>
          </w:p>
        </w:tc>
        <w:tc>
          <w:tcPr>
            <w:tcW w:w="990" w:type="dxa"/>
          </w:tcPr>
          <w:p>
            <w:pPr>
              <w:pStyle w:val="0"/>
              <w:jc w:val="center"/>
            </w:pPr>
            <w:r>
              <w:rPr>
                <w:sz w:val="20"/>
              </w:rPr>
              <w:t xml:space="preserve">100</w:t>
            </w:r>
          </w:p>
        </w:tc>
        <w:tc>
          <w:tcPr>
            <w:tcW w:w="990" w:type="dxa"/>
          </w:tcPr>
          <w:p>
            <w:pPr>
              <w:pStyle w:val="0"/>
              <w:jc w:val="center"/>
            </w:pPr>
            <w:r>
              <w:rPr>
                <w:sz w:val="20"/>
              </w:rPr>
              <w:t xml:space="preserve">100</w:t>
            </w:r>
          </w:p>
        </w:tc>
        <w:tc>
          <w:tcPr>
            <w:tcW w:w="990" w:type="dxa"/>
          </w:tcPr>
          <w:p>
            <w:pPr>
              <w:pStyle w:val="0"/>
              <w:jc w:val="center"/>
            </w:pPr>
            <w:r>
              <w:rPr>
                <w:sz w:val="20"/>
              </w:rPr>
              <w:t xml:space="preserve">100</w:t>
            </w:r>
          </w:p>
        </w:tc>
      </w:tr>
      <w:tr>
        <w:tc>
          <w:tcPr>
            <w:tcW w:w="3465" w:type="dxa"/>
          </w:tcPr>
          <w:p>
            <w:pPr>
              <w:pStyle w:val="0"/>
            </w:pPr>
            <w:r>
              <w:rPr>
                <w:sz w:val="20"/>
              </w:rPr>
              <w:t xml:space="preserve">средних типа МИ-4, МИ-8</w:t>
            </w:r>
          </w:p>
        </w:tc>
        <w:tc>
          <w:tcPr>
            <w:tcW w:w="990" w:type="dxa"/>
          </w:tcPr>
          <w:p>
            <w:pPr>
              <w:pStyle w:val="0"/>
              <w:jc w:val="center"/>
            </w:pPr>
            <w:r>
              <w:rPr>
                <w:sz w:val="20"/>
              </w:rPr>
              <w:t xml:space="preserve">75</w:t>
            </w:r>
          </w:p>
        </w:tc>
        <w:tc>
          <w:tcPr>
            <w:tcW w:w="1155" w:type="dxa"/>
          </w:tcPr>
          <w:p>
            <w:pPr>
              <w:pStyle w:val="0"/>
              <w:jc w:val="center"/>
            </w:pPr>
            <w:r>
              <w:rPr>
                <w:sz w:val="20"/>
              </w:rPr>
              <w:t xml:space="preserve">75</w:t>
            </w:r>
          </w:p>
        </w:tc>
        <w:tc>
          <w:tcPr>
            <w:tcW w:w="990" w:type="dxa"/>
          </w:tcPr>
          <w:p>
            <w:pPr>
              <w:pStyle w:val="0"/>
              <w:jc w:val="center"/>
            </w:pPr>
            <w:r>
              <w:rPr>
                <w:sz w:val="20"/>
              </w:rPr>
              <w:t xml:space="preserve">150</w:t>
            </w:r>
          </w:p>
        </w:tc>
        <w:tc>
          <w:tcPr>
            <w:tcW w:w="1155" w:type="dxa"/>
          </w:tcPr>
          <w:p>
            <w:pPr>
              <w:pStyle w:val="0"/>
              <w:jc w:val="center"/>
            </w:pPr>
            <w:r>
              <w:rPr>
                <w:sz w:val="20"/>
              </w:rPr>
              <w:t xml:space="preserve">200</w:t>
            </w:r>
          </w:p>
        </w:tc>
        <w:tc>
          <w:tcPr>
            <w:tcW w:w="680" w:type="dxa"/>
          </w:tcPr>
          <w:p>
            <w:pPr>
              <w:pStyle w:val="0"/>
              <w:jc w:val="center"/>
            </w:pPr>
            <w:r>
              <w:rPr>
                <w:sz w:val="20"/>
              </w:rPr>
              <w:t xml:space="preserve">225</w:t>
            </w:r>
          </w:p>
        </w:tc>
        <w:tc>
          <w:tcPr>
            <w:tcW w:w="990" w:type="dxa"/>
          </w:tcPr>
          <w:p>
            <w:pPr>
              <w:pStyle w:val="0"/>
              <w:jc w:val="center"/>
            </w:pPr>
            <w:r>
              <w:rPr>
                <w:sz w:val="20"/>
              </w:rPr>
              <w:t xml:space="preserve">250</w:t>
            </w:r>
          </w:p>
        </w:tc>
        <w:tc>
          <w:tcPr>
            <w:tcW w:w="794" w:type="dxa"/>
          </w:tcPr>
          <w:p>
            <w:pPr>
              <w:pStyle w:val="0"/>
              <w:jc w:val="center"/>
            </w:pPr>
            <w:r>
              <w:rPr>
                <w:sz w:val="20"/>
              </w:rPr>
              <w:t xml:space="preserve">75</w:t>
            </w:r>
          </w:p>
        </w:tc>
        <w:tc>
          <w:tcPr>
            <w:tcW w:w="825" w:type="dxa"/>
          </w:tcPr>
          <w:p>
            <w:pPr>
              <w:pStyle w:val="0"/>
              <w:jc w:val="center"/>
            </w:pPr>
            <w:r>
              <w:rPr>
                <w:sz w:val="20"/>
              </w:rPr>
              <w:t xml:space="preserve">75</w:t>
            </w:r>
          </w:p>
        </w:tc>
        <w:tc>
          <w:tcPr>
            <w:tcW w:w="990" w:type="dxa"/>
          </w:tcPr>
          <w:p>
            <w:pPr>
              <w:pStyle w:val="0"/>
              <w:jc w:val="center"/>
            </w:pPr>
            <w:r>
              <w:rPr>
                <w:sz w:val="20"/>
              </w:rPr>
              <w:t xml:space="preserve">75</w:t>
            </w:r>
          </w:p>
        </w:tc>
        <w:tc>
          <w:tcPr>
            <w:tcW w:w="990" w:type="dxa"/>
          </w:tcPr>
          <w:p>
            <w:pPr>
              <w:pStyle w:val="0"/>
              <w:jc w:val="center"/>
            </w:pPr>
            <w:r>
              <w:rPr>
                <w:sz w:val="20"/>
              </w:rPr>
              <w:t xml:space="preserve">75</w:t>
            </w:r>
          </w:p>
        </w:tc>
        <w:tc>
          <w:tcPr>
            <w:tcW w:w="990" w:type="dxa"/>
          </w:tcPr>
          <w:p>
            <w:pPr>
              <w:pStyle w:val="0"/>
              <w:jc w:val="center"/>
            </w:pPr>
            <w:r>
              <w:rPr>
                <w:sz w:val="20"/>
              </w:rPr>
              <w:t xml:space="preserve">75</w:t>
            </w:r>
          </w:p>
        </w:tc>
      </w:tr>
      <w:tr>
        <w:tc>
          <w:tcPr>
            <w:tcW w:w="3465" w:type="dxa"/>
          </w:tcPr>
          <w:p>
            <w:pPr>
              <w:pStyle w:val="0"/>
            </w:pPr>
            <w:r>
              <w:rPr>
                <w:sz w:val="20"/>
              </w:rPr>
              <w:t xml:space="preserve">легких типа МИ-2, КА-26</w:t>
            </w:r>
          </w:p>
        </w:tc>
        <w:tc>
          <w:tcPr>
            <w:tcW w:w="990" w:type="dxa"/>
          </w:tcPr>
          <w:p>
            <w:pPr>
              <w:pStyle w:val="0"/>
              <w:jc w:val="center"/>
            </w:pPr>
            <w:r>
              <w:rPr>
                <w:sz w:val="20"/>
              </w:rPr>
              <w:t xml:space="preserve">60</w:t>
            </w:r>
          </w:p>
        </w:tc>
        <w:tc>
          <w:tcPr>
            <w:tcW w:w="1155" w:type="dxa"/>
          </w:tcPr>
          <w:p>
            <w:pPr>
              <w:pStyle w:val="0"/>
              <w:jc w:val="center"/>
            </w:pPr>
            <w:r>
              <w:rPr>
                <w:sz w:val="20"/>
              </w:rPr>
              <w:t xml:space="preserve">75</w:t>
            </w:r>
          </w:p>
        </w:tc>
        <w:tc>
          <w:tcPr>
            <w:tcW w:w="990" w:type="dxa"/>
          </w:tcPr>
          <w:p>
            <w:pPr>
              <w:pStyle w:val="0"/>
              <w:jc w:val="center"/>
            </w:pPr>
            <w:r>
              <w:rPr>
                <w:sz w:val="20"/>
              </w:rPr>
              <w:t xml:space="preserve">150</w:t>
            </w:r>
          </w:p>
        </w:tc>
        <w:tc>
          <w:tcPr>
            <w:tcW w:w="1155" w:type="dxa"/>
          </w:tcPr>
          <w:p>
            <w:pPr>
              <w:pStyle w:val="0"/>
              <w:jc w:val="center"/>
            </w:pPr>
            <w:r>
              <w:rPr>
                <w:sz w:val="20"/>
              </w:rPr>
              <w:t xml:space="preserve">200</w:t>
            </w:r>
          </w:p>
        </w:tc>
        <w:tc>
          <w:tcPr>
            <w:tcW w:w="680" w:type="dxa"/>
          </w:tcPr>
          <w:p>
            <w:pPr>
              <w:pStyle w:val="0"/>
              <w:jc w:val="center"/>
            </w:pPr>
            <w:r>
              <w:rPr>
                <w:sz w:val="20"/>
              </w:rPr>
              <w:t xml:space="preserve">225</w:t>
            </w:r>
          </w:p>
        </w:tc>
        <w:tc>
          <w:tcPr>
            <w:tcW w:w="990" w:type="dxa"/>
          </w:tcPr>
          <w:p>
            <w:pPr>
              <w:pStyle w:val="0"/>
              <w:jc w:val="center"/>
            </w:pPr>
            <w:r>
              <w:rPr>
                <w:sz w:val="20"/>
              </w:rPr>
              <w:t xml:space="preserve">250</w:t>
            </w:r>
          </w:p>
        </w:tc>
        <w:tc>
          <w:tcPr>
            <w:tcW w:w="794" w:type="dxa"/>
          </w:tcPr>
          <w:p>
            <w:pPr>
              <w:pStyle w:val="0"/>
              <w:jc w:val="center"/>
            </w:pPr>
            <w:r>
              <w:rPr>
                <w:sz w:val="20"/>
              </w:rPr>
              <w:t xml:space="preserve">60</w:t>
            </w:r>
          </w:p>
        </w:tc>
        <w:tc>
          <w:tcPr>
            <w:tcW w:w="825" w:type="dxa"/>
          </w:tcPr>
          <w:p>
            <w:pPr>
              <w:pStyle w:val="0"/>
              <w:jc w:val="center"/>
            </w:pPr>
            <w:r>
              <w:rPr>
                <w:sz w:val="20"/>
              </w:rPr>
              <w:t xml:space="preserve">60</w:t>
            </w:r>
          </w:p>
        </w:tc>
        <w:tc>
          <w:tcPr>
            <w:tcW w:w="990" w:type="dxa"/>
          </w:tcPr>
          <w:p>
            <w:pPr>
              <w:pStyle w:val="0"/>
              <w:jc w:val="center"/>
            </w:pPr>
            <w:r>
              <w:rPr>
                <w:sz w:val="20"/>
              </w:rPr>
              <w:t xml:space="preserve">60</w:t>
            </w:r>
          </w:p>
        </w:tc>
        <w:tc>
          <w:tcPr>
            <w:tcW w:w="990" w:type="dxa"/>
          </w:tcPr>
          <w:p>
            <w:pPr>
              <w:pStyle w:val="0"/>
              <w:jc w:val="center"/>
            </w:pPr>
            <w:r>
              <w:rPr>
                <w:sz w:val="20"/>
              </w:rPr>
              <w:t xml:space="preserve">60</w:t>
            </w:r>
          </w:p>
        </w:tc>
        <w:tc>
          <w:tcPr>
            <w:tcW w:w="990" w:type="dxa"/>
          </w:tcPr>
          <w:p>
            <w:pPr>
              <w:pStyle w:val="0"/>
              <w:jc w:val="center"/>
            </w:pPr>
            <w:r>
              <w:rPr>
                <w:sz w:val="20"/>
              </w:rPr>
              <w:t xml:space="preserve">75</w:t>
            </w:r>
          </w:p>
        </w:tc>
      </w:tr>
      <w:tr>
        <w:tc>
          <w:tcPr>
            <w:tcW w:w="3465" w:type="dxa"/>
          </w:tcPr>
          <w:p>
            <w:pPr>
              <w:pStyle w:val="0"/>
            </w:pPr>
            <w:r>
              <w:rPr>
                <w:sz w:val="20"/>
              </w:rPr>
              <w:t xml:space="preserve">11 &lt;*&gt;. Специальные предприятия, сооружения, площадки, охраняемые зоны, склады взрывчатых и взрывоопасных веществ; карьеры полезных ископаемых, добыча на которых производится с применением взрывных работ; склады сжиженных горючих газов</w:t>
            </w:r>
          </w:p>
        </w:tc>
        <w:tc>
          <w:tcPr>
            <w:gridSpan w:val="11"/>
            <w:tcW w:w="10549" w:type="dxa"/>
          </w:tcPr>
          <w:p>
            <w:pPr>
              <w:pStyle w:val="0"/>
              <w:jc w:val="center"/>
            </w:pPr>
            <w:r>
              <w:rPr>
                <w:sz w:val="20"/>
              </w:rPr>
              <w:t xml:space="preserve">В соответствии с требованиями специальных нормативных документов, утвержденных в установленном порядке, и другим нормативным документам в области стандартизации</w:t>
            </w:r>
          </w:p>
        </w:tc>
      </w:tr>
      <w:tr>
        <w:tc>
          <w:tcPr>
            <w:tcW w:w="3465" w:type="dxa"/>
          </w:tcPr>
          <w:p>
            <w:pPr>
              <w:pStyle w:val="0"/>
            </w:pPr>
            <w:r>
              <w:rPr>
                <w:sz w:val="20"/>
              </w:rPr>
              <w:t xml:space="preserve">12. Воздушные линии электропередачи высокого напряжения</w:t>
            </w:r>
          </w:p>
        </w:tc>
        <w:tc>
          <w:tcPr>
            <w:gridSpan w:val="11"/>
            <w:tcW w:w="10549" w:type="dxa"/>
          </w:tcPr>
          <w:p>
            <w:pPr>
              <w:pStyle w:val="0"/>
              <w:jc w:val="center"/>
            </w:pPr>
            <w:r>
              <w:rPr>
                <w:sz w:val="20"/>
              </w:rPr>
              <w:t xml:space="preserve">В соответствии с требованиями "Правил устройства электроустановок"</w:t>
            </w:r>
          </w:p>
        </w:tc>
      </w:tr>
      <w:tr>
        <w:tc>
          <w:tcPr>
            <w:tcW w:w="3465" w:type="dxa"/>
          </w:tcPr>
          <w:bookmarkStart w:id="4130" w:name="P4130"/>
          <w:bookmarkEnd w:id="4130"/>
          <w:p>
            <w:pPr>
              <w:pStyle w:val="0"/>
            </w:pPr>
            <w:r>
              <w:rPr>
                <w:sz w:val="20"/>
              </w:rPr>
              <w:t xml:space="preserve">13. Факел для сжигания газа</w:t>
            </w:r>
          </w:p>
        </w:tc>
        <w:tc>
          <w:tcPr>
            <w:tcW w:w="990" w:type="dxa"/>
          </w:tcPr>
          <w:p>
            <w:pPr>
              <w:pStyle w:val="0"/>
              <w:jc w:val="center"/>
            </w:pPr>
            <w:r>
              <w:rPr>
                <w:sz w:val="20"/>
              </w:rPr>
              <w:t xml:space="preserve">100</w:t>
            </w:r>
          </w:p>
        </w:tc>
        <w:tc>
          <w:tcPr>
            <w:tcW w:w="1155" w:type="dxa"/>
          </w:tcPr>
          <w:p>
            <w:pPr>
              <w:pStyle w:val="0"/>
              <w:jc w:val="center"/>
            </w:pPr>
            <w:r>
              <w:rPr>
                <w:sz w:val="20"/>
              </w:rPr>
              <w:t xml:space="preserve">100</w:t>
            </w:r>
          </w:p>
        </w:tc>
        <w:tc>
          <w:tcPr>
            <w:tcW w:w="990" w:type="dxa"/>
          </w:tcPr>
          <w:p>
            <w:pPr>
              <w:pStyle w:val="0"/>
              <w:jc w:val="center"/>
            </w:pPr>
            <w:r>
              <w:rPr>
                <w:sz w:val="20"/>
              </w:rPr>
              <w:t xml:space="preserve">100</w:t>
            </w:r>
          </w:p>
        </w:tc>
        <w:tc>
          <w:tcPr>
            <w:tcW w:w="1155" w:type="dxa"/>
          </w:tcPr>
          <w:p>
            <w:pPr>
              <w:pStyle w:val="0"/>
              <w:jc w:val="center"/>
            </w:pPr>
            <w:r>
              <w:rPr>
                <w:sz w:val="20"/>
              </w:rPr>
              <w:t xml:space="preserve">100</w:t>
            </w:r>
          </w:p>
        </w:tc>
        <w:tc>
          <w:tcPr>
            <w:tcW w:w="680" w:type="dxa"/>
          </w:tcPr>
          <w:p>
            <w:pPr>
              <w:pStyle w:val="0"/>
              <w:jc w:val="center"/>
            </w:pPr>
            <w:r>
              <w:rPr>
                <w:sz w:val="20"/>
              </w:rPr>
              <w:t xml:space="preserve">100</w:t>
            </w:r>
          </w:p>
        </w:tc>
        <w:tc>
          <w:tcPr>
            <w:tcW w:w="990" w:type="dxa"/>
          </w:tcPr>
          <w:p>
            <w:pPr>
              <w:pStyle w:val="0"/>
              <w:jc w:val="center"/>
            </w:pPr>
            <w:r>
              <w:rPr>
                <w:sz w:val="20"/>
              </w:rPr>
              <w:t xml:space="preserve">100</w:t>
            </w:r>
          </w:p>
        </w:tc>
        <w:tc>
          <w:tcPr>
            <w:tcW w:w="794" w:type="dxa"/>
          </w:tcPr>
          <w:p>
            <w:pPr>
              <w:pStyle w:val="0"/>
              <w:jc w:val="center"/>
            </w:pPr>
            <w:r>
              <w:rPr>
                <w:sz w:val="20"/>
              </w:rPr>
              <w:t xml:space="preserve">100</w:t>
            </w:r>
          </w:p>
        </w:tc>
        <w:tc>
          <w:tcPr>
            <w:tcW w:w="825" w:type="dxa"/>
          </w:tcPr>
          <w:p>
            <w:pPr>
              <w:pStyle w:val="0"/>
              <w:jc w:val="center"/>
            </w:pPr>
            <w:r>
              <w:rPr>
                <w:sz w:val="20"/>
              </w:rPr>
              <w:t xml:space="preserve">100</w:t>
            </w:r>
          </w:p>
        </w:tc>
        <w:tc>
          <w:tcPr>
            <w:tcW w:w="990" w:type="dxa"/>
          </w:tcPr>
          <w:p>
            <w:pPr>
              <w:pStyle w:val="0"/>
              <w:jc w:val="center"/>
            </w:pPr>
            <w:r>
              <w:rPr>
                <w:sz w:val="20"/>
              </w:rPr>
              <w:t xml:space="preserve">-</w:t>
            </w:r>
          </w:p>
        </w:tc>
        <w:tc>
          <w:tcPr>
            <w:tcW w:w="990" w:type="dxa"/>
          </w:tcPr>
          <w:p>
            <w:pPr>
              <w:pStyle w:val="0"/>
              <w:jc w:val="center"/>
            </w:pPr>
            <w:r>
              <w:rPr>
                <w:sz w:val="20"/>
              </w:rPr>
              <w:t xml:space="preserve">-</w:t>
            </w:r>
          </w:p>
        </w:tc>
        <w:tc>
          <w:tcPr>
            <w:tcW w:w="990" w:type="dxa"/>
          </w:tcPr>
          <w:p>
            <w:pPr>
              <w:pStyle w:val="0"/>
              <w:jc w:val="center"/>
            </w:pPr>
            <w:r>
              <w:rPr>
                <w:sz w:val="20"/>
              </w:rPr>
              <w:t xml:space="preserve">-</w:t>
            </w:r>
          </w:p>
        </w:tc>
      </w:tr>
    </w:tbl>
    <w:p>
      <w:pPr>
        <w:sectPr>
          <w:headerReference w:type="default" r:id="rId212"/>
          <w:headerReference w:type="first" r:id="rId212"/>
          <w:footerReference w:type="default" r:id="rId213"/>
          <w:footerReference w:type="first" r:id="rId213"/>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Расстояния, указанные над чертой, относятся к КС, под чертой - к ГРС.</w:t>
      </w:r>
    </w:p>
    <w:p>
      <w:pPr>
        <w:pStyle w:val="0"/>
        <w:spacing w:before="200" w:line-rule="auto"/>
        <w:ind w:firstLine="540"/>
        <w:jc w:val="both"/>
      </w:pPr>
      <w:r>
        <w:rPr>
          <w:sz w:val="20"/>
        </w:rPr>
        <w:t xml:space="preserve">2. </w:t>
      </w:r>
      <w:hyperlink w:history="0" w:anchor="P3893" w:tooltip="1. Расстояния, указанные в таблице, следует принимать: для городов и других населенных пунктов - от проектной городской черты на расчетный срок 20 - 25 лет; для отдельных промышленных предприятий, железнодорожных станций, аэродромов, морских и речных портов и пристаней, гидротехнических сооружений, складов горючих и легковоспламеняющихся материалов, артезианских скважин - от границ отведенных им территорий с учетом их развития; для железных дорог - от подошвы насыпи или бровки выемки со стороны трубопров...">
        <w:r>
          <w:rPr>
            <w:sz w:val="20"/>
            <w:color w:val="0000ff"/>
          </w:rPr>
          <w:t xml:space="preserve">Примечания 1</w:t>
        </w:r>
      </w:hyperlink>
      <w:r>
        <w:rPr>
          <w:sz w:val="20"/>
        </w:rPr>
        <w:t xml:space="preserve"> - </w:t>
      </w:r>
      <w:hyperlink w:history="0" w:anchor="P3896" w:tooltip="3. Минимальные расстояния от мостов железных и автомобильных дорог с пролетом 20 м и менее следует принимать такие же, как от соответствующих дорог.">
        <w:r>
          <w:rPr>
            <w:sz w:val="20"/>
            <w:color w:val="0000ff"/>
          </w:rPr>
          <w:t xml:space="preserve">3</w:t>
        </w:r>
      </w:hyperlink>
      <w:r>
        <w:rPr>
          <w:sz w:val="20"/>
        </w:rPr>
        <w:t xml:space="preserve"> к таблице 44 распространяются на </w:t>
      </w:r>
      <w:hyperlink w:history="0" w:anchor="P3914" w:tooltip="Таблица 45">
        <w:r>
          <w:rPr>
            <w:sz w:val="20"/>
            <w:color w:val="0000ff"/>
          </w:rPr>
          <w:t xml:space="preserve">таблицу 45</w:t>
        </w:r>
      </w:hyperlink>
      <w:r>
        <w:rPr>
          <w:sz w:val="20"/>
        </w:rPr>
        <w:t xml:space="preserve">.</w:t>
      </w:r>
    </w:p>
    <w:p>
      <w:pPr>
        <w:pStyle w:val="0"/>
        <w:spacing w:before="200" w:line-rule="auto"/>
        <w:ind w:firstLine="540"/>
        <w:jc w:val="both"/>
      </w:pPr>
      <w:r>
        <w:rPr>
          <w:sz w:val="20"/>
        </w:rPr>
        <w:t xml:space="preserve">3. Категории НПС надлежит принимать:</w:t>
      </w:r>
    </w:p>
    <w:p>
      <w:pPr>
        <w:pStyle w:val="0"/>
        <w:spacing w:before="200" w:line-rule="auto"/>
        <w:ind w:firstLine="540"/>
        <w:jc w:val="both"/>
      </w:pPr>
      <w:r>
        <w:rPr>
          <w:sz w:val="20"/>
        </w:rPr>
        <w:t xml:space="preserve">I - при емкости резервуарного парка свыше 100000 м</w:t>
      </w:r>
      <w:r>
        <w:rPr>
          <w:sz w:val="20"/>
          <w:vertAlign w:val="superscript"/>
        </w:rPr>
        <w:t xml:space="preserve">3</w:t>
      </w:r>
      <w:r>
        <w:rPr>
          <w:sz w:val="20"/>
        </w:rPr>
        <w:t xml:space="preserve">;</w:t>
      </w:r>
    </w:p>
    <w:p>
      <w:pPr>
        <w:pStyle w:val="0"/>
        <w:spacing w:before="200" w:line-rule="auto"/>
        <w:ind w:firstLine="540"/>
        <w:jc w:val="both"/>
      </w:pPr>
      <w:r>
        <w:rPr>
          <w:sz w:val="20"/>
        </w:rPr>
        <w:t xml:space="preserve">II - при емкости резервуарного парка свыше 20000 до 100000 м</w:t>
      </w:r>
      <w:r>
        <w:rPr>
          <w:sz w:val="20"/>
          <w:vertAlign w:val="superscript"/>
        </w:rPr>
        <w:t xml:space="preserve">3</w:t>
      </w:r>
      <w:r>
        <w:rPr>
          <w:sz w:val="20"/>
        </w:rPr>
        <w:t xml:space="preserve"> включительно;</w:t>
      </w:r>
    </w:p>
    <w:p>
      <w:pPr>
        <w:pStyle w:val="0"/>
        <w:spacing w:before="200" w:line-rule="auto"/>
        <w:ind w:firstLine="540"/>
        <w:jc w:val="both"/>
      </w:pPr>
      <w:r>
        <w:rPr>
          <w:sz w:val="20"/>
        </w:rPr>
        <w:t xml:space="preserve">III - при емкости резервуарного парка до 20000 м</w:t>
      </w:r>
      <w:r>
        <w:rPr>
          <w:sz w:val="20"/>
          <w:vertAlign w:val="superscript"/>
        </w:rPr>
        <w:t xml:space="preserve">3</w:t>
      </w:r>
      <w:r>
        <w:rPr>
          <w:sz w:val="20"/>
        </w:rPr>
        <w:t xml:space="preserve"> и НПС без резервуарных парков.</w:t>
      </w:r>
    </w:p>
    <w:p>
      <w:pPr>
        <w:pStyle w:val="0"/>
        <w:spacing w:before="200" w:line-rule="auto"/>
        <w:ind w:firstLine="540"/>
        <w:jc w:val="both"/>
      </w:pPr>
      <w:r>
        <w:rPr>
          <w:sz w:val="20"/>
        </w:rPr>
        <w:t xml:space="preserve">4. Расстояния следует принимать: для зданий и сооружений по позиции 1 - от здания компрессорного цеха; для НПО, ГРС и зданий и сооружений по </w:t>
      </w:r>
      <w:hyperlink w:history="0" w:anchor="P3939" w:tooltip="1. Города и другие населенные пункты; коллективные сады с садовыми домиками, дачные поселки; отдельные промышленные и сельскохозяйственные предприятия, тепличные комбинаты и хозяйства; птицефабрики; молокозаводы; карьеры разработки полезных ископаемых; гаражи и открытые стоянки для автомобилей индивидуальных владельцев на количество автомобилей свыше 20; установки комплексной подготовки нефти и газа и их групповые и сборные пункты; отдельно стоящие здания с массовым скоплением людей (школы, больницы, клу...">
        <w:r>
          <w:rPr>
            <w:sz w:val="20"/>
            <w:color w:val="0000ff"/>
          </w:rPr>
          <w:t xml:space="preserve">позициям 1</w:t>
        </w:r>
      </w:hyperlink>
      <w:r>
        <w:rPr>
          <w:sz w:val="20"/>
        </w:rPr>
        <w:t xml:space="preserve"> - </w:t>
      </w:r>
      <w:hyperlink w:history="0" w:anchor="P4130" w:tooltip="13. Факел для сжигания газа">
        <w:r>
          <w:rPr>
            <w:sz w:val="20"/>
            <w:color w:val="0000ff"/>
          </w:rPr>
          <w:t xml:space="preserve">13</w:t>
        </w:r>
      </w:hyperlink>
      <w:r>
        <w:rPr>
          <w:sz w:val="20"/>
        </w:rPr>
        <w:t xml:space="preserve"> и для КС по </w:t>
      </w:r>
      <w:hyperlink w:history="0" w:anchor="P3951" w:tooltip="2. Мосты железных дорог общей сети и автомобильных дорог I и II категорий с пролетом свыше 20 м (при прокладке нефтепроводов и нефтепродуктопроводов ниже мостов по течению); склады легковоспламеняющихся и горючих жидкостей и газов с объемом хранения свыше 1000 м3; автозаправочные станции; водопроводные сооружения, не относящиеся к магистральному трубопроводу">
        <w:r>
          <w:rPr>
            <w:sz w:val="20"/>
            <w:color w:val="0000ff"/>
          </w:rPr>
          <w:t xml:space="preserve">позициям 2</w:t>
        </w:r>
      </w:hyperlink>
      <w:r>
        <w:rPr>
          <w:sz w:val="20"/>
        </w:rPr>
        <w:t xml:space="preserve"> - </w:t>
      </w:r>
      <w:hyperlink w:history="0" w:anchor="P4130" w:tooltip="13. Факел для сжигания газа">
        <w:r>
          <w:rPr>
            <w:sz w:val="20"/>
            <w:color w:val="0000ff"/>
          </w:rPr>
          <w:t xml:space="preserve">13</w:t>
        </w:r>
      </w:hyperlink>
      <w:r>
        <w:rPr>
          <w:sz w:val="20"/>
        </w:rPr>
        <w:t xml:space="preserve"> - от ограды станций.</w:t>
      </w:r>
    </w:p>
    <w:p>
      <w:pPr>
        <w:pStyle w:val="0"/>
        <w:spacing w:before="200" w:line-rule="auto"/>
        <w:ind w:firstLine="540"/>
        <w:jc w:val="both"/>
      </w:pPr>
      <w:r>
        <w:rPr>
          <w:sz w:val="20"/>
        </w:rPr>
        <w:t xml:space="preserve">5. Мачты (башни) радиорелейной линии связи трубопроводов допускается располагать на территории КС и НПС, при этом расстояние от места установки мачт до технологического оборудования должно быть не менее высоты мачты (башни).</w:t>
      </w:r>
    </w:p>
    <w:p>
      <w:pPr>
        <w:pStyle w:val="0"/>
        <w:spacing w:before="200" w:line-rule="auto"/>
        <w:ind w:firstLine="540"/>
        <w:jc w:val="both"/>
      </w:pPr>
      <w:r>
        <w:rPr>
          <w:sz w:val="20"/>
        </w:rPr>
        <w:t xml:space="preserve">6. Мачты (башни) малоканальной необслуживаемой радиорелейной связи допускается располагать на территории ГРС, при этом расстояние от места установки мачты до технологического оборудования газораспределительных станций должно быть не менее высоты мачты (башни).</w:t>
      </w:r>
    </w:p>
    <w:p>
      <w:pPr>
        <w:pStyle w:val="0"/>
        <w:spacing w:before="200" w:line-rule="auto"/>
        <w:ind w:firstLine="540"/>
        <w:jc w:val="both"/>
      </w:pPr>
      <w:r>
        <w:rPr>
          <w:sz w:val="20"/>
        </w:rPr>
        <w:t xml:space="preserve">7. НПС должна располагаться ниже отметок населенных пунктов и других объектов. При обеспечении предотвращения аварийного разлива нефти или нефтепродуктов допускается располагать указанные станции на одинаковых отметках или выше населенных пунктов и промышленных предприятий.</w:t>
      </w:r>
    </w:p>
    <w:p>
      <w:pPr>
        <w:pStyle w:val="0"/>
        <w:spacing w:before="200" w:line-rule="auto"/>
        <w:ind w:firstLine="540"/>
        <w:jc w:val="both"/>
      </w:pPr>
      <w:r>
        <w:rPr>
          <w:sz w:val="20"/>
        </w:rPr>
        <w:t xml:space="preserve">8. Минимально допустимые расстояния от открытых распределительных устройств 35, 100, 220 кВ электроподстанций, питающих КС и НПС магистральных трубопроводов, до других зданий и сооружений, размещаемых на территориях указанных КС и НПС, требованиями </w:t>
      </w:r>
      <w:hyperlink w:history="0" w:anchor="P3914" w:tooltip="Таблица 45">
        <w:r>
          <w:rPr>
            <w:sz w:val="20"/>
            <w:color w:val="0000ff"/>
          </w:rPr>
          <w:t xml:space="preserve">таблицы 45</w:t>
        </w:r>
      </w:hyperlink>
      <w:r>
        <w:rPr>
          <w:sz w:val="20"/>
        </w:rPr>
        <w:t xml:space="preserve"> не регламентируются.</w:t>
      </w:r>
    </w:p>
    <w:p>
      <w:pPr>
        <w:pStyle w:val="0"/>
        <w:spacing w:before="200" w:line-rule="auto"/>
        <w:ind w:firstLine="540"/>
        <w:jc w:val="both"/>
      </w:pPr>
      <w:r>
        <w:rPr>
          <w:sz w:val="20"/>
        </w:rPr>
        <w:t xml:space="preserve">9. Знак "-" в </w:t>
      </w:r>
      <w:hyperlink w:history="0" w:anchor="P3914" w:tooltip="Таблица 45">
        <w:r>
          <w:rPr>
            <w:sz w:val="20"/>
            <w:color w:val="0000ff"/>
          </w:rPr>
          <w:t xml:space="preserve">таблице</w:t>
        </w:r>
      </w:hyperlink>
      <w:r>
        <w:rPr>
          <w:sz w:val="20"/>
        </w:rPr>
        <w:t xml:space="preserve"> означает, что расстояние не регламентируется.</w:t>
      </w:r>
    </w:p>
    <w:p>
      <w:pPr>
        <w:pStyle w:val="0"/>
        <w:ind w:firstLine="540"/>
        <w:jc w:val="both"/>
      </w:pPr>
      <w:r>
        <w:rPr>
          <w:sz w:val="20"/>
        </w:rPr>
      </w:r>
    </w:p>
    <w:p>
      <w:pPr>
        <w:pStyle w:val="0"/>
        <w:ind w:firstLine="540"/>
        <w:jc w:val="both"/>
      </w:pPr>
      <w:r>
        <w:rPr>
          <w:sz w:val="20"/>
        </w:rPr>
        <w:t xml:space="preserve">6.12.7. Установку запорной арматуры, соединяемой при помощи фланцев, следует предусматривать в колодцах, наземных вентилируемых киосках или оградах. Колодцы, ограды и киоски проектируются из негорючих материалов.</w:t>
      </w:r>
    </w:p>
    <w:p>
      <w:pPr>
        <w:pStyle w:val="0"/>
        <w:spacing w:before="200" w:line-rule="auto"/>
        <w:ind w:firstLine="540"/>
        <w:jc w:val="both"/>
      </w:pPr>
      <w:r>
        <w:rPr>
          <w:sz w:val="20"/>
        </w:rPr>
        <w:t xml:space="preserve">6.12.8. Минимальные расстояния от оси подводных переходов нефтепроводов и нефтепродуктопроводов при прокладке их ниже по течению от мостов, пристаней и других аналогичных объектов и от оси подводных переходов газопроводов до указанных объектов должны приниматься как для подземной прокладки.</w:t>
      </w:r>
    </w:p>
    <w:p>
      <w:pPr>
        <w:pStyle w:val="0"/>
        <w:spacing w:before="200" w:line-rule="auto"/>
        <w:ind w:firstLine="540"/>
        <w:jc w:val="both"/>
      </w:pPr>
      <w:r>
        <w:rPr>
          <w:sz w:val="20"/>
        </w:rPr>
        <w:t xml:space="preserve">6.12.8.1 Подводные переходы трубопроводов СУГ через судоходные и сплавные водные преграды должны быть проложены в защитном кожухе.</w:t>
      </w:r>
    </w:p>
    <w:p>
      <w:pPr>
        <w:pStyle w:val="0"/>
        <w:jc w:val="both"/>
      </w:pPr>
      <w:r>
        <w:rPr>
          <w:sz w:val="20"/>
        </w:rPr>
        <w:t xml:space="preserve">(п. 6.12.8.1 введен </w:t>
      </w:r>
      <w:hyperlink w:history="0" r:id="rId413"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Приказом</w:t>
        </w:r>
      </w:hyperlink>
      <w:r>
        <w:rPr>
          <w:sz w:val="20"/>
        </w:rPr>
        <w:t xml:space="preserve"> МЧС России от 14.02.2020 N 89; в ред. </w:t>
      </w:r>
      <w:hyperlink w:history="0" r:id="rId414"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6.12.9. Участки трубопроводов, прокладываемых на переходах через железные и автомобильные дороги всех категорий с усовершенствованным покрытием капитального и облегченного типов, должны предусматриваться в защитном футляре (кожухе) из стальных труб или в тоннеле, диаметр которых определяется условием производства работ и конструкцией переходов и должен быть больше наружного диаметра трубопровода не менее чем на 200 мм.</w:t>
      </w:r>
    </w:p>
    <w:p>
      <w:pPr>
        <w:pStyle w:val="0"/>
        <w:spacing w:before="200" w:line-rule="auto"/>
        <w:ind w:firstLine="540"/>
        <w:jc w:val="both"/>
      </w:pPr>
      <w:r>
        <w:rPr>
          <w:sz w:val="20"/>
        </w:rPr>
        <w:t xml:space="preserve">Концы футляра должны выводиться на расстояние:</w:t>
      </w:r>
    </w:p>
    <w:p>
      <w:pPr>
        <w:pStyle w:val="0"/>
        <w:spacing w:before="200" w:line-rule="auto"/>
        <w:ind w:firstLine="540"/>
        <w:jc w:val="both"/>
      </w:pPr>
      <w:r>
        <w:rPr>
          <w:sz w:val="20"/>
        </w:rPr>
        <w:t xml:space="preserve">а) при прокладке трубопровода через железные дороги:</w:t>
      </w:r>
    </w:p>
    <w:p>
      <w:pPr>
        <w:pStyle w:val="0"/>
        <w:spacing w:before="200" w:line-rule="auto"/>
        <w:ind w:firstLine="540"/>
        <w:jc w:val="both"/>
      </w:pPr>
      <w:r>
        <w:rPr>
          <w:sz w:val="20"/>
        </w:rPr>
        <w:t xml:space="preserve">- от осей крайних путей - 50 м, но не менее 5 м от подошвы откоса насыпи и 3 м от бровки откоса выемки;</w:t>
      </w:r>
    </w:p>
    <w:p>
      <w:pPr>
        <w:pStyle w:val="0"/>
        <w:spacing w:before="200" w:line-rule="auto"/>
        <w:ind w:firstLine="540"/>
        <w:jc w:val="both"/>
      </w:pPr>
      <w:r>
        <w:rPr>
          <w:sz w:val="20"/>
        </w:rPr>
        <w:t xml:space="preserve">- от крайнего водоотводного сооружения земляного полотна (кювета, нагорной канавы, резерва) - 3 м;</w:t>
      </w:r>
    </w:p>
    <w:p>
      <w:pPr>
        <w:pStyle w:val="0"/>
        <w:spacing w:before="200" w:line-rule="auto"/>
        <w:ind w:firstLine="540"/>
        <w:jc w:val="both"/>
      </w:pPr>
      <w:r>
        <w:rPr>
          <w:sz w:val="20"/>
        </w:rPr>
        <w:t xml:space="preserve">б) при прокладке трубопровода через автомобильные дороги - от бровки земляного полотна - 25 м, но не менее 2 м от подошвы насыпи.</w:t>
      </w:r>
    </w:p>
    <w:p>
      <w:pPr>
        <w:pStyle w:val="0"/>
        <w:spacing w:before="200" w:line-rule="auto"/>
        <w:ind w:firstLine="540"/>
        <w:jc w:val="both"/>
      </w:pPr>
      <w:r>
        <w:rPr>
          <w:sz w:val="20"/>
        </w:rPr>
        <w:t xml:space="preserve">Концы футляров, устанавливаемых на участках переходов нефтепроводов и нефтепродуктопроводов через автомобильные дороги III, III-п, IV-п, IV и V категорий, должны выводиться на 5 м от бровки земляного полотна.</w:t>
      </w:r>
    </w:p>
    <w:p>
      <w:pPr>
        <w:pStyle w:val="0"/>
        <w:spacing w:before="200" w:line-rule="auto"/>
        <w:ind w:firstLine="540"/>
        <w:jc w:val="both"/>
      </w:pPr>
      <w:r>
        <w:rPr>
          <w:sz w:val="20"/>
        </w:rPr>
        <w:t xml:space="preserve">Прокладка кабеля связи трубопровода на участках его перехода через железные и автомобильные дороги должна производиться в защитном футляре или отдельно в трубах.</w:t>
      </w:r>
    </w:p>
    <w:p>
      <w:pPr>
        <w:pStyle w:val="0"/>
        <w:spacing w:before="200" w:line-rule="auto"/>
        <w:ind w:firstLine="540"/>
        <w:jc w:val="both"/>
      </w:pPr>
      <w:r>
        <w:rPr>
          <w:sz w:val="20"/>
        </w:rPr>
        <w:t xml:space="preserve">6.12.9.1 Не допускается прокладка трубопроводов по мостам железных и автомобильных дорог всех категорий и в одной траншее с электрическими кабелями, кабелями связи и другими трубопроводами, за исключением случаев прокладки:</w:t>
      </w:r>
    </w:p>
    <w:p>
      <w:pPr>
        <w:pStyle w:val="0"/>
        <w:spacing w:before="200" w:line-rule="auto"/>
        <w:ind w:firstLine="540"/>
        <w:jc w:val="both"/>
      </w:pPr>
      <w:r>
        <w:rPr>
          <w:sz w:val="20"/>
        </w:rPr>
        <w:t xml:space="preserve">- кабеля технологической связи данного трубопровода на подводных переходах (в одной траншее) и на переходах через железные и автомобильные дороги (в одном футляре);</w:t>
      </w:r>
    </w:p>
    <w:p>
      <w:pPr>
        <w:pStyle w:val="0"/>
        <w:spacing w:before="200" w:line-rule="auto"/>
        <w:ind w:firstLine="540"/>
        <w:jc w:val="both"/>
      </w:pPr>
      <w:r>
        <w:rPr>
          <w:sz w:val="20"/>
        </w:rPr>
        <w:t xml:space="preserve">- газопроводов номинальным диаметром до DN 1000 на давление до 2,5 МПа и нефтепроводов и нефтепродуктопроводов номинальным диаметром DN 500 и менее по мостам из негорючих конструкций автомобильных дорог III, IV и V категорий. При этом участки трубопроводов, укладываемых по мосту и на подходах к нему на расстояниях, указанных в </w:t>
      </w:r>
      <w:hyperlink w:history="0" w:anchor="P3638" w:tooltip="Таблица 44">
        <w:r>
          <w:rPr>
            <w:sz w:val="20"/>
            <w:color w:val="0000ff"/>
          </w:rPr>
          <w:t xml:space="preserve">таблице 44</w:t>
        </w:r>
      </w:hyperlink>
      <w:r>
        <w:rPr>
          <w:sz w:val="20"/>
        </w:rPr>
        <w:t xml:space="preserve">, следует относить к I категории.</w:t>
      </w:r>
    </w:p>
    <w:p>
      <w:pPr>
        <w:pStyle w:val="0"/>
        <w:jc w:val="both"/>
      </w:pPr>
      <w:r>
        <w:rPr>
          <w:sz w:val="20"/>
        </w:rPr>
        <w:t xml:space="preserve">(п. 6.12.9.1 введен </w:t>
      </w:r>
      <w:hyperlink w:history="0" r:id="rId415"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Приказом</w:t>
        </w:r>
      </w:hyperlink>
      <w:r>
        <w:rPr>
          <w:sz w:val="20"/>
        </w:rPr>
        <w:t xml:space="preserve"> МЧС России от 14.02.2020 N 89)</w:t>
      </w:r>
    </w:p>
    <w:p>
      <w:pPr>
        <w:pStyle w:val="0"/>
        <w:spacing w:before="200" w:line-rule="auto"/>
        <w:ind w:firstLine="540"/>
        <w:jc w:val="both"/>
      </w:pPr>
      <w:r>
        <w:rPr>
          <w:sz w:val="20"/>
        </w:rPr>
        <w:t xml:space="preserve">6.12.10. На подземных переходах газопроводов через железные и автомобильные дороги концы защитных футляров должны иметь уплотнения из диэлектрического материала.</w:t>
      </w:r>
    </w:p>
    <w:p>
      <w:pPr>
        <w:pStyle w:val="0"/>
        <w:spacing w:before="200" w:line-rule="auto"/>
        <w:ind w:firstLine="540"/>
        <w:jc w:val="both"/>
      </w:pPr>
      <w:r>
        <w:rPr>
          <w:sz w:val="20"/>
        </w:rPr>
        <w:t xml:space="preserve">На одном из концов футляра или тоннеля следует предусматривать вытяжную свечу на расстоянии по горизонтали, м, не менее:</w:t>
      </w:r>
    </w:p>
    <w:p>
      <w:pPr>
        <w:pStyle w:val="0"/>
        <w:spacing w:before="200" w:line-rule="auto"/>
        <w:ind w:firstLine="540"/>
        <w:jc w:val="both"/>
      </w:pPr>
      <w:r>
        <w:rPr>
          <w:sz w:val="20"/>
        </w:rPr>
        <w:t xml:space="preserve">- от оси крайнего пути железных дорог общего пользования - 40;</w:t>
      </w:r>
    </w:p>
    <w:p>
      <w:pPr>
        <w:pStyle w:val="0"/>
        <w:spacing w:before="200" w:line-rule="auto"/>
        <w:ind w:firstLine="540"/>
        <w:jc w:val="both"/>
      </w:pPr>
      <w:r>
        <w:rPr>
          <w:sz w:val="20"/>
        </w:rPr>
        <w:t xml:space="preserve">- то же, промышленных дорог - 25;</w:t>
      </w:r>
    </w:p>
    <w:p>
      <w:pPr>
        <w:pStyle w:val="0"/>
        <w:spacing w:before="200" w:line-rule="auto"/>
        <w:ind w:firstLine="540"/>
        <w:jc w:val="both"/>
      </w:pPr>
      <w:r>
        <w:rPr>
          <w:sz w:val="20"/>
        </w:rPr>
        <w:t xml:space="preserve">- от подошвы земляного полотна автомобильных дорог - 25.</w:t>
      </w:r>
    </w:p>
    <w:p>
      <w:pPr>
        <w:pStyle w:val="0"/>
        <w:spacing w:before="200" w:line-rule="auto"/>
        <w:ind w:firstLine="540"/>
        <w:jc w:val="both"/>
      </w:pPr>
      <w:r>
        <w:rPr>
          <w:sz w:val="20"/>
        </w:rPr>
        <w:t xml:space="preserve">Высота вытяжной свечи от уровня земли должна быть не менее 5 м.</w:t>
      </w:r>
    </w:p>
    <w:p>
      <w:pPr>
        <w:pStyle w:val="0"/>
        <w:spacing w:before="200" w:line-rule="auto"/>
        <w:ind w:firstLine="540"/>
        <w:jc w:val="both"/>
      </w:pPr>
      <w:r>
        <w:rPr>
          <w:sz w:val="20"/>
        </w:rPr>
        <w:t xml:space="preserve">6.12.11. Стационарные площадки для обслуживания арматуры и опоры балочных систем трубопроводов должны быть выполнены из материалов НГ.</w:t>
      </w:r>
    </w:p>
    <w:p>
      <w:pPr>
        <w:pStyle w:val="0"/>
        <w:spacing w:before="200" w:line-rule="auto"/>
        <w:ind w:firstLine="540"/>
        <w:jc w:val="both"/>
      </w:pPr>
      <w:r>
        <w:rPr>
          <w:sz w:val="20"/>
        </w:rPr>
        <w:t xml:space="preserve">6.12.12. Расстояния от оси подземных трубопроводов для транспортирования СУГ (в дальнейшем - трубопроводы СУГ) до городов и других населенных пунктов, зданий и сооружений должны приниматься в зависимости от диаметра трубопровода, степени ответственности объекта и его протяженности, рельефа местности, вида и свойств перекачиваемых СУГ, в том числе температуры кипения, с целью обеспечения безопасности этих объектов, но не менее значений, указанных в </w:t>
      </w:r>
      <w:hyperlink w:history="0" w:anchor="P4185" w:tooltip="Таблица 46">
        <w:r>
          <w:rPr>
            <w:sz w:val="20"/>
            <w:color w:val="0000ff"/>
          </w:rPr>
          <w:t xml:space="preserve">таблице 46</w:t>
        </w:r>
      </w:hyperlink>
      <w:r>
        <w:rPr>
          <w:sz w:val="20"/>
        </w:rPr>
        <w:t xml:space="preserve">.</w:t>
      </w:r>
    </w:p>
    <w:p>
      <w:pPr>
        <w:pStyle w:val="0"/>
        <w:spacing w:before="200" w:line-rule="auto"/>
        <w:ind w:firstLine="540"/>
        <w:jc w:val="both"/>
      </w:pPr>
      <w:r>
        <w:rPr>
          <w:sz w:val="20"/>
        </w:rPr>
        <w:t xml:space="preserve">6.12.13. Участки трубопроводов СУГ, прокладываемые на местности, расположенной на одинаковых отметках или выше населенных пунктов, зданий и сооружений, указанных в </w:t>
      </w:r>
      <w:hyperlink w:history="0" w:anchor="P4192" w:tooltip="1. Города и поселения городского типа">
        <w:r>
          <w:rPr>
            <w:sz w:val="20"/>
            <w:color w:val="0000ff"/>
          </w:rPr>
          <w:t xml:space="preserve">позициях 1</w:t>
        </w:r>
      </w:hyperlink>
      <w:r>
        <w:rPr>
          <w:sz w:val="20"/>
        </w:rPr>
        <w:t xml:space="preserve"> - </w:t>
      </w:r>
      <w:hyperlink w:history="0" w:anchor="P4252" w:tooltip="4. Железные дороги промышленных предприятий, автомобильные дороги общего пользования IV, V категорий">
        <w:r>
          <w:rPr>
            <w:sz w:val="20"/>
            <w:color w:val="0000ff"/>
          </w:rPr>
          <w:t xml:space="preserve">4</w:t>
        </w:r>
      </w:hyperlink>
      <w:r>
        <w:rPr>
          <w:sz w:val="20"/>
        </w:rPr>
        <w:t xml:space="preserve"> таблицы 46, относятся к категории "В" в пределах проекции объекта на трубопровод и примыкающих к проекции с обеих сторон участков длиною, равной соответствующим минимальным расстояниям, указанным в </w:t>
      </w:r>
      <w:hyperlink w:history="0" w:anchor="P4185" w:tooltip="Таблица 46">
        <w:r>
          <w:rPr>
            <w:sz w:val="20"/>
            <w:color w:val="0000ff"/>
          </w:rPr>
          <w:t xml:space="preserve">таблице 46</w:t>
        </w:r>
      </w:hyperlink>
      <w:r>
        <w:rPr>
          <w:sz w:val="20"/>
        </w:rPr>
        <w:t xml:space="preserve">.</w:t>
      </w:r>
    </w:p>
    <w:p>
      <w:pPr>
        <w:pStyle w:val="0"/>
        <w:spacing w:before="200" w:line-rule="auto"/>
        <w:ind w:firstLine="540"/>
        <w:jc w:val="both"/>
      </w:pPr>
      <w:r>
        <w:rPr>
          <w:sz w:val="20"/>
        </w:rPr>
        <w:t xml:space="preserve">Вдоль этих участков должны предусматриваться канавы для отвода СУГ в безопасное место в случае разлива, если отсутствуют естественные преграды, предотвращающие растекание аварийного пролива СУГ в сторону защищаемых объектов.</w:t>
      </w:r>
    </w:p>
    <w:p>
      <w:pPr>
        <w:pStyle w:val="0"/>
        <w:jc w:val="both"/>
      </w:pPr>
      <w:r>
        <w:rPr>
          <w:sz w:val="20"/>
        </w:rPr>
        <w:t xml:space="preserve">(в ред. </w:t>
      </w:r>
      <w:hyperlink w:history="0" r:id="rId416"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ind w:firstLine="540"/>
        <w:jc w:val="both"/>
      </w:pPr>
      <w:r>
        <w:rPr>
          <w:sz w:val="20"/>
        </w:rPr>
      </w:r>
    </w:p>
    <w:bookmarkStart w:id="4185" w:name="P4185"/>
    <w:bookmarkEnd w:id="4185"/>
    <w:p>
      <w:pPr>
        <w:pStyle w:val="0"/>
        <w:outlineLvl w:val="3"/>
      </w:pPr>
      <w:r>
        <w:rPr>
          <w:sz w:val="20"/>
        </w:rPr>
        <w:t xml:space="preserve">Таблица 46</w:t>
      </w:r>
    </w:p>
    <w:p>
      <w:pPr>
        <w:pStyle w:val="0"/>
        <w:jc w:val="center"/>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15"/>
        <w:gridCol w:w="2310"/>
        <w:gridCol w:w="2475"/>
        <w:gridCol w:w="2310"/>
      </w:tblGrid>
      <w:tr>
        <w:tc>
          <w:tcPr>
            <w:tcW w:w="5115" w:type="dxa"/>
            <w:vMerge w:val="restart"/>
          </w:tcPr>
          <w:p>
            <w:pPr>
              <w:pStyle w:val="0"/>
              <w:jc w:val="center"/>
            </w:pPr>
            <w:r>
              <w:rPr>
                <w:sz w:val="20"/>
              </w:rPr>
              <w:t xml:space="preserve">Объекты, здания и сооружения</w:t>
            </w:r>
          </w:p>
        </w:tc>
        <w:tc>
          <w:tcPr>
            <w:gridSpan w:val="3"/>
            <w:tcW w:w="7095" w:type="dxa"/>
          </w:tcPr>
          <w:p>
            <w:pPr>
              <w:pStyle w:val="0"/>
              <w:jc w:val="center"/>
            </w:pPr>
            <w:r>
              <w:rPr>
                <w:sz w:val="20"/>
              </w:rPr>
              <w:t xml:space="preserve">Минимальное расстояние, м, до оси трубопроводов условным диаметром, мм</w:t>
            </w:r>
          </w:p>
        </w:tc>
      </w:tr>
      <w:tr>
        <w:tc>
          <w:tcPr>
            <w:vMerge w:val="continue"/>
          </w:tcPr>
          <w:p/>
        </w:tc>
        <w:tc>
          <w:tcPr>
            <w:tcW w:w="2310" w:type="dxa"/>
          </w:tcPr>
          <w:p>
            <w:pPr>
              <w:pStyle w:val="0"/>
              <w:jc w:val="center"/>
            </w:pPr>
            <w:r>
              <w:rPr>
                <w:sz w:val="20"/>
              </w:rPr>
              <w:t xml:space="preserve">до 150 включительно</w:t>
            </w:r>
          </w:p>
        </w:tc>
        <w:tc>
          <w:tcPr>
            <w:tcW w:w="2475" w:type="dxa"/>
          </w:tcPr>
          <w:p>
            <w:pPr>
              <w:pStyle w:val="0"/>
              <w:jc w:val="center"/>
            </w:pPr>
            <w:r>
              <w:rPr>
                <w:sz w:val="20"/>
              </w:rPr>
              <w:t xml:space="preserve">св. 150 до 300 включительно</w:t>
            </w:r>
          </w:p>
        </w:tc>
        <w:tc>
          <w:tcPr>
            <w:tcW w:w="2310" w:type="dxa"/>
          </w:tcPr>
          <w:p>
            <w:pPr>
              <w:pStyle w:val="0"/>
              <w:jc w:val="center"/>
            </w:pPr>
            <w:r>
              <w:rPr>
                <w:sz w:val="20"/>
              </w:rPr>
              <w:t xml:space="preserve">св. 300 до 400 включительно</w:t>
            </w:r>
          </w:p>
        </w:tc>
      </w:tr>
      <w:tr>
        <w:tc>
          <w:tcPr>
            <w:tcW w:w="5115" w:type="dxa"/>
          </w:tcPr>
          <w:bookmarkStart w:id="4192" w:name="P4192"/>
          <w:bookmarkEnd w:id="4192"/>
          <w:p>
            <w:pPr>
              <w:pStyle w:val="0"/>
            </w:pPr>
            <w:r>
              <w:rPr>
                <w:sz w:val="20"/>
              </w:rPr>
              <w:t xml:space="preserve">1. Города и поселения городского типа</w:t>
            </w:r>
          </w:p>
        </w:tc>
        <w:tc>
          <w:tcPr>
            <w:tcW w:w="2310" w:type="dxa"/>
          </w:tcPr>
          <w:p>
            <w:pPr>
              <w:pStyle w:val="0"/>
              <w:jc w:val="center"/>
            </w:pPr>
            <w:r>
              <w:rPr>
                <w:sz w:val="20"/>
              </w:rPr>
              <w:t xml:space="preserve">2000</w:t>
            </w:r>
          </w:p>
        </w:tc>
        <w:tc>
          <w:tcPr>
            <w:tcW w:w="2475" w:type="dxa"/>
          </w:tcPr>
          <w:p>
            <w:pPr>
              <w:pStyle w:val="0"/>
              <w:jc w:val="center"/>
            </w:pPr>
            <w:r>
              <w:rPr>
                <w:sz w:val="20"/>
              </w:rPr>
              <w:t xml:space="preserve">3000</w:t>
            </w:r>
          </w:p>
        </w:tc>
        <w:tc>
          <w:tcPr>
            <w:tcW w:w="2310" w:type="dxa"/>
          </w:tcPr>
          <w:p>
            <w:pPr>
              <w:pStyle w:val="0"/>
              <w:jc w:val="center"/>
            </w:pPr>
            <w:r>
              <w:rPr>
                <w:sz w:val="20"/>
              </w:rPr>
              <w:t xml:space="preserve">5000</w:t>
            </w:r>
          </w:p>
        </w:tc>
      </w:tr>
      <w:tr>
        <w:tc>
          <w:tcPr>
            <w:tcW w:w="5115" w:type="dxa"/>
          </w:tcPr>
          <w:bookmarkStart w:id="4196" w:name="P4196"/>
          <w:bookmarkEnd w:id="4196"/>
          <w:p>
            <w:pPr>
              <w:pStyle w:val="0"/>
            </w:pPr>
            <w:r>
              <w:rPr>
                <w:sz w:val="20"/>
              </w:rPr>
              <w:t xml:space="preserve">2. Сельские поселения, коллективные сады с садовыми домиками, дачные поселки, отдельные промышленные и сельскохозяйственные предприятия, тепличные комбинаты и хозяйства, птицефабрики, молокозаводы, карьеры разработки полезных ископаемых, индивидуальные гаражи и открытые стоянки (более 20 автомобилей), отдельно стоящие здания с массовым скоплением людей (школы, больницы, клубы, вокзалы и т.д.), жилые 2-этажные здания и выше</w:t>
            </w:r>
          </w:p>
        </w:tc>
        <w:tc>
          <w:tcPr>
            <w:tcW w:w="2310" w:type="dxa"/>
          </w:tcPr>
          <w:p>
            <w:pPr>
              <w:pStyle w:val="0"/>
              <w:jc w:val="center"/>
            </w:pPr>
            <w:r>
              <w:rPr>
                <w:sz w:val="20"/>
              </w:rPr>
              <w:t xml:space="preserve">1000</w:t>
            </w:r>
          </w:p>
        </w:tc>
        <w:tc>
          <w:tcPr>
            <w:tcW w:w="2475" w:type="dxa"/>
          </w:tcPr>
          <w:p>
            <w:pPr>
              <w:pStyle w:val="0"/>
              <w:jc w:val="center"/>
            </w:pPr>
            <w:r>
              <w:rPr>
                <w:sz w:val="20"/>
              </w:rPr>
              <w:t xml:space="preserve">2000</w:t>
            </w:r>
          </w:p>
        </w:tc>
        <w:tc>
          <w:tcPr>
            <w:tcW w:w="2310" w:type="dxa"/>
          </w:tcPr>
          <w:p>
            <w:pPr>
              <w:pStyle w:val="0"/>
              <w:jc w:val="center"/>
            </w:pPr>
            <w:r>
              <w:rPr>
                <w:sz w:val="20"/>
              </w:rPr>
              <w:t xml:space="preserve">3000</w:t>
            </w:r>
          </w:p>
        </w:tc>
      </w:tr>
      <w:tr>
        <w:tc>
          <w:tcPr>
            <w:tcW w:w="5115" w:type="dxa"/>
          </w:tcPr>
          <w:p>
            <w:pPr>
              <w:pStyle w:val="0"/>
            </w:pPr>
            <w:r>
              <w:rPr>
                <w:sz w:val="20"/>
              </w:rPr>
              <w:t xml:space="preserve">железнодорожные станции, аэропорты, морские и речные порты и пристани, гидроэлектростанции, гидротехнические сооружения морского и речного транспорта I - IV классов</w:t>
            </w:r>
          </w:p>
        </w:tc>
        <w:tc>
          <w:tcPr>
            <w:tcW w:w="2310" w:type="dxa"/>
          </w:tcPr>
          <w:p>
            <w:pPr>
              <w:pStyle w:val="0"/>
              <w:jc w:val="center"/>
            </w:pPr>
            <w:r>
              <w:rPr>
                <w:sz w:val="20"/>
              </w:rPr>
              <w:t xml:space="preserve">1000</w:t>
            </w:r>
          </w:p>
        </w:tc>
        <w:tc>
          <w:tcPr>
            <w:tcW w:w="2475" w:type="dxa"/>
          </w:tcPr>
          <w:p>
            <w:pPr>
              <w:pStyle w:val="0"/>
              <w:jc w:val="center"/>
            </w:pPr>
            <w:r>
              <w:rPr>
                <w:sz w:val="20"/>
              </w:rPr>
              <w:t xml:space="preserve">2000</w:t>
            </w:r>
          </w:p>
        </w:tc>
        <w:tc>
          <w:tcPr>
            <w:tcW w:w="2310" w:type="dxa"/>
          </w:tcPr>
          <w:p>
            <w:pPr>
              <w:pStyle w:val="0"/>
              <w:jc w:val="center"/>
            </w:pPr>
            <w:r>
              <w:rPr>
                <w:sz w:val="20"/>
              </w:rPr>
              <w:t xml:space="preserve">3000</w:t>
            </w:r>
          </w:p>
        </w:tc>
      </w:tr>
      <w:tr>
        <w:tc>
          <w:tcPr>
            <w:tcW w:w="5115" w:type="dxa"/>
          </w:tcPr>
          <w:p>
            <w:pPr>
              <w:pStyle w:val="0"/>
            </w:pPr>
            <w:r>
              <w:rPr>
                <w:sz w:val="20"/>
              </w:rPr>
              <w:t xml:space="preserve">железные дороги общей сети и автомобильные дороги общего пользования I категории</w:t>
            </w:r>
          </w:p>
        </w:tc>
        <w:tc>
          <w:tcPr>
            <w:tcW w:w="2310" w:type="dxa"/>
          </w:tcPr>
          <w:p>
            <w:pPr>
              <w:pStyle w:val="0"/>
              <w:jc w:val="center"/>
            </w:pPr>
            <w:r>
              <w:rPr>
                <w:sz w:val="20"/>
              </w:rPr>
              <w:t xml:space="preserve">1000</w:t>
            </w:r>
          </w:p>
        </w:tc>
        <w:tc>
          <w:tcPr>
            <w:tcW w:w="2475" w:type="dxa"/>
          </w:tcPr>
          <w:p>
            <w:pPr>
              <w:pStyle w:val="0"/>
              <w:jc w:val="center"/>
            </w:pPr>
            <w:r>
              <w:rPr>
                <w:sz w:val="20"/>
              </w:rPr>
              <w:t xml:space="preserve">2000</w:t>
            </w:r>
          </w:p>
        </w:tc>
        <w:tc>
          <w:tcPr>
            <w:tcW w:w="2310" w:type="dxa"/>
          </w:tcPr>
          <w:p>
            <w:pPr>
              <w:pStyle w:val="0"/>
              <w:jc w:val="center"/>
            </w:pPr>
            <w:r>
              <w:rPr>
                <w:sz w:val="20"/>
              </w:rPr>
              <w:t xml:space="preserve">3000</w:t>
            </w:r>
          </w:p>
        </w:tc>
      </w:tr>
      <w:tr>
        <w:tc>
          <w:tcPr>
            <w:tcW w:w="5115" w:type="dxa"/>
          </w:tcPr>
          <w:p>
            <w:pPr>
              <w:pStyle w:val="0"/>
            </w:pPr>
            <w:r>
              <w:rPr>
                <w:sz w:val="20"/>
              </w:rPr>
              <w:t xml:space="preserve">мосты железных дорог общей сети, автомобильных дорог общего пользования I и II категорий</w:t>
            </w:r>
          </w:p>
        </w:tc>
        <w:tc>
          <w:tcPr>
            <w:tcW w:w="2310" w:type="dxa"/>
          </w:tcPr>
          <w:p>
            <w:pPr>
              <w:pStyle w:val="0"/>
              <w:jc w:val="center"/>
            </w:pPr>
            <w:r>
              <w:rPr>
                <w:sz w:val="20"/>
              </w:rPr>
              <w:t xml:space="preserve">1000</w:t>
            </w:r>
          </w:p>
        </w:tc>
        <w:tc>
          <w:tcPr>
            <w:tcW w:w="2475" w:type="dxa"/>
          </w:tcPr>
          <w:p>
            <w:pPr>
              <w:pStyle w:val="0"/>
              <w:jc w:val="center"/>
            </w:pPr>
            <w:r>
              <w:rPr>
                <w:sz w:val="20"/>
              </w:rPr>
              <w:t xml:space="preserve">2000</w:t>
            </w:r>
          </w:p>
        </w:tc>
        <w:tc>
          <w:tcPr>
            <w:tcW w:w="2310" w:type="dxa"/>
          </w:tcPr>
          <w:p>
            <w:pPr>
              <w:pStyle w:val="0"/>
              <w:jc w:val="center"/>
            </w:pPr>
            <w:r>
              <w:rPr>
                <w:sz w:val="20"/>
              </w:rPr>
              <w:t xml:space="preserve">3000</w:t>
            </w:r>
          </w:p>
        </w:tc>
      </w:tr>
      <w:tr>
        <w:tc>
          <w:tcPr>
            <w:tcW w:w="5115" w:type="dxa"/>
          </w:tcPr>
          <w:p>
            <w:pPr>
              <w:pStyle w:val="0"/>
            </w:pPr>
            <w:r>
              <w:rPr>
                <w:sz w:val="20"/>
              </w:rPr>
              <w:t xml:space="preserve">склады легковоспламеняющихся и горючих жидкостей и газов с объемом хранения более 1000 м</w:t>
            </w:r>
            <w:r>
              <w:rPr>
                <w:sz w:val="20"/>
                <w:vertAlign w:val="superscript"/>
              </w:rPr>
              <w:t xml:space="preserve">3</w:t>
            </w:r>
          </w:p>
        </w:tc>
        <w:tc>
          <w:tcPr>
            <w:tcW w:w="2310" w:type="dxa"/>
          </w:tcPr>
          <w:p>
            <w:pPr>
              <w:pStyle w:val="0"/>
              <w:jc w:val="center"/>
            </w:pPr>
            <w:r>
              <w:rPr>
                <w:sz w:val="20"/>
              </w:rPr>
              <w:t xml:space="preserve">1000</w:t>
            </w:r>
          </w:p>
        </w:tc>
        <w:tc>
          <w:tcPr>
            <w:tcW w:w="2475" w:type="dxa"/>
          </w:tcPr>
          <w:p>
            <w:pPr>
              <w:pStyle w:val="0"/>
              <w:jc w:val="center"/>
            </w:pPr>
            <w:r>
              <w:rPr>
                <w:sz w:val="20"/>
              </w:rPr>
              <w:t xml:space="preserve">2000</w:t>
            </w:r>
          </w:p>
        </w:tc>
        <w:tc>
          <w:tcPr>
            <w:tcW w:w="2310" w:type="dxa"/>
          </w:tcPr>
          <w:p>
            <w:pPr>
              <w:pStyle w:val="0"/>
              <w:jc w:val="center"/>
            </w:pPr>
            <w:r>
              <w:rPr>
                <w:sz w:val="20"/>
              </w:rPr>
              <w:t xml:space="preserve">3000</w:t>
            </w:r>
          </w:p>
        </w:tc>
      </w:tr>
      <w:tr>
        <w:tc>
          <w:tcPr>
            <w:tcW w:w="5115" w:type="dxa"/>
          </w:tcPr>
          <w:p>
            <w:pPr>
              <w:pStyle w:val="0"/>
            </w:pPr>
            <w:r>
              <w:rPr>
                <w:sz w:val="20"/>
              </w:rPr>
              <w:t xml:space="preserve">автозаправочные станции, наливные станции и железнодорожные эстакады</w:t>
            </w:r>
          </w:p>
        </w:tc>
        <w:tc>
          <w:tcPr>
            <w:tcW w:w="2310" w:type="dxa"/>
          </w:tcPr>
          <w:p>
            <w:pPr>
              <w:pStyle w:val="0"/>
              <w:jc w:val="center"/>
            </w:pPr>
            <w:r>
              <w:rPr>
                <w:sz w:val="20"/>
              </w:rPr>
              <w:t xml:space="preserve">1000</w:t>
            </w:r>
          </w:p>
        </w:tc>
        <w:tc>
          <w:tcPr>
            <w:tcW w:w="2475" w:type="dxa"/>
          </w:tcPr>
          <w:p>
            <w:pPr>
              <w:pStyle w:val="0"/>
              <w:jc w:val="center"/>
            </w:pPr>
            <w:r>
              <w:rPr>
                <w:sz w:val="20"/>
              </w:rPr>
              <w:t xml:space="preserve">2000</w:t>
            </w:r>
          </w:p>
        </w:tc>
        <w:tc>
          <w:tcPr>
            <w:tcW w:w="2310" w:type="dxa"/>
          </w:tcPr>
          <w:p>
            <w:pPr>
              <w:pStyle w:val="0"/>
              <w:jc w:val="center"/>
            </w:pPr>
            <w:r>
              <w:rPr>
                <w:sz w:val="20"/>
              </w:rPr>
              <w:t xml:space="preserve">3000</w:t>
            </w:r>
          </w:p>
        </w:tc>
      </w:tr>
      <w:tr>
        <w:tc>
          <w:tcPr>
            <w:tcW w:w="5115" w:type="dxa"/>
          </w:tcPr>
          <w:p>
            <w:pPr>
              <w:pStyle w:val="0"/>
            </w:pPr>
            <w:r>
              <w:rPr>
                <w:sz w:val="20"/>
              </w:rPr>
              <w:t xml:space="preserve">мачты (башни) и сооружения многоканальной радиорелейной линии связи</w:t>
            </w:r>
          </w:p>
        </w:tc>
        <w:tc>
          <w:tcPr>
            <w:tcW w:w="2310" w:type="dxa"/>
          </w:tcPr>
          <w:p>
            <w:pPr>
              <w:pStyle w:val="0"/>
              <w:jc w:val="center"/>
            </w:pPr>
            <w:r>
              <w:rPr>
                <w:sz w:val="20"/>
              </w:rPr>
              <w:t xml:space="preserve">1000</w:t>
            </w:r>
          </w:p>
        </w:tc>
        <w:tc>
          <w:tcPr>
            <w:tcW w:w="2475" w:type="dxa"/>
          </w:tcPr>
          <w:p>
            <w:pPr>
              <w:pStyle w:val="0"/>
              <w:jc w:val="center"/>
            </w:pPr>
            <w:r>
              <w:rPr>
                <w:sz w:val="20"/>
              </w:rPr>
              <w:t xml:space="preserve">2000</w:t>
            </w:r>
          </w:p>
        </w:tc>
        <w:tc>
          <w:tcPr>
            <w:tcW w:w="2310" w:type="dxa"/>
          </w:tcPr>
          <w:p>
            <w:pPr>
              <w:pStyle w:val="0"/>
              <w:jc w:val="center"/>
            </w:pPr>
            <w:r>
              <w:rPr>
                <w:sz w:val="20"/>
              </w:rPr>
              <w:t xml:space="preserve">3000</w:t>
            </w:r>
          </w:p>
        </w:tc>
      </w:tr>
      <w:tr>
        <w:tc>
          <w:tcPr>
            <w:tcW w:w="5115" w:type="dxa"/>
          </w:tcPr>
          <w:p>
            <w:pPr>
              <w:pStyle w:val="0"/>
            </w:pPr>
            <w:r>
              <w:rPr>
                <w:sz w:val="20"/>
              </w:rPr>
              <w:t xml:space="preserve">телевизионные башни, территории НС, КС и НПС магистральных трубопроводов</w:t>
            </w:r>
          </w:p>
        </w:tc>
        <w:tc>
          <w:tcPr>
            <w:tcW w:w="2310" w:type="dxa"/>
          </w:tcPr>
          <w:p>
            <w:pPr>
              <w:pStyle w:val="0"/>
              <w:jc w:val="center"/>
            </w:pPr>
            <w:r>
              <w:rPr>
                <w:sz w:val="20"/>
              </w:rPr>
              <w:t xml:space="preserve">1000</w:t>
            </w:r>
          </w:p>
        </w:tc>
        <w:tc>
          <w:tcPr>
            <w:tcW w:w="2475" w:type="dxa"/>
          </w:tcPr>
          <w:p>
            <w:pPr>
              <w:pStyle w:val="0"/>
              <w:jc w:val="center"/>
            </w:pPr>
            <w:r>
              <w:rPr>
                <w:sz w:val="20"/>
              </w:rPr>
              <w:t xml:space="preserve">2000</w:t>
            </w:r>
          </w:p>
        </w:tc>
        <w:tc>
          <w:tcPr>
            <w:tcW w:w="2310" w:type="dxa"/>
          </w:tcPr>
          <w:p>
            <w:pPr>
              <w:pStyle w:val="0"/>
              <w:jc w:val="center"/>
            </w:pPr>
            <w:r>
              <w:rPr>
                <w:sz w:val="20"/>
              </w:rPr>
              <w:t xml:space="preserve">3000</w:t>
            </w:r>
          </w:p>
        </w:tc>
      </w:tr>
      <w:tr>
        <w:tc>
          <w:tcPr>
            <w:tcW w:w="5115" w:type="dxa"/>
          </w:tcPr>
          <w:p>
            <w:pPr>
              <w:pStyle w:val="0"/>
            </w:pPr>
            <w:r>
              <w:rPr>
                <w:sz w:val="20"/>
              </w:rPr>
              <w:t xml:space="preserve">открытые распределительные устройства напряжением 35, 110, 220 кВ электроподстанций других потребителей</w:t>
            </w:r>
          </w:p>
        </w:tc>
        <w:tc>
          <w:tcPr>
            <w:tcW w:w="2310" w:type="dxa"/>
          </w:tcPr>
          <w:p>
            <w:pPr>
              <w:pStyle w:val="0"/>
              <w:jc w:val="center"/>
            </w:pPr>
            <w:r>
              <w:rPr>
                <w:sz w:val="20"/>
              </w:rPr>
              <w:t xml:space="preserve">1000</w:t>
            </w:r>
          </w:p>
        </w:tc>
        <w:tc>
          <w:tcPr>
            <w:tcW w:w="2475" w:type="dxa"/>
          </w:tcPr>
          <w:p>
            <w:pPr>
              <w:pStyle w:val="0"/>
              <w:jc w:val="center"/>
            </w:pPr>
            <w:r>
              <w:rPr>
                <w:sz w:val="20"/>
              </w:rPr>
              <w:t xml:space="preserve">2000</w:t>
            </w:r>
          </w:p>
        </w:tc>
        <w:tc>
          <w:tcPr>
            <w:tcW w:w="2310" w:type="dxa"/>
          </w:tcPr>
          <w:p>
            <w:pPr>
              <w:pStyle w:val="0"/>
              <w:jc w:val="center"/>
            </w:pPr>
            <w:r>
              <w:rPr>
                <w:sz w:val="20"/>
              </w:rPr>
              <w:t xml:space="preserve">3000</w:t>
            </w:r>
          </w:p>
        </w:tc>
      </w:tr>
      <w:tr>
        <w:tc>
          <w:tcPr>
            <w:tcW w:w="5115" w:type="dxa"/>
          </w:tcPr>
          <w:bookmarkStart w:id="4232" w:name="P4232"/>
          <w:bookmarkEnd w:id="4232"/>
          <w:p>
            <w:pPr>
              <w:pStyle w:val="0"/>
            </w:pPr>
            <w:r>
              <w:rPr>
                <w:sz w:val="20"/>
              </w:rPr>
              <w:t xml:space="preserve">3. Отдельно стоящие жилые дома до двух этажей, кладбища (действующие), сельскохозяйственные фермы, полевые станы</w:t>
            </w:r>
          </w:p>
        </w:tc>
        <w:tc>
          <w:tcPr>
            <w:tcW w:w="2310" w:type="dxa"/>
          </w:tcPr>
          <w:p>
            <w:pPr>
              <w:pStyle w:val="0"/>
              <w:jc w:val="center"/>
            </w:pPr>
            <w:r>
              <w:rPr>
                <w:sz w:val="20"/>
              </w:rPr>
              <w:t xml:space="preserve">300</w:t>
            </w:r>
          </w:p>
        </w:tc>
        <w:tc>
          <w:tcPr>
            <w:tcW w:w="2475" w:type="dxa"/>
          </w:tcPr>
          <w:p>
            <w:pPr>
              <w:pStyle w:val="0"/>
              <w:jc w:val="center"/>
            </w:pPr>
            <w:r>
              <w:rPr>
                <w:sz w:val="20"/>
              </w:rPr>
              <w:t xml:space="preserve">500</w:t>
            </w:r>
          </w:p>
        </w:tc>
        <w:tc>
          <w:tcPr>
            <w:tcW w:w="2310" w:type="dxa"/>
          </w:tcPr>
          <w:p>
            <w:pPr>
              <w:pStyle w:val="0"/>
              <w:jc w:val="center"/>
            </w:pPr>
            <w:r>
              <w:rPr>
                <w:sz w:val="20"/>
              </w:rPr>
              <w:t xml:space="preserve">800</w:t>
            </w:r>
          </w:p>
        </w:tc>
      </w:tr>
      <w:tr>
        <w:tc>
          <w:tcPr>
            <w:tcW w:w="5115" w:type="dxa"/>
          </w:tcPr>
          <w:p>
            <w:pPr>
              <w:pStyle w:val="0"/>
            </w:pPr>
            <w:r>
              <w:rPr>
                <w:sz w:val="20"/>
              </w:rPr>
              <w:t xml:space="preserve">реки с шириной зеркала в межень 25 м и более, судоходные реки, каналы, озера и другие водоемы, имеющие питьевое и рыбохозяйственное значение</w:t>
            </w:r>
          </w:p>
        </w:tc>
        <w:tc>
          <w:tcPr>
            <w:tcW w:w="2310" w:type="dxa"/>
          </w:tcPr>
          <w:p>
            <w:pPr>
              <w:pStyle w:val="0"/>
              <w:jc w:val="center"/>
            </w:pPr>
            <w:r>
              <w:rPr>
                <w:sz w:val="20"/>
              </w:rPr>
              <w:t xml:space="preserve">300</w:t>
            </w:r>
          </w:p>
        </w:tc>
        <w:tc>
          <w:tcPr>
            <w:tcW w:w="2475" w:type="dxa"/>
          </w:tcPr>
          <w:p>
            <w:pPr>
              <w:pStyle w:val="0"/>
              <w:jc w:val="center"/>
            </w:pPr>
            <w:r>
              <w:rPr>
                <w:sz w:val="20"/>
              </w:rPr>
              <w:t xml:space="preserve">500</w:t>
            </w:r>
          </w:p>
        </w:tc>
        <w:tc>
          <w:tcPr>
            <w:tcW w:w="2310" w:type="dxa"/>
          </w:tcPr>
          <w:p>
            <w:pPr>
              <w:pStyle w:val="0"/>
              <w:jc w:val="center"/>
            </w:pPr>
            <w:r>
              <w:rPr>
                <w:sz w:val="20"/>
              </w:rPr>
              <w:t xml:space="preserve">800</w:t>
            </w:r>
          </w:p>
        </w:tc>
      </w:tr>
      <w:tr>
        <w:tc>
          <w:tcPr>
            <w:tcW w:w="5115" w:type="dxa"/>
          </w:tcPr>
          <w:p>
            <w:pPr>
              <w:pStyle w:val="0"/>
            </w:pPr>
            <w:r>
              <w:rPr>
                <w:sz w:val="20"/>
              </w:rPr>
              <w:t xml:space="preserve">очистные сооружения, водопроводные и канализационные насосные станции с постоянным присутствием обслуживающего персонала</w:t>
            </w:r>
          </w:p>
        </w:tc>
        <w:tc>
          <w:tcPr>
            <w:tcW w:w="2310" w:type="dxa"/>
          </w:tcPr>
          <w:p>
            <w:pPr>
              <w:pStyle w:val="0"/>
              <w:jc w:val="center"/>
            </w:pPr>
            <w:r>
              <w:rPr>
                <w:sz w:val="20"/>
              </w:rPr>
              <w:t xml:space="preserve">300</w:t>
            </w:r>
          </w:p>
        </w:tc>
        <w:tc>
          <w:tcPr>
            <w:tcW w:w="2475" w:type="dxa"/>
          </w:tcPr>
          <w:p>
            <w:pPr>
              <w:pStyle w:val="0"/>
              <w:jc w:val="center"/>
            </w:pPr>
            <w:r>
              <w:rPr>
                <w:sz w:val="20"/>
              </w:rPr>
              <w:t xml:space="preserve">500</w:t>
            </w:r>
          </w:p>
        </w:tc>
        <w:tc>
          <w:tcPr>
            <w:tcW w:w="2310" w:type="dxa"/>
          </w:tcPr>
          <w:p>
            <w:pPr>
              <w:pStyle w:val="0"/>
              <w:jc w:val="center"/>
            </w:pPr>
            <w:r>
              <w:rPr>
                <w:sz w:val="20"/>
              </w:rPr>
              <w:t xml:space="preserve">800</w:t>
            </w:r>
          </w:p>
        </w:tc>
      </w:tr>
      <w:tr>
        <w:tc>
          <w:tcPr>
            <w:tcW w:w="5115" w:type="dxa"/>
          </w:tcPr>
          <w:p>
            <w:pPr>
              <w:pStyle w:val="0"/>
            </w:pPr>
            <w:r>
              <w:rPr>
                <w:sz w:val="20"/>
              </w:rPr>
              <w:t xml:space="preserve">автомобильные дороги общего пользования II, III категорий</w:t>
            </w:r>
          </w:p>
        </w:tc>
        <w:tc>
          <w:tcPr>
            <w:tcW w:w="2310" w:type="dxa"/>
          </w:tcPr>
          <w:p>
            <w:pPr>
              <w:pStyle w:val="0"/>
              <w:jc w:val="center"/>
            </w:pPr>
            <w:r>
              <w:rPr>
                <w:sz w:val="20"/>
              </w:rPr>
              <w:t xml:space="preserve">300</w:t>
            </w:r>
          </w:p>
        </w:tc>
        <w:tc>
          <w:tcPr>
            <w:tcW w:w="2475" w:type="dxa"/>
          </w:tcPr>
          <w:p>
            <w:pPr>
              <w:pStyle w:val="0"/>
              <w:jc w:val="center"/>
            </w:pPr>
            <w:r>
              <w:rPr>
                <w:sz w:val="20"/>
              </w:rPr>
              <w:t xml:space="preserve">500</w:t>
            </w:r>
          </w:p>
        </w:tc>
        <w:tc>
          <w:tcPr>
            <w:tcW w:w="2310" w:type="dxa"/>
          </w:tcPr>
          <w:p>
            <w:pPr>
              <w:pStyle w:val="0"/>
              <w:jc w:val="center"/>
            </w:pPr>
            <w:r>
              <w:rPr>
                <w:sz w:val="20"/>
              </w:rPr>
              <w:t xml:space="preserve">800</w:t>
            </w:r>
          </w:p>
        </w:tc>
      </w:tr>
      <w:tr>
        <w:tc>
          <w:tcPr>
            <w:tcW w:w="5115" w:type="dxa"/>
          </w:tcPr>
          <w:p>
            <w:pPr>
              <w:pStyle w:val="0"/>
            </w:pPr>
            <w:r>
              <w:rPr>
                <w:sz w:val="20"/>
              </w:rPr>
              <w:t xml:space="preserve">мосты железных дорог промышленных предприятий, автомобильных дорог общего пользования III категории и автомобильных дорог IV, V категорий с пролетом свыше 20 м</w:t>
            </w:r>
          </w:p>
        </w:tc>
        <w:tc>
          <w:tcPr>
            <w:tcW w:w="2310" w:type="dxa"/>
          </w:tcPr>
          <w:p>
            <w:pPr>
              <w:pStyle w:val="0"/>
              <w:jc w:val="center"/>
            </w:pPr>
            <w:r>
              <w:rPr>
                <w:sz w:val="20"/>
              </w:rPr>
              <w:t xml:space="preserve">300</w:t>
            </w:r>
          </w:p>
        </w:tc>
        <w:tc>
          <w:tcPr>
            <w:tcW w:w="2475" w:type="dxa"/>
          </w:tcPr>
          <w:p>
            <w:pPr>
              <w:pStyle w:val="0"/>
              <w:jc w:val="center"/>
            </w:pPr>
            <w:r>
              <w:rPr>
                <w:sz w:val="20"/>
              </w:rPr>
              <w:t xml:space="preserve">500</w:t>
            </w:r>
          </w:p>
        </w:tc>
        <w:tc>
          <w:tcPr>
            <w:tcW w:w="2310" w:type="dxa"/>
          </w:tcPr>
          <w:p>
            <w:pPr>
              <w:pStyle w:val="0"/>
              <w:jc w:val="center"/>
            </w:pPr>
            <w:r>
              <w:rPr>
                <w:sz w:val="20"/>
              </w:rPr>
              <w:t xml:space="preserve">800</w:t>
            </w:r>
          </w:p>
        </w:tc>
      </w:tr>
      <w:tr>
        <w:tc>
          <w:tcPr>
            <w:tcW w:w="5115" w:type="dxa"/>
          </w:tcPr>
          <w:bookmarkStart w:id="4252" w:name="P4252"/>
          <w:bookmarkEnd w:id="4252"/>
          <w:p>
            <w:pPr>
              <w:pStyle w:val="0"/>
            </w:pPr>
            <w:r>
              <w:rPr>
                <w:sz w:val="20"/>
              </w:rPr>
              <w:t xml:space="preserve">4. Железные дороги промышленных предприятий, автомобильные дороги общего пользования IV, V категорий</w:t>
            </w:r>
          </w:p>
        </w:tc>
        <w:tc>
          <w:tcPr>
            <w:tcW w:w="2310" w:type="dxa"/>
          </w:tcPr>
          <w:p>
            <w:pPr>
              <w:pStyle w:val="0"/>
              <w:jc w:val="center"/>
            </w:pPr>
            <w:r>
              <w:rPr>
                <w:sz w:val="20"/>
              </w:rPr>
              <w:t xml:space="preserve">150</w:t>
            </w:r>
          </w:p>
        </w:tc>
        <w:tc>
          <w:tcPr>
            <w:tcW w:w="2475" w:type="dxa"/>
          </w:tcPr>
          <w:p>
            <w:pPr>
              <w:pStyle w:val="0"/>
              <w:jc w:val="center"/>
            </w:pPr>
            <w:r>
              <w:rPr>
                <w:sz w:val="20"/>
              </w:rPr>
              <w:t xml:space="preserve">200</w:t>
            </w:r>
          </w:p>
        </w:tc>
        <w:tc>
          <w:tcPr>
            <w:tcW w:w="2310" w:type="dxa"/>
          </w:tcPr>
          <w:p>
            <w:pPr>
              <w:pStyle w:val="0"/>
              <w:jc w:val="center"/>
            </w:pPr>
            <w:r>
              <w:rPr>
                <w:sz w:val="20"/>
              </w:rPr>
              <w:t xml:space="preserve">300</w:t>
            </w:r>
          </w:p>
        </w:tc>
      </w:tr>
      <w:tr>
        <w:tc>
          <w:tcPr>
            <w:tcW w:w="5115" w:type="dxa"/>
          </w:tcPr>
          <w:p>
            <w:pPr>
              <w:pStyle w:val="0"/>
            </w:pPr>
            <w:r>
              <w:rPr>
                <w:sz w:val="20"/>
              </w:rPr>
              <w:t xml:space="preserve">территории промежуточных НС данного трубопровода</w:t>
            </w:r>
          </w:p>
        </w:tc>
        <w:tc>
          <w:tcPr>
            <w:tcW w:w="2310" w:type="dxa"/>
          </w:tcPr>
          <w:p>
            <w:pPr>
              <w:pStyle w:val="0"/>
              <w:jc w:val="center"/>
            </w:pPr>
            <w:r>
              <w:rPr>
                <w:sz w:val="20"/>
              </w:rPr>
              <w:t xml:space="preserve">150</w:t>
            </w:r>
          </w:p>
        </w:tc>
        <w:tc>
          <w:tcPr>
            <w:tcW w:w="2475" w:type="dxa"/>
          </w:tcPr>
          <w:p>
            <w:pPr>
              <w:pStyle w:val="0"/>
              <w:jc w:val="center"/>
            </w:pPr>
            <w:r>
              <w:rPr>
                <w:sz w:val="20"/>
              </w:rPr>
              <w:t xml:space="preserve">200</w:t>
            </w:r>
          </w:p>
        </w:tc>
        <w:tc>
          <w:tcPr>
            <w:tcW w:w="2310" w:type="dxa"/>
          </w:tcPr>
          <w:p>
            <w:pPr>
              <w:pStyle w:val="0"/>
              <w:jc w:val="center"/>
            </w:pPr>
            <w:r>
              <w:rPr>
                <w:sz w:val="20"/>
              </w:rPr>
              <w:t xml:space="preserve">300</w:t>
            </w:r>
          </w:p>
        </w:tc>
      </w:tr>
      <w:tr>
        <w:tc>
          <w:tcPr>
            <w:tcW w:w="5115" w:type="dxa"/>
          </w:tcPr>
          <w:p>
            <w:pPr>
              <w:pStyle w:val="0"/>
            </w:pPr>
            <w:r>
              <w:rPr>
                <w:sz w:val="20"/>
              </w:rPr>
              <w:t xml:space="preserve">отдельно стоящие нежилые и подсобные здания, пункты обогрева ремонтных бригад, вертодромы и посадочные площадки без базирования на них вертолетов, мачты (башни) и сооружения технологической связи трубопроводов (кроме мачт, указанных в </w:t>
            </w:r>
            <w:hyperlink w:history="0" w:anchor="P4273" w:tooltip="8. Мачты малоканальной необслуживаемой радиосвязи трубопроводов">
              <w:r>
                <w:rPr>
                  <w:sz w:val="20"/>
                  <w:color w:val="0000ff"/>
                </w:rPr>
                <w:t xml:space="preserve">пункте 8</w:t>
              </w:r>
            </w:hyperlink>
            <w:r>
              <w:rPr>
                <w:sz w:val="20"/>
              </w:rPr>
              <w:t xml:space="preserve"> настоящей таблицы), гаражи и открытые стоянки (не менее 20 автомобилей)</w:t>
            </w:r>
          </w:p>
        </w:tc>
        <w:tc>
          <w:tcPr>
            <w:tcW w:w="2310" w:type="dxa"/>
          </w:tcPr>
          <w:p>
            <w:pPr>
              <w:pStyle w:val="0"/>
              <w:jc w:val="center"/>
            </w:pPr>
            <w:r>
              <w:rPr>
                <w:sz w:val="20"/>
              </w:rPr>
              <w:t xml:space="preserve">150</w:t>
            </w:r>
          </w:p>
        </w:tc>
        <w:tc>
          <w:tcPr>
            <w:tcW w:w="2475" w:type="dxa"/>
          </w:tcPr>
          <w:p>
            <w:pPr>
              <w:pStyle w:val="0"/>
              <w:jc w:val="center"/>
            </w:pPr>
            <w:r>
              <w:rPr>
                <w:sz w:val="20"/>
              </w:rPr>
              <w:t xml:space="preserve">200</w:t>
            </w:r>
          </w:p>
        </w:tc>
        <w:tc>
          <w:tcPr>
            <w:tcW w:w="2310" w:type="dxa"/>
          </w:tcPr>
          <w:p>
            <w:pPr>
              <w:pStyle w:val="0"/>
              <w:jc w:val="center"/>
            </w:pPr>
            <w:r>
              <w:rPr>
                <w:sz w:val="20"/>
              </w:rPr>
              <w:t xml:space="preserve">300</w:t>
            </w:r>
          </w:p>
        </w:tc>
      </w:tr>
      <w:tr>
        <w:tc>
          <w:tcPr>
            <w:tcW w:w="5115" w:type="dxa"/>
          </w:tcPr>
          <w:bookmarkStart w:id="4264" w:name="P4264"/>
          <w:bookmarkEnd w:id="4264"/>
          <w:p>
            <w:pPr>
              <w:pStyle w:val="0"/>
            </w:pPr>
            <w:r>
              <w:rPr>
                <w:sz w:val="20"/>
              </w:rPr>
              <w:t xml:space="preserve">5. Устья нефтяных, газовых и артезианских скважин, находящихся в процессе бурения и эксплуатации</w:t>
            </w:r>
          </w:p>
        </w:tc>
        <w:tc>
          <w:tcPr>
            <w:tcW w:w="2310" w:type="dxa"/>
          </w:tcPr>
          <w:p>
            <w:pPr>
              <w:pStyle w:val="0"/>
              <w:jc w:val="center"/>
            </w:pPr>
            <w:r>
              <w:rPr>
                <w:sz w:val="20"/>
              </w:rPr>
              <w:t xml:space="preserve">75</w:t>
            </w:r>
          </w:p>
        </w:tc>
        <w:tc>
          <w:tcPr>
            <w:tcW w:w="2475" w:type="dxa"/>
          </w:tcPr>
          <w:p>
            <w:pPr>
              <w:pStyle w:val="0"/>
              <w:jc w:val="center"/>
            </w:pPr>
            <w:r>
              <w:rPr>
                <w:sz w:val="20"/>
              </w:rPr>
              <w:t xml:space="preserve">100</w:t>
            </w:r>
          </w:p>
        </w:tc>
        <w:tc>
          <w:tcPr>
            <w:tcW w:w="2310" w:type="dxa"/>
          </w:tcPr>
          <w:p>
            <w:pPr>
              <w:pStyle w:val="0"/>
              <w:jc w:val="center"/>
            </w:pPr>
            <w:r>
              <w:rPr>
                <w:sz w:val="20"/>
              </w:rPr>
              <w:t xml:space="preserve">150</w:t>
            </w:r>
          </w:p>
        </w:tc>
      </w:tr>
      <w:tr>
        <w:tc>
          <w:tcPr>
            <w:tcW w:w="5115" w:type="dxa"/>
          </w:tcPr>
          <w:p>
            <w:pPr>
              <w:pStyle w:val="0"/>
            </w:pPr>
            <w:r>
              <w:rPr>
                <w:sz w:val="20"/>
              </w:rPr>
              <w:t xml:space="preserve">6. Специальные предприятия, сооружения, площадки, охраняемые зоны, склады взрывчатых и взрывоопасных веществ, карьеры полезных ископаемых с применением при добыче взрывных работ, склады сжиженных газов</w:t>
            </w:r>
          </w:p>
        </w:tc>
        <w:tc>
          <w:tcPr>
            <w:gridSpan w:val="3"/>
            <w:tcW w:w="7095" w:type="dxa"/>
          </w:tcPr>
          <w:p>
            <w:pPr>
              <w:pStyle w:val="0"/>
              <w:jc w:val="both"/>
            </w:pPr>
            <w:r>
              <w:rPr>
                <w:sz w:val="20"/>
              </w:rPr>
              <w:t xml:space="preserve">В соответствии с требованиями специальных нормативных документов, утвержденных в установленном порядке, и другим нормативным документам в области стандартизации</w:t>
            </w:r>
          </w:p>
        </w:tc>
      </w:tr>
      <w:tr>
        <w:tc>
          <w:tcPr>
            <w:tcW w:w="5115" w:type="dxa"/>
          </w:tcPr>
          <w:p>
            <w:pPr>
              <w:pStyle w:val="0"/>
            </w:pPr>
            <w:r>
              <w:rPr>
                <w:sz w:val="20"/>
              </w:rPr>
              <w:t xml:space="preserve">7. Воздушные линии электропередачи высокого напряжения, параллельно которым прокладывается трубопровод, опоры воздушных линий электропередачи высокого напряжения при пересечении их трубопроводом</w:t>
            </w:r>
          </w:p>
        </w:tc>
        <w:tc>
          <w:tcPr>
            <w:gridSpan w:val="3"/>
            <w:tcW w:w="7095" w:type="dxa"/>
          </w:tcPr>
          <w:p>
            <w:pPr>
              <w:pStyle w:val="0"/>
              <w:jc w:val="center"/>
            </w:pPr>
            <w:r>
              <w:rPr>
                <w:sz w:val="20"/>
              </w:rPr>
              <w:t xml:space="preserve">В соответствии с требованиями</w:t>
            </w:r>
          </w:p>
          <w:p>
            <w:pPr>
              <w:pStyle w:val="0"/>
              <w:jc w:val="center"/>
            </w:pPr>
            <w:hyperlink w:history="0" w:anchor="P4427" w:tooltip="[1]        ПУЭ        &quot;Правила устройства электроустановок&quot;, издание 6 и 7.">
              <w:r>
                <w:rPr>
                  <w:sz w:val="20"/>
                  <w:color w:val="0000ff"/>
                </w:rPr>
                <w:t xml:space="preserve">[1]</w:t>
              </w:r>
            </w:hyperlink>
          </w:p>
        </w:tc>
      </w:tr>
      <w:tr>
        <w:tc>
          <w:tcPr>
            <w:tcW w:w="5115" w:type="dxa"/>
          </w:tcPr>
          <w:bookmarkStart w:id="4273" w:name="P4273"/>
          <w:bookmarkEnd w:id="4273"/>
          <w:p>
            <w:pPr>
              <w:pStyle w:val="0"/>
            </w:pPr>
            <w:r>
              <w:rPr>
                <w:sz w:val="20"/>
              </w:rPr>
              <w:t xml:space="preserve">8. Мачты малоканальной необслуживаемой радиосвязи трубопроводов</w:t>
            </w:r>
          </w:p>
        </w:tc>
        <w:tc>
          <w:tcPr>
            <w:tcW w:w="2310" w:type="dxa"/>
          </w:tcPr>
          <w:p>
            <w:pPr>
              <w:pStyle w:val="0"/>
              <w:jc w:val="center"/>
            </w:pPr>
            <w:r>
              <w:rPr>
                <w:sz w:val="20"/>
              </w:rPr>
              <w:t xml:space="preserve">15</w:t>
            </w:r>
          </w:p>
        </w:tc>
        <w:tc>
          <w:tcPr>
            <w:tcW w:w="2475" w:type="dxa"/>
          </w:tcPr>
          <w:p>
            <w:pPr>
              <w:pStyle w:val="0"/>
              <w:jc w:val="center"/>
            </w:pPr>
            <w:r>
              <w:rPr>
                <w:sz w:val="20"/>
              </w:rPr>
              <w:t xml:space="preserve">15</w:t>
            </w:r>
          </w:p>
        </w:tc>
        <w:tc>
          <w:tcPr>
            <w:tcW w:w="2310" w:type="dxa"/>
          </w:tcPr>
          <w:p>
            <w:pPr>
              <w:pStyle w:val="0"/>
              <w:jc w:val="center"/>
            </w:pPr>
            <w:r>
              <w:rPr>
                <w:sz w:val="20"/>
              </w:rPr>
              <w:t xml:space="preserve">15</w:t>
            </w:r>
          </w:p>
        </w:tc>
      </w:tr>
      <w:tr>
        <w:tc>
          <w:tcPr>
            <w:tcW w:w="5115" w:type="dxa"/>
          </w:tcPr>
          <w:bookmarkStart w:id="4277" w:name="P4277"/>
          <w:bookmarkEnd w:id="4277"/>
          <w:p>
            <w:pPr>
              <w:pStyle w:val="0"/>
            </w:pPr>
            <w:r>
              <w:rPr>
                <w:sz w:val="20"/>
              </w:rPr>
              <w:t xml:space="preserve">9. Вдоль трассовый проезд</w:t>
            </w:r>
          </w:p>
        </w:tc>
        <w:tc>
          <w:tcPr>
            <w:tcW w:w="2310" w:type="dxa"/>
          </w:tcPr>
          <w:p>
            <w:pPr>
              <w:pStyle w:val="0"/>
              <w:jc w:val="center"/>
            </w:pPr>
            <w:r>
              <w:rPr>
                <w:sz w:val="20"/>
              </w:rPr>
              <w:t xml:space="preserve">15</w:t>
            </w:r>
          </w:p>
        </w:tc>
        <w:tc>
          <w:tcPr>
            <w:tcW w:w="2475" w:type="dxa"/>
          </w:tcPr>
          <w:p>
            <w:pPr>
              <w:pStyle w:val="0"/>
              <w:jc w:val="center"/>
            </w:pPr>
            <w:r>
              <w:rPr>
                <w:sz w:val="20"/>
              </w:rPr>
              <w:t xml:space="preserve">15</w:t>
            </w:r>
          </w:p>
        </w:tc>
        <w:tc>
          <w:tcPr>
            <w:tcW w:w="2310" w:type="dxa"/>
          </w:tcPr>
          <w:p>
            <w:pPr>
              <w:pStyle w:val="0"/>
              <w:jc w:val="center"/>
            </w:pPr>
            <w:r>
              <w:rPr>
                <w:sz w:val="20"/>
              </w:rPr>
              <w:t xml:space="preserve">15</w:t>
            </w:r>
          </w:p>
        </w:tc>
      </w:tr>
    </w:tbl>
    <w:p>
      <w:pPr>
        <w:sectPr>
          <w:headerReference w:type="default" r:id="rId212"/>
          <w:headerReference w:type="first" r:id="rId212"/>
          <w:footerReference w:type="default" r:id="rId213"/>
          <w:footerReference w:type="first" r:id="rId213"/>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Примечания.</w:t>
      </w:r>
    </w:p>
    <w:bookmarkStart w:id="4283" w:name="P4283"/>
    <w:bookmarkEnd w:id="4283"/>
    <w:p>
      <w:pPr>
        <w:pStyle w:val="0"/>
        <w:spacing w:before="200" w:line-rule="auto"/>
        <w:ind w:firstLine="540"/>
        <w:jc w:val="both"/>
      </w:pPr>
      <w:r>
        <w:rPr>
          <w:sz w:val="20"/>
        </w:rPr>
        <w:t xml:space="preserve">1. Допускается сокращение указанных в </w:t>
      </w:r>
      <w:hyperlink w:history="0" w:anchor="P4192" w:tooltip="1. Города и поселения городского типа">
        <w:r>
          <w:rPr>
            <w:sz w:val="20"/>
            <w:color w:val="0000ff"/>
          </w:rPr>
          <w:t xml:space="preserve">позициях 1</w:t>
        </w:r>
      </w:hyperlink>
      <w:r>
        <w:rPr>
          <w:sz w:val="20"/>
        </w:rPr>
        <w:t xml:space="preserve">, </w:t>
      </w:r>
      <w:hyperlink w:history="0" w:anchor="P4196" w:tooltip="2. Сельские поселения, коллективные сады с садовыми домиками, дачные поселки, отдельные промышленные и сельскохозяйственные предприятия, тепличные комбинаты и хозяйства, птицефабрики, молокозаводы, карьеры разработки полезных ископаемых, индивидуальные гаражи и открытые стоянки (более 20 автомобилей), отдельно стоящие здания с массовым скоплением людей (школы, больницы, клубы, вокзалы и т.д.), жилые 2-этажные здания и выше">
        <w:r>
          <w:rPr>
            <w:sz w:val="20"/>
            <w:color w:val="0000ff"/>
          </w:rPr>
          <w:t xml:space="preserve">2</w:t>
        </w:r>
      </w:hyperlink>
      <w:r>
        <w:rPr>
          <w:sz w:val="20"/>
        </w:rPr>
        <w:t xml:space="preserve"> расстояний при условии выполнения следующих технических решений:</w:t>
      </w:r>
    </w:p>
    <w:p>
      <w:pPr>
        <w:pStyle w:val="0"/>
        <w:spacing w:before="200" w:line-rule="auto"/>
        <w:ind w:firstLine="540"/>
        <w:jc w:val="both"/>
      </w:pPr>
      <w:r>
        <w:rPr>
          <w:sz w:val="20"/>
        </w:rPr>
        <w:t xml:space="preserve">прокладки трубопровода в кожухе - не более чем на 50%;</w:t>
      </w:r>
    </w:p>
    <w:p>
      <w:pPr>
        <w:pStyle w:val="0"/>
        <w:spacing w:before="200" w:line-rule="auto"/>
        <w:ind w:firstLine="540"/>
        <w:jc w:val="both"/>
      </w:pPr>
      <w:r>
        <w:rPr>
          <w:sz w:val="20"/>
        </w:rPr>
        <w:t xml:space="preserve">уменьшения нормативного расстояния между запорной арматурой в 2 раза (до 5 км) - не более чем на 20%, в 4 раза - не более чем на 30%;</w:t>
      </w:r>
    </w:p>
    <w:p>
      <w:pPr>
        <w:pStyle w:val="0"/>
        <w:spacing w:before="200" w:line-rule="auto"/>
        <w:ind w:firstLine="540"/>
        <w:jc w:val="both"/>
      </w:pPr>
      <w:r>
        <w:rPr>
          <w:sz w:val="20"/>
        </w:rPr>
        <w:t xml:space="preserve">содержания в перекачиваемых СУГ менее 10% пропановых и других низкотемпературных фракций - не более чем на 50%.</w:t>
      </w:r>
    </w:p>
    <w:p>
      <w:pPr>
        <w:pStyle w:val="0"/>
        <w:spacing w:before="200" w:line-rule="auto"/>
        <w:ind w:firstLine="540"/>
        <w:jc w:val="both"/>
      </w:pPr>
      <w:r>
        <w:rPr>
          <w:sz w:val="20"/>
        </w:rPr>
        <w:t xml:space="preserve">Во всех перечисленных случаях должны быть предусмотрены средства автоматизированного отключения этих участков трубопроводов при появлении утечек, а также не реже одного раза а два года их диагностирование неразрушающими методами контроля.</w:t>
      </w:r>
    </w:p>
    <w:p>
      <w:pPr>
        <w:pStyle w:val="0"/>
        <w:spacing w:before="200" w:line-rule="auto"/>
        <w:ind w:firstLine="540"/>
        <w:jc w:val="both"/>
      </w:pPr>
      <w:r>
        <w:rPr>
          <w:sz w:val="20"/>
        </w:rPr>
        <w:t xml:space="preserve">Коэффициент надежности по назначению этих участков трубопроводов (регламентируется требованиями других нормативных документов в области стандартизации) допускается принимать равным 1,1, а коэффициент надежности по нагрузке от внутреннего давления - 1,15.</w:t>
      </w:r>
    </w:p>
    <w:p>
      <w:pPr>
        <w:pStyle w:val="0"/>
        <w:spacing w:before="200" w:line-rule="auto"/>
        <w:ind w:firstLine="540"/>
        <w:jc w:val="both"/>
      </w:pPr>
      <w:r>
        <w:rPr>
          <w:sz w:val="20"/>
        </w:rPr>
        <w:t xml:space="preserve">2. На болотах III типа допускается сокращение расстояний до 5 м по позиции 9 с учетом совместной прокладки в одной насыпи труб и кабеля связи.</w:t>
      </w:r>
    </w:p>
    <w:p>
      <w:pPr>
        <w:pStyle w:val="0"/>
        <w:spacing w:before="200" w:line-rule="auto"/>
        <w:ind w:firstLine="540"/>
        <w:jc w:val="both"/>
      </w:pPr>
      <w:r>
        <w:rPr>
          <w:sz w:val="20"/>
        </w:rPr>
        <w:t xml:space="preserve">3. Минимальные расстояния от оси трубопроводов до зданий и сооружений при надземной прокладке должны приниматься с коэффициентами: 1 - для </w:t>
      </w:r>
      <w:hyperlink w:history="0" w:anchor="P4192" w:tooltip="1. Города и поселения городского типа">
        <w:r>
          <w:rPr>
            <w:sz w:val="20"/>
            <w:color w:val="0000ff"/>
          </w:rPr>
          <w:t xml:space="preserve">позиций 1</w:t>
        </w:r>
      </w:hyperlink>
      <w:r>
        <w:rPr>
          <w:sz w:val="20"/>
        </w:rPr>
        <w:t xml:space="preserve">, </w:t>
      </w:r>
      <w:hyperlink w:history="0" w:anchor="P4196" w:tooltip="2. Сельские поселения, коллективные сады с садовыми домиками, дачные поселки, отдельные промышленные и сельскохозяйственные предприятия, тепличные комбинаты и хозяйства, птицефабрики, молокозаводы, карьеры разработки полезных ископаемых, индивидуальные гаражи и открытые стоянки (более 20 автомобилей), отдельно стоящие здания с массовым скоплением людей (школы, больницы, клубы, вокзалы и т.д.), жилые 2-этажные здания и выше">
        <w:r>
          <w:rPr>
            <w:sz w:val="20"/>
            <w:color w:val="0000ff"/>
          </w:rPr>
          <w:t xml:space="preserve">2</w:t>
        </w:r>
      </w:hyperlink>
      <w:r>
        <w:rPr>
          <w:sz w:val="20"/>
        </w:rPr>
        <w:t xml:space="preserve">, </w:t>
      </w:r>
      <w:hyperlink w:history="0" w:anchor="P4264" w:tooltip="5. Устья нефтяных, газовых и артезианских скважин, находящихся в процессе бурения и эксплуатации">
        <w:r>
          <w:rPr>
            <w:sz w:val="20"/>
            <w:color w:val="0000ff"/>
          </w:rPr>
          <w:t xml:space="preserve">5</w:t>
        </w:r>
      </w:hyperlink>
      <w:r>
        <w:rPr>
          <w:sz w:val="20"/>
        </w:rPr>
        <w:t xml:space="preserve">, </w:t>
      </w:r>
      <w:hyperlink w:history="0" w:anchor="P4273" w:tooltip="8. Мачты малоканальной необслуживаемой радиосвязи трубопроводов">
        <w:r>
          <w:rPr>
            <w:sz w:val="20"/>
            <w:color w:val="0000ff"/>
          </w:rPr>
          <w:t xml:space="preserve">8</w:t>
        </w:r>
      </w:hyperlink>
      <w:r>
        <w:rPr>
          <w:sz w:val="20"/>
        </w:rPr>
        <w:t xml:space="preserve"> и </w:t>
      </w:r>
      <w:hyperlink w:history="0" w:anchor="P4277" w:tooltip="9. Вдоль трассовый проезд">
        <w:r>
          <w:rPr>
            <w:sz w:val="20"/>
            <w:color w:val="0000ff"/>
          </w:rPr>
          <w:t xml:space="preserve">9</w:t>
        </w:r>
      </w:hyperlink>
      <w:r>
        <w:rPr>
          <w:sz w:val="20"/>
        </w:rPr>
        <w:t xml:space="preserve">; 1,5 - для </w:t>
      </w:r>
      <w:hyperlink w:history="0" w:anchor="P4232" w:tooltip="3. Отдельно стоящие жилые дома до двух этажей, кладбища (действующие), сельскохозяйственные фермы, полевые станы">
        <w:r>
          <w:rPr>
            <w:sz w:val="20"/>
            <w:color w:val="0000ff"/>
          </w:rPr>
          <w:t xml:space="preserve">позиций 3</w:t>
        </w:r>
      </w:hyperlink>
      <w:r>
        <w:rPr>
          <w:sz w:val="20"/>
        </w:rPr>
        <w:t xml:space="preserve">, </w:t>
      </w:r>
      <w:hyperlink w:history="0" w:anchor="P4252" w:tooltip="4. Железные дороги промышленных предприятий, автомобильные дороги общего пользования IV, V категорий">
        <w:r>
          <w:rPr>
            <w:sz w:val="20"/>
            <w:color w:val="0000ff"/>
          </w:rPr>
          <w:t xml:space="preserve">4</w:t>
        </w:r>
      </w:hyperlink>
      <w:r>
        <w:rPr>
          <w:sz w:val="20"/>
        </w:rPr>
        <w:t xml:space="preserve">.</w:t>
      </w:r>
    </w:p>
    <w:p>
      <w:pPr>
        <w:pStyle w:val="0"/>
        <w:spacing w:before="200" w:line-rule="auto"/>
        <w:ind w:firstLine="540"/>
        <w:jc w:val="both"/>
      </w:pPr>
      <w:r>
        <w:rPr>
          <w:sz w:val="20"/>
        </w:rPr>
        <w:t xml:space="preserve">При надземной прокладке сокращение минимальных расстояний допускается принимать таким же, как и для подземной (</w:t>
      </w:r>
      <w:hyperlink w:history="0" w:anchor="P4283" w:tooltip="1. Допускается сокращение указанных в позициях 1, 2 расстояний при условии выполнения следующих технических решений:">
        <w:r>
          <w:rPr>
            <w:sz w:val="20"/>
            <w:color w:val="0000ff"/>
          </w:rPr>
          <w:t xml:space="preserve">пункт 1</w:t>
        </w:r>
      </w:hyperlink>
      <w:r>
        <w:rPr>
          <w:sz w:val="20"/>
        </w:rPr>
        <w:t xml:space="preserve"> настоящих примечаний).</w:t>
      </w:r>
    </w:p>
    <w:p>
      <w:pPr>
        <w:pStyle w:val="0"/>
        <w:spacing w:before="200" w:line-rule="auto"/>
        <w:ind w:firstLine="540"/>
        <w:jc w:val="both"/>
      </w:pPr>
      <w:r>
        <w:rPr>
          <w:sz w:val="20"/>
        </w:rPr>
        <w:t xml:space="preserve">4. Трубопроводы СУГ должны располагаться за пределами границ поверхностей взлета и заходов на посадку к аэродромам.</w:t>
      </w:r>
    </w:p>
    <w:p>
      <w:pPr>
        <w:pStyle w:val="0"/>
        <w:spacing w:before="200" w:line-rule="auto"/>
        <w:ind w:firstLine="540"/>
        <w:jc w:val="both"/>
      </w:pPr>
      <w:r>
        <w:rPr>
          <w:sz w:val="20"/>
        </w:rPr>
        <w:t xml:space="preserve">5. </w:t>
      </w:r>
      <w:hyperlink w:history="0" w:anchor="P3893" w:tooltip="1. Расстояния, указанные в таблице, следует принимать: для городов и других населенных пунктов - от проектной городской черты на расчетный срок 20 - 25 лет; для отдельных промышленных предприятий, железнодорожных станций, аэродромов, морских и речных портов и пристаней, гидротехнических сооружений, складов горючих и легковоспламеняющихся материалов, артезианских скважин - от границ отведенных им территорий с учетом их развития; для железных дорог - от подошвы насыпи или бровки выемки со стороны трубопров...">
        <w:r>
          <w:rPr>
            <w:sz w:val="20"/>
            <w:color w:val="0000ff"/>
          </w:rPr>
          <w:t xml:space="preserve">Примечания 1</w:t>
        </w:r>
      </w:hyperlink>
      <w:r>
        <w:rPr>
          <w:sz w:val="20"/>
        </w:rPr>
        <w:t xml:space="preserve"> - </w:t>
      </w:r>
      <w:hyperlink w:history="0" w:anchor="P3896" w:tooltip="3. Минимальные расстояния от мостов железных и автомобильных дорог с пролетом 20 м и менее следует принимать такие же, как от соответствующих дорог.">
        <w:r>
          <w:rPr>
            <w:sz w:val="20"/>
            <w:color w:val="0000ff"/>
          </w:rPr>
          <w:t xml:space="preserve">3</w:t>
        </w:r>
      </w:hyperlink>
      <w:r>
        <w:rPr>
          <w:sz w:val="20"/>
        </w:rPr>
        <w:t xml:space="preserve"> к таблице 44 распространяются на </w:t>
      </w:r>
      <w:hyperlink w:history="0" w:anchor="P4185" w:tooltip="Таблица 46">
        <w:r>
          <w:rPr>
            <w:sz w:val="20"/>
            <w:color w:val="0000ff"/>
          </w:rPr>
          <w:t xml:space="preserve">таблицу 46</w:t>
        </w:r>
      </w:hyperlink>
      <w:r>
        <w:rPr>
          <w:sz w:val="20"/>
        </w:rPr>
        <w:t xml:space="preserve">.</w:t>
      </w:r>
    </w:p>
    <w:p>
      <w:pPr>
        <w:pStyle w:val="0"/>
        <w:spacing w:before="200" w:line-rule="auto"/>
        <w:ind w:firstLine="540"/>
        <w:jc w:val="both"/>
      </w:pPr>
      <w:r>
        <w:rPr>
          <w:sz w:val="20"/>
        </w:rPr>
        <w:t xml:space="preserve">6. Утратил силу. - </w:t>
      </w:r>
      <w:hyperlink w:history="0" r:id="rId417"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w:t>
        </w:r>
      </w:hyperlink>
      <w:r>
        <w:rPr>
          <w:sz w:val="20"/>
        </w:rPr>
        <w:t xml:space="preserve"> МЧС России от 14.02.2020 N 89.</w:t>
      </w:r>
    </w:p>
    <w:p>
      <w:pPr>
        <w:pStyle w:val="0"/>
        <w:ind w:firstLine="540"/>
        <w:jc w:val="both"/>
      </w:pPr>
      <w:r>
        <w:rPr>
          <w:sz w:val="20"/>
        </w:rPr>
      </w:r>
    </w:p>
    <w:p>
      <w:pPr>
        <w:pStyle w:val="0"/>
        <w:ind w:firstLine="540"/>
        <w:jc w:val="both"/>
      </w:pPr>
      <w:r>
        <w:rPr>
          <w:sz w:val="20"/>
        </w:rPr>
        <w:t xml:space="preserve">6.12.14. В качестве линейной запорной арматуры, устанавливаемой на трубопроводах СУГ, необходимо предусматривать арматуру бессальниковой конструкции, предназначенную для бесколодезной установки.</w:t>
      </w:r>
    </w:p>
    <w:p>
      <w:pPr>
        <w:pStyle w:val="0"/>
        <w:spacing w:before="200" w:line-rule="auto"/>
        <w:ind w:firstLine="540"/>
        <w:jc w:val="both"/>
      </w:pPr>
      <w:r>
        <w:rPr>
          <w:sz w:val="20"/>
        </w:rPr>
        <w:t xml:space="preserve">6.12.15. Запорная арматура, устанавливаемая на трубопроводах СУГ, должна быть стальной и предназначаться для соединения с трубопроводами при помощи сварки.</w:t>
      </w:r>
    </w:p>
    <w:p>
      <w:pPr>
        <w:pStyle w:val="0"/>
        <w:spacing w:before="200" w:line-rule="auto"/>
        <w:ind w:firstLine="540"/>
        <w:jc w:val="both"/>
      </w:pPr>
      <w:r>
        <w:rPr>
          <w:sz w:val="20"/>
        </w:rPr>
        <w:t xml:space="preserve">Применение фланцевой арматуры допускается только для подключения трубопроводов СУГ к оборудованию, а также к устройствам, используемым при производстве ремонтных работ.</w:t>
      </w:r>
    </w:p>
    <w:p>
      <w:pPr>
        <w:pStyle w:val="0"/>
        <w:spacing w:before="200" w:line-rule="auto"/>
        <w:ind w:firstLine="540"/>
        <w:jc w:val="both"/>
      </w:pPr>
      <w:r>
        <w:rPr>
          <w:sz w:val="20"/>
        </w:rPr>
        <w:t xml:space="preserve">6.12.16. Расстояние между линейной запорной арматурой, устанавливаемой на трубопроводе СУГ, должно быть не более 10 км.</w:t>
      </w:r>
    </w:p>
    <w:p>
      <w:pPr>
        <w:pStyle w:val="0"/>
        <w:spacing w:before="200" w:line-rule="auto"/>
        <w:ind w:firstLine="540"/>
        <w:jc w:val="both"/>
      </w:pPr>
      <w:r>
        <w:rPr>
          <w:sz w:val="20"/>
        </w:rPr>
        <w:t xml:space="preserve">6.12.17. Линейная запорная арматура, а также запорная арматура, устанавливаемая у границ участков трубопроводов СУГ категории В, должна иметь дистанционное управление. Класс герметичности затвора указанной запорной арматуры - "А" согласно </w:t>
      </w:r>
      <w:hyperlink w:history="0" r:id="rId418" w:tooltip="&quot;ГОСТ 9544-2005. Межгосударственный стандарт. Арматура трубопроводная запорная. Классы и нормы герметичности затворов&quot; (введен в действие Приказом Ростехрегулирования от 29.02.2008 N 23-ст) (ред. от 30.11.2010) ------------ Утратил силу или отменен {КонсультантПлюс}">
        <w:r>
          <w:rPr>
            <w:sz w:val="20"/>
            <w:color w:val="0000ff"/>
          </w:rPr>
          <w:t xml:space="preserve">ГОСТ 9544</w:t>
        </w:r>
      </w:hyperlink>
      <w:r>
        <w:rPr>
          <w:sz w:val="20"/>
        </w:rPr>
        <w:t xml:space="preserve">.</w:t>
      </w:r>
    </w:p>
    <w:p>
      <w:pPr>
        <w:pStyle w:val="0"/>
        <w:spacing w:before="200" w:line-rule="auto"/>
        <w:ind w:firstLine="540"/>
        <w:jc w:val="both"/>
      </w:pPr>
      <w:r>
        <w:rPr>
          <w:sz w:val="20"/>
        </w:rPr>
        <w:t xml:space="preserve">При этом для участков, оговоренных в </w:t>
      </w:r>
      <w:hyperlink w:history="0" w:anchor="P1434" w:tooltip="6.2.13. Участки перекрытий и технологических площадок, на которых установлены аппараты, установки и оборудование с наличием в них легковоспламеняющихся, горючих жидкостей, должны иметь глухие бортики или поддоны из материалов НГ. Высота бортиков и площадь между бортиками или поддонов устанавливаются в технологической части проекта.">
        <w:r>
          <w:rPr>
            <w:sz w:val="20"/>
            <w:color w:val="0000ff"/>
          </w:rPr>
          <w:t xml:space="preserve">пункте 6.2.13</w:t>
        </w:r>
      </w:hyperlink>
      <w:r>
        <w:rPr>
          <w:sz w:val="20"/>
        </w:rPr>
        <w:t xml:space="preserve">, должно предусматриваться автоматизированное отключение запорной арматуры в случае утечки СУГ.</w:t>
      </w:r>
    </w:p>
    <w:p>
      <w:pPr>
        <w:pStyle w:val="0"/>
        <w:spacing w:before="200" w:line-rule="auto"/>
        <w:ind w:firstLine="540"/>
        <w:jc w:val="both"/>
      </w:pPr>
      <w:r>
        <w:rPr>
          <w:sz w:val="20"/>
        </w:rPr>
        <w:t xml:space="preserve">6.12.18. Каждый узел линейной запорной арматуры должен иметь обвязку трубопроводами диаметром 100 - 150 мм, обеспечивающую возможность перепуска и перекачки СУГ из одного участка в другой и подключения инвентарного устройства утилизации.</w:t>
      </w:r>
    </w:p>
    <w:p>
      <w:pPr>
        <w:pStyle w:val="0"/>
        <w:spacing w:before="200" w:line-rule="auto"/>
        <w:ind w:firstLine="540"/>
        <w:jc w:val="both"/>
      </w:pPr>
      <w:r>
        <w:rPr>
          <w:sz w:val="20"/>
        </w:rPr>
        <w:t xml:space="preserve">6.12.19. Не допускается для трубопроводов СУГ устройство колодцев для сбора продукта из футляров, предусматриваемых на переходах через железные и автомобильные дороги.</w:t>
      </w:r>
    </w:p>
    <w:p>
      <w:pPr>
        <w:pStyle w:val="0"/>
        <w:spacing w:before="200" w:line-rule="auto"/>
        <w:ind w:firstLine="540"/>
        <w:jc w:val="both"/>
      </w:pPr>
      <w:r>
        <w:rPr>
          <w:sz w:val="20"/>
        </w:rPr>
        <w:t xml:space="preserve">6.12.20. Пункты дистанционного управления, оснащенные запорными органами узлов приема и пуска очистных устройств на трубопроводах СУГ, должны размещаться за пределами границы, определяемой радиусом, равным расстояниям, указанным в </w:t>
      </w:r>
      <w:hyperlink w:history="0" w:anchor="P4232" w:tooltip="3. Отдельно стоящие жилые дома до двух этажей, кладбища (действующие), сельскохозяйственные фермы, полевые станы">
        <w:r>
          <w:rPr>
            <w:sz w:val="20"/>
            <w:color w:val="0000ff"/>
          </w:rPr>
          <w:t xml:space="preserve">позиции 3</w:t>
        </w:r>
      </w:hyperlink>
      <w:r>
        <w:rPr>
          <w:sz w:val="20"/>
        </w:rPr>
        <w:t xml:space="preserve"> таблицы 46 (для узла пуска - в направлении движения очистного устройства, для узла приема - в направлении, противоположном движению очистного устройства).</w:t>
      </w:r>
    </w:p>
    <w:p>
      <w:pPr>
        <w:pStyle w:val="0"/>
        <w:spacing w:before="200" w:line-rule="auto"/>
        <w:ind w:firstLine="540"/>
        <w:jc w:val="both"/>
      </w:pPr>
      <w:r>
        <w:rPr>
          <w:sz w:val="20"/>
        </w:rPr>
        <w:t xml:space="preserve">6.12.21. Насосные станции трубопроводов СУГ, размещенные на расстоянии менее 2000 м от зданий и сооружений, должны располагаться на более низких отметках по отношению к этим объектам.</w:t>
      </w:r>
    </w:p>
    <w:p>
      <w:pPr>
        <w:pStyle w:val="0"/>
        <w:spacing w:before="200" w:line-rule="auto"/>
        <w:ind w:firstLine="540"/>
        <w:jc w:val="both"/>
      </w:pPr>
      <w:r>
        <w:rPr>
          <w:sz w:val="20"/>
        </w:rPr>
        <w:t xml:space="preserve">Минимальное расстояние от насосной станции до населенных пунктов, отдельных зданий и сооружений принимается по </w:t>
      </w:r>
      <w:hyperlink w:history="0" w:anchor="P4185" w:tooltip="Таблица 46">
        <w:r>
          <w:rPr>
            <w:sz w:val="20"/>
            <w:color w:val="0000ff"/>
          </w:rPr>
          <w:t xml:space="preserve">таблице 46</w:t>
        </w:r>
      </w:hyperlink>
      <w:r>
        <w:rPr>
          <w:sz w:val="20"/>
        </w:rPr>
        <w:t xml:space="preserve"> как для трубопровода, к которому относится насосная станция.</w:t>
      </w:r>
    </w:p>
    <w:p>
      <w:pPr>
        <w:pStyle w:val="0"/>
        <w:spacing w:before="200" w:line-rule="auto"/>
        <w:ind w:firstLine="540"/>
        <w:jc w:val="both"/>
      </w:pPr>
      <w:r>
        <w:rPr>
          <w:sz w:val="20"/>
        </w:rPr>
        <w:t xml:space="preserve">6.12.22. Запорная арматура на отводах от насосов к всасывающим и нагнетательным коллекторам должна предусматриваться с дистанционным управлением и размещаться: для оперативной работы - внутри здания насосной станции трубопроводов СУГ, для аварийных отключений - снаружи, на расстоянии не менее 3 м и не более 50 м от стены здания насосной.</w:t>
      </w:r>
    </w:p>
    <w:p>
      <w:pPr>
        <w:pStyle w:val="0"/>
        <w:spacing w:before="200" w:line-rule="auto"/>
        <w:ind w:firstLine="540"/>
        <w:jc w:val="both"/>
      </w:pPr>
      <w:r>
        <w:rPr>
          <w:sz w:val="20"/>
        </w:rPr>
        <w:t xml:space="preserve">6.12.23. Факел для сжигания газов при продувке резервуаров, насосов и трубопроводов насосной станции, входящих в состав трубопровода СУГ, должен иметь высоту не менее 10 м и располагаться от ближайшего здания, сооружения, машины или аппарата насосной станции на расстоянии, устанавливаемом исходя из допустимого воздействия теплового потока на эти объекты, но не менее 60 м.</w:t>
      </w:r>
    </w:p>
    <w:p>
      <w:pPr>
        <w:pStyle w:val="0"/>
        <w:spacing w:before="200" w:line-rule="auto"/>
        <w:ind w:firstLine="540"/>
        <w:jc w:val="both"/>
      </w:pPr>
      <w:r>
        <w:rPr>
          <w:sz w:val="20"/>
        </w:rPr>
        <w:t xml:space="preserve">6.12.24. Трубопроводы насосных станций трубопроводов СУГ в пределах промышленных площадок следует прокладывать надземно на отдельно стоящих опорах или эстакадах. При этом всасывающие трубопроводы необходимо прокладывать с уклоном к насосам, а нагнетательные - от насосов. На трубопроводах не должно быть изгибов в вертикальной плоскости, препятствующих свободному стоку продукта.</w:t>
      </w:r>
    </w:p>
    <w:p>
      <w:pPr>
        <w:pStyle w:val="0"/>
        <w:spacing w:before="200" w:line-rule="auto"/>
        <w:ind w:firstLine="540"/>
        <w:jc w:val="both"/>
      </w:pPr>
      <w:r>
        <w:rPr>
          <w:sz w:val="20"/>
        </w:rPr>
        <w:t xml:space="preserve">6.12.25. Узлы подключения трубопровода СУГ к промежуточным насосным станциям должны оборудоваться дистанционно управляемой арматурой для отключения насосных от трубопровода без прекращения его работы.</w:t>
      </w:r>
    </w:p>
    <w:p>
      <w:pPr>
        <w:pStyle w:val="0"/>
        <w:spacing w:before="200" w:line-rule="auto"/>
        <w:ind w:firstLine="540"/>
        <w:jc w:val="both"/>
      </w:pPr>
      <w:r>
        <w:rPr>
          <w:sz w:val="20"/>
        </w:rPr>
        <w:t xml:space="preserve">6.12.26. На переходах трубопроводов СУГ через проселочные и лесные дороги должны предусматриваться решения по защите трубопроводов от повреждения (прокладка в защитных металлических футлярах, покрытие железобетонными плитами и др.).</w:t>
      </w:r>
    </w:p>
    <w:p>
      <w:pPr>
        <w:pStyle w:val="0"/>
        <w:ind w:firstLine="540"/>
        <w:jc w:val="both"/>
      </w:pPr>
      <w:r>
        <w:rPr>
          <w:sz w:val="20"/>
        </w:rPr>
      </w:r>
    </w:p>
    <w:p>
      <w:pPr>
        <w:pStyle w:val="2"/>
        <w:outlineLvl w:val="2"/>
        <w:ind w:firstLine="540"/>
        <w:jc w:val="both"/>
      </w:pPr>
      <w:r>
        <w:rPr>
          <w:sz w:val="20"/>
        </w:rPr>
        <w:t xml:space="preserve">6.13. Требования к зданиям промышленных холодильников</w:t>
      </w:r>
    </w:p>
    <w:p>
      <w:pPr>
        <w:pStyle w:val="0"/>
        <w:ind w:firstLine="540"/>
        <w:jc w:val="both"/>
      </w:pPr>
      <w:r>
        <w:rPr>
          <w:sz w:val="20"/>
        </w:rPr>
      </w:r>
    </w:p>
    <w:p>
      <w:pPr>
        <w:pStyle w:val="0"/>
        <w:ind w:firstLine="540"/>
        <w:jc w:val="both"/>
      </w:pPr>
      <w:r>
        <w:rPr>
          <w:sz w:val="20"/>
        </w:rPr>
        <w:t xml:space="preserve">Утратил силу. - </w:t>
      </w:r>
      <w:hyperlink w:history="0" r:id="rId419"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w:t>
        </w:r>
      </w:hyperlink>
      <w:r>
        <w:rPr>
          <w:sz w:val="20"/>
        </w:rPr>
        <w:t xml:space="preserve"> МЧС России от 14.02.2020 N 89.</w:t>
      </w:r>
    </w:p>
    <w:p>
      <w:pPr>
        <w:pStyle w:val="0"/>
        <w:ind w:firstLine="540"/>
        <w:jc w:val="both"/>
      </w:pPr>
      <w:r>
        <w:rPr>
          <w:sz w:val="20"/>
        </w:rPr>
      </w:r>
    </w:p>
    <w:p>
      <w:pPr>
        <w:pStyle w:val="2"/>
        <w:outlineLvl w:val="1"/>
        <w:ind w:firstLine="540"/>
        <w:jc w:val="both"/>
      </w:pPr>
      <w:r>
        <w:rPr>
          <w:sz w:val="20"/>
        </w:rPr>
        <w:t xml:space="preserve">7. Обеспечение деятельности пожарных подразделений</w:t>
      </w:r>
    </w:p>
    <w:p>
      <w:pPr>
        <w:pStyle w:val="0"/>
        <w:ind w:firstLine="540"/>
        <w:jc w:val="both"/>
      </w:pPr>
      <w:r>
        <w:rPr>
          <w:sz w:val="20"/>
        </w:rPr>
      </w:r>
    </w:p>
    <w:p>
      <w:pPr>
        <w:pStyle w:val="0"/>
        <w:ind w:firstLine="540"/>
        <w:jc w:val="both"/>
      </w:pPr>
      <w:r>
        <w:rPr>
          <w:sz w:val="20"/>
        </w:rPr>
        <w:t xml:space="preserve">7.1. Для зданий и сооружений должно быть обеспечено устройство:</w:t>
      </w:r>
    </w:p>
    <w:p>
      <w:pPr>
        <w:pStyle w:val="0"/>
        <w:spacing w:before="200" w:line-rule="auto"/>
        <w:ind w:firstLine="540"/>
        <w:jc w:val="both"/>
      </w:pPr>
      <w:r>
        <w:rPr>
          <w:sz w:val="20"/>
        </w:rPr>
        <w:t xml:space="preserve">- пожарных проездов и подъездных путей к зданиям и сооружениям для пожарной техники, специальных или совмещенных с функциональными проездами и подъездами;</w:t>
      </w:r>
    </w:p>
    <w:p>
      <w:pPr>
        <w:pStyle w:val="0"/>
        <w:spacing w:before="200" w:line-rule="auto"/>
        <w:ind w:firstLine="540"/>
        <w:jc w:val="both"/>
      </w:pPr>
      <w:r>
        <w:rPr>
          <w:sz w:val="20"/>
        </w:rPr>
        <w:t xml:space="preserve">- средств подъема личного состава подразделений пожарной охраны и пожарной техники на этажи и на кровлю зданий и сооружений;</w:t>
      </w:r>
    </w:p>
    <w:p>
      <w:pPr>
        <w:pStyle w:val="0"/>
        <w:spacing w:before="200" w:line-rule="auto"/>
        <w:ind w:firstLine="540"/>
        <w:jc w:val="both"/>
      </w:pPr>
      <w:r>
        <w:rPr>
          <w:sz w:val="20"/>
        </w:rPr>
        <w:t xml:space="preserve">- противопожарного водопровода, в том числе совмещенного с хозяйственным или специального, сухотрубов и пожарных емкостей (резервуаров).</w:t>
      </w:r>
    </w:p>
    <w:bookmarkStart w:id="4323" w:name="P4323"/>
    <w:bookmarkEnd w:id="4323"/>
    <w:p>
      <w:pPr>
        <w:pStyle w:val="0"/>
        <w:spacing w:before="200" w:line-rule="auto"/>
        <w:ind w:firstLine="540"/>
        <w:jc w:val="both"/>
      </w:pPr>
      <w:r>
        <w:rPr>
          <w:sz w:val="20"/>
        </w:rPr>
        <w:t xml:space="preserve">7.2. В зданиях и сооружениях высотой 10 и более метров от отметки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 или по наружным пожарным лестницам.</w:t>
      </w:r>
    </w:p>
    <w:p>
      <w:pPr>
        <w:pStyle w:val="0"/>
        <w:spacing w:before="200" w:line-rule="auto"/>
        <w:ind w:firstLine="540"/>
        <w:jc w:val="both"/>
      </w:pPr>
      <w:r>
        <w:rPr>
          <w:sz w:val="20"/>
        </w:rPr>
        <w:t xml:space="preserve">7.3. Число выходов на кровлю (но не менее чем один выход) и их расположение следует предусматривать в зависимости от класса функциональной пожарной опасности и размеров здания и сооружения:</w:t>
      </w:r>
    </w:p>
    <w:p>
      <w:pPr>
        <w:pStyle w:val="0"/>
        <w:spacing w:before="200" w:line-rule="auto"/>
        <w:ind w:firstLine="540"/>
        <w:jc w:val="both"/>
      </w:pPr>
      <w:r>
        <w:rPr>
          <w:sz w:val="20"/>
        </w:rPr>
        <w:t xml:space="preserve">- на каждые полные и неполные 100 метров длины здания и сооружения с чердачным покрытием и не менее чем один выход на каждые полные и неполные 1000 квадратных метров площади кровли здания и сооружения с бесчердачным покрытием для зданий классов Ф1, Ф2, Ф3 и Ф4;</w:t>
      </w:r>
    </w:p>
    <w:p>
      <w:pPr>
        <w:pStyle w:val="0"/>
        <w:spacing w:before="200" w:line-rule="auto"/>
        <w:ind w:firstLine="540"/>
        <w:jc w:val="both"/>
      </w:pPr>
      <w:r>
        <w:rPr>
          <w:sz w:val="20"/>
        </w:rPr>
        <w:t xml:space="preserve">- по пожарным лестницам через каждые 200 метров по периметру зданий и сооружений класса Ф5.</w:t>
      </w:r>
    </w:p>
    <w:p>
      <w:pPr>
        <w:pStyle w:val="0"/>
        <w:spacing w:before="200" w:line-rule="auto"/>
        <w:ind w:firstLine="540"/>
        <w:jc w:val="both"/>
      </w:pPr>
      <w:r>
        <w:rPr>
          <w:sz w:val="20"/>
        </w:rPr>
        <w:t xml:space="preserve">7.4. Допускается не предусматривать:</w:t>
      </w:r>
    </w:p>
    <w:p>
      <w:pPr>
        <w:pStyle w:val="0"/>
        <w:spacing w:before="200" w:line-rule="auto"/>
        <w:ind w:firstLine="540"/>
        <w:jc w:val="both"/>
      </w:pPr>
      <w:r>
        <w:rPr>
          <w:sz w:val="20"/>
        </w:rPr>
        <w:t xml:space="preserve">- пожарные лестницы на главном фасаде здания и сооружения, если ширина здания и сооружения не превышает 150 метров, а со стороны, противоположной главному фасаду, имеется противопожарный водопровод;</w:t>
      </w:r>
    </w:p>
    <w:p>
      <w:pPr>
        <w:pStyle w:val="0"/>
        <w:spacing w:before="200" w:line-rule="auto"/>
        <w:ind w:firstLine="540"/>
        <w:jc w:val="both"/>
      </w:pPr>
      <w:r>
        <w:rPr>
          <w:sz w:val="20"/>
        </w:rPr>
        <w:t xml:space="preserve">- выход на кровлю одноэтажных зданий и сооружений, имеющую покрытие площадью не более 100 квадратных метров.</w:t>
      </w:r>
    </w:p>
    <w:p>
      <w:pPr>
        <w:pStyle w:val="0"/>
        <w:spacing w:before="200" w:line-rule="auto"/>
        <w:ind w:firstLine="540"/>
        <w:jc w:val="both"/>
      </w:pPr>
      <w:r>
        <w:rPr>
          <w:sz w:val="20"/>
        </w:rPr>
        <w:t xml:space="preserve">7.5. На чердаках зданий и сооружений, за исключением зданий класса Ф1.4, следует предусматривать выходы на кровлю, оборудованные стационарными лестницами, через двери, люки или окна размером не менее 0,6 x 0,8 метра.</w:t>
      </w:r>
    </w:p>
    <w:p>
      <w:pPr>
        <w:pStyle w:val="0"/>
        <w:spacing w:before="200" w:line-rule="auto"/>
        <w:ind w:firstLine="540"/>
        <w:jc w:val="both"/>
      </w:pPr>
      <w:r>
        <w:rPr>
          <w:sz w:val="20"/>
        </w:rPr>
        <w:t xml:space="preserve">7.6. Выходы с лестничных клеток на кровлю или чердак предусматриваются по лестничным маршам с площадками перед выходом через противопожарные двери 2-го типа размером не менее 0,75 x 1,5 метра.</w:t>
      </w:r>
    </w:p>
    <w:p>
      <w:pPr>
        <w:pStyle w:val="0"/>
        <w:spacing w:before="200" w:line-rule="auto"/>
        <w:ind w:firstLine="540"/>
        <w:jc w:val="both"/>
      </w:pPr>
      <w:r>
        <w:rPr>
          <w:sz w:val="20"/>
        </w:rPr>
        <w:t xml:space="preserve">Указанные марши и площадки должны выполняться из негорючих материалов и иметь уклон не более 2:1 и ширину не менее 0,9 метра. Требования к их пределам огнестойкости не предъявляются за исключением случаев, когда указанные участки пути являются путями эвакуации.</w:t>
      </w:r>
    </w:p>
    <w:p>
      <w:pPr>
        <w:pStyle w:val="0"/>
        <w:jc w:val="both"/>
      </w:pPr>
      <w:r>
        <w:rPr>
          <w:sz w:val="20"/>
        </w:rPr>
        <w:t xml:space="preserve">(в ред. </w:t>
      </w:r>
      <w:hyperlink w:history="0" r:id="rId420"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Допускается предусматривать устройство выхода на кровлю из незадымляемой лестничной клетки типа Н2 (Н3), в том числе со смещением стен в горизонтальной проекции, через противопожарный люк 2-го типа размером не менее 0,8 x 1,2 м по закрепленной металлической лестнице.</w:t>
      </w:r>
    </w:p>
    <w:p>
      <w:pPr>
        <w:pStyle w:val="0"/>
        <w:jc w:val="both"/>
      </w:pPr>
      <w:r>
        <w:rPr>
          <w:sz w:val="20"/>
        </w:rPr>
        <w:t xml:space="preserve">(абзац введен </w:t>
      </w:r>
      <w:hyperlink w:history="0" r:id="rId421"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Приказом</w:t>
        </w:r>
      </w:hyperlink>
      <w:r>
        <w:rPr>
          <w:sz w:val="20"/>
        </w:rPr>
        <w:t xml:space="preserve"> МЧС России от 15.06.2022 N 610)</w:t>
      </w:r>
    </w:p>
    <w:p>
      <w:pPr>
        <w:pStyle w:val="0"/>
        <w:spacing w:before="200" w:line-rule="auto"/>
        <w:ind w:firstLine="540"/>
        <w:jc w:val="both"/>
      </w:pPr>
      <w:r>
        <w:rPr>
          <w:sz w:val="20"/>
        </w:rPr>
        <w:t xml:space="preserve">7.7. В зданиях и сооружениях классов Ф1, Ф2, Ф3 и Ф4 высотой не более 15 метров, определяемой в соответствии с </w:t>
      </w:r>
      <w:hyperlink w:history="0" w:anchor="P4323" w:tooltip="7.2. В зданиях и сооружениях высотой 10 и более метров от отметки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 или по наружным пожарным лестницам.">
        <w:r>
          <w:rPr>
            <w:sz w:val="20"/>
            <w:color w:val="0000ff"/>
          </w:rPr>
          <w:t xml:space="preserve">пунктом 7.2</w:t>
        </w:r>
      </w:hyperlink>
      <w:r>
        <w:rPr>
          <w:sz w:val="20"/>
        </w:rPr>
        <w:t xml:space="preserve">, допускается устройство выходов на чердак или кровлю с лестничных клеток через противопожарные люки 2-го типа размером 0,6 x 0,8 метра по закрепленным стальным стремянкам.</w:t>
      </w:r>
    </w:p>
    <w:p>
      <w:pPr>
        <w:pStyle w:val="0"/>
        <w:jc w:val="both"/>
      </w:pPr>
      <w:r>
        <w:rPr>
          <w:sz w:val="20"/>
        </w:rPr>
        <w:t xml:space="preserve">(в ред. </w:t>
      </w:r>
      <w:hyperlink w:history="0" r:id="rId422"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7.8. На технических этажах, в том числе в технических подпольях и на технических чердаках, высота прохода должна быть не менее 1,8 метра, на чердаках вдоль всего здания и сооружения - не менее 1,6 метра. Ширина этих проходов должна быть не менее 1,2 метра. На отдельных участках протяженностью не более 2 метров допускается уменьшать высоту прохода до 1,2 метра, а ширину - до 0,9 метра. В чердаках жилых зданий секционного типа, разделенных по секциям противопожарными перегородками без проемов, указанные проходы допускается предусматривать только в пределах секции.</w:t>
      </w:r>
    </w:p>
    <w:p>
      <w:pPr>
        <w:pStyle w:val="0"/>
        <w:jc w:val="both"/>
      </w:pPr>
      <w:r>
        <w:rPr>
          <w:sz w:val="20"/>
        </w:rPr>
        <w:t xml:space="preserve">(в ред. </w:t>
      </w:r>
      <w:hyperlink w:history="0" r:id="rId423"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7.9. В зданиях и сооружениях с мансардами предусматриваются люки в ограждающих конструкциях пазух чердаков.</w:t>
      </w:r>
    </w:p>
    <w:p>
      <w:pPr>
        <w:pStyle w:val="0"/>
        <w:spacing w:before="200" w:line-rule="auto"/>
        <w:ind w:firstLine="540"/>
        <w:jc w:val="both"/>
      </w:pPr>
      <w:r>
        <w:rPr>
          <w:sz w:val="20"/>
        </w:rPr>
        <w:t xml:space="preserve">7.10. В местах перепада высоты кровли (в том числе для подъема на кровлю светоаэрационных фонарей) более 1 метра должны предусматриваться пожарные лестницы П1 или П2 в соответствии с </w:t>
      </w:r>
      <w:hyperlink w:history="0" w:anchor="P4349" w:tooltip="7.12. Для подъема на высоту от 10 до 20 метров и в местах перепада высоты кровли от 1 до 20 метров следует применять пожарные лестницы типа П1, для подъема на высоту более 20 метров и в местах перепада высоты кровли более 20 метров - пожарные лестницы типа П2.">
        <w:r>
          <w:rPr>
            <w:sz w:val="20"/>
            <w:color w:val="0000ff"/>
          </w:rPr>
          <w:t xml:space="preserve">пунктом 7.12</w:t>
        </w:r>
      </w:hyperlink>
      <w:r>
        <w:rPr>
          <w:sz w:val="20"/>
        </w:rPr>
        <w:t xml:space="preserve">.</w:t>
      </w:r>
    </w:p>
    <w:p>
      <w:pPr>
        <w:pStyle w:val="0"/>
        <w:jc w:val="both"/>
      </w:pPr>
      <w:r>
        <w:rPr>
          <w:sz w:val="20"/>
        </w:rPr>
        <w:t xml:space="preserve">(п. 7.10 в ред. </w:t>
      </w:r>
      <w:hyperlink w:history="0" r:id="rId424"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7.11. Пожарные лестницы в местах перепада высоты кровли допускается не предусматривать:</w:t>
      </w:r>
    </w:p>
    <w:p>
      <w:pPr>
        <w:pStyle w:val="0"/>
        <w:spacing w:before="200" w:line-rule="auto"/>
        <w:ind w:firstLine="540"/>
        <w:jc w:val="both"/>
      </w:pPr>
      <w:r>
        <w:rPr>
          <w:sz w:val="20"/>
        </w:rPr>
        <w:t xml:space="preserve">- если высота вышележащего участка (определяемая в соответствии с </w:t>
      </w:r>
      <w:hyperlink w:history="0" w:anchor="P4323" w:tooltip="7.2. В зданиях и сооружениях высотой 10 и более метров от отметки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 или по наружным пожарным лестницам.">
        <w:r>
          <w:rPr>
            <w:sz w:val="20"/>
            <w:color w:val="0000ff"/>
          </w:rPr>
          <w:t xml:space="preserve">пунктом 7.2</w:t>
        </w:r>
      </w:hyperlink>
      <w:r>
        <w:rPr>
          <w:sz w:val="20"/>
        </w:rPr>
        <w:t xml:space="preserve">) не превышает 10 м;</w:t>
      </w:r>
    </w:p>
    <w:p>
      <w:pPr>
        <w:pStyle w:val="0"/>
        <w:spacing w:before="200" w:line-rule="auto"/>
        <w:ind w:firstLine="540"/>
        <w:jc w:val="both"/>
      </w:pPr>
      <w:r>
        <w:rPr>
          <w:sz w:val="20"/>
        </w:rPr>
        <w:t xml:space="preserve">- между участками кровли, один из которых имеет высоту менее 10 м, а другой оборудован выходом на кровлю в соответствии с </w:t>
      </w:r>
      <w:hyperlink w:history="0" w:anchor="P4323" w:tooltip="7.2. В зданиях и сооружениях высотой 10 и более метров от отметки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 или по наружным пожарным лестницам.">
        <w:r>
          <w:rPr>
            <w:sz w:val="20"/>
            <w:color w:val="0000ff"/>
          </w:rPr>
          <w:t xml:space="preserve">пунктом 7.2</w:t>
        </w:r>
      </w:hyperlink>
      <w:r>
        <w:rPr>
          <w:sz w:val="20"/>
        </w:rPr>
        <w:t xml:space="preserve">;</w:t>
      </w:r>
    </w:p>
    <w:p>
      <w:pPr>
        <w:pStyle w:val="0"/>
        <w:spacing w:before="200" w:line-rule="auto"/>
        <w:ind w:firstLine="540"/>
        <w:jc w:val="both"/>
      </w:pPr>
      <w:r>
        <w:rPr>
          <w:sz w:val="20"/>
        </w:rPr>
        <w:t xml:space="preserve">- между участками кровли, каждый из которых оборудован выходами на кровлю в соответствии с </w:t>
      </w:r>
      <w:hyperlink w:history="0" w:anchor="P4323" w:tooltip="7.2. В зданиях и сооружениях высотой 10 и более метров от отметки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 или по наружным пожарным лестницам.">
        <w:r>
          <w:rPr>
            <w:sz w:val="20"/>
            <w:color w:val="0000ff"/>
          </w:rPr>
          <w:t xml:space="preserve">пунктом 7.2</w:t>
        </w:r>
      </w:hyperlink>
      <w:r>
        <w:rPr>
          <w:sz w:val="20"/>
        </w:rPr>
        <w:t xml:space="preserve">;</w:t>
      </w:r>
    </w:p>
    <w:p>
      <w:pPr>
        <w:pStyle w:val="0"/>
        <w:spacing w:before="200" w:line-rule="auto"/>
        <w:ind w:firstLine="540"/>
        <w:jc w:val="both"/>
      </w:pPr>
      <w:r>
        <w:rPr>
          <w:sz w:val="20"/>
        </w:rPr>
        <w:t xml:space="preserve">- между участками кровли одноэтажных зданий и сооружений, имеющих покрытие площадью не более 100 квадратных метров.</w:t>
      </w:r>
    </w:p>
    <w:p>
      <w:pPr>
        <w:pStyle w:val="0"/>
        <w:jc w:val="both"/>
      </w:pPr>
      <w:r>
        <w:rPr>
          <w:sz w:val="20"/>
        </w:rPr>
        <w:t xml:space="preserve">(п. 7.11 в ред. </w:t>
      </w:r>
      <w:hyperlink w:history="0" r:id="rId425"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bookmarkStart w:id="4349" w:name="P4349"/>
    <w:bookmarkEnd w:id="4349"/>
    <w:p>
      <w:pPr>
        <w:pStyle w:val="0"/>
        <w:spacing w:before="200" w:line-rule="auto"/>
        <w:ind w:firstLine="540"/>
        <w:jc w:val="both"/>
      </w:pPr>
      <w:r>
        <w:rPr>
          <w:sz w:val="20"/>
        </w:rPr>
        <w:t xml:space="preserve">7.12. Для подъема на высоту от 10 до 20 метров и в местах перепада высоты кровли от 1 до 20 метров следует применять пожарные лестницы типа П1, для подъема на высоту более 20 метров и в местах перепада высоты кровли более 20 метров - пожарные лестницы типа П2.</w:t>
      </w:r>
    </w:p>
    <w:p>
      <w:pPr>
        <w:pStyle w:val="0"/>
        <w:spacing w:before="200" w:line-rule="auto"/>
        <w:ind w:firstLine="540"/>
        <w:jc w:val="both"/>
      </w:pPr>
      <w:r>
        <w:rPr>
          <w:sz w:val="20"/>
        </w:rPr>
        <w:t xml:space="preserve">7.13. Пожарные лестницы изготавливаются из негорючих материалов, располагаются не ближе 1 метра от окон и должны иметь конструктивное исполнение, обеспечивающее возможность передвижения личного состава подразделений пожарной охраны в боевой одежде и с дополнительным снаряжением.</w:t>
      </w:r>
    </w:p>
    <w:p>
      <w:pPr>
        <w:pStyle w:val="0"/>
        <w:spacing w:before="200" w:line-rule="auto"/>
        <w:ind w:firstLine="540"/>
        <w:jc w:val="both"/>
      </w:pPr>
      <w:r>
        <w:rPr>
          <w:sz w:val="20"/>
        </w:rPr>
        <w:t xml:space="preserve">7.14. В многоэтажных зданиях и сооружениях для прокладки пожарных рукавов при пожаре необходимо предусмотреть одно из следующих решений:</w:t>
      </w:r>
    </w:p>
    <w:p>
      <w:pPr>
        <w:pStyle w:val="0"/>
        <w:spacing w:before="200" w:line-rule="auto"/>
        <w:ind w:firstLine="540"/>
        <w:jc w:val="both"/>
      </w:pPr>
      <w:r>
        <w:rPr>
          <w:sz w:val="20"/>
        </w:rPr>
        <w:t xml:space="preserve">- зазор между маршами лестниц и между поручнями ограждений лестничных маршей шириной не менее 75 миллиметров (за исключением двумаршевых лестниц двухэтажных зданий высотой не более 12 метров до отметки пола второго этажа, а также лестниц, ведущих в одноэтажный подвал);</w:t>
      </w:r>
    </w:p>
    <w:p>
      <w:pPr>
        <w:pStyle w:val="0"/>
        <w:spacing w:before="200" w:line-rule="auto"/>
        <w:ind w:firstLine="540"/>
        <w:jc w:val="both"/>
      </w:pPr>
      <w:r>
        <w:rPr>
          <w:sz w:val="20"/>
        </w:rPr>
        <w:t xml:space="preserve">- устройство в лестничной клетке (кроме незадымляемой) сухотруба с выведенными наружу патрубками для подключения пожарных автомобилей и пожарных мотопомп, а также патрубками на этажах или полуэтажах, на которых должны быть установлены запорные пожарные клапаны, оборудованные пожарными соединительными головками, включая головки-заглушки (количество клапанов и их размеры определяются из расчета подачи воды на пожаротушение, выходные патрубки запорных пожарных клапанов должны устанавливаться в направлении под углом "вниз" таким образом, чтобы обеспечивался беспрепятственный доступ к ним пожарных подразделений, удобство присоединения напорных пожарных рукавов и их прокладка без изломов и перегибов);</w:t>
      </w:r>
    </w:p>
    <w:p>
      <w:pPr>
        <w:pStyle w:val="0"/>
        <w:spacing w:before="200" w:line-rule="auto"/>
        <w:ind w:firstLine="540"/>
        <w:jc w:val="both"/>
      </w:pPr>
      <w:r>
        <w:rPr>
          <w:sz w:val="20"/>
        </w:rPr>
        <w:t xml:space="preserve">- устройство указанного сухотруба в лифтовом холле лифта для транспортирования пожарных подразделений.</w:t>
      </w:r>
    </w:p>
    <w:p>
      <w:pPr>
        <w:pStyle w:val="0"/>
        <w:jc w:val="both"/>
      </w:pPr>
      <w:r>
        <w:rPr>
          <w:sz w:val="20"/>
        </w:rPr>
        <w:t xml:space="preserve">(п. 7.14 в ред. </w:t>
      </w:r>
      <w:hyperlink w:history="0" r:id="rId426"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7.15. В каждом пожарном отсеке зданий класса функциональной пожарной опасности Ф1.1 высотой более 10 м, зданий класса функциональной пожарной опасности Ф1.3 высотой более 50 м, зданий и сооружений иных классов функциональной пожарной опасности высотой более 28 м, подземных автостоянок, имеющих более двух этажей, должны предусматриваться лифты для транспортировки подразделений пожарной охраны.</w:t>
      </w:r>
    </w:p>
    <w:p>
      <w:pPr>
        <w:pStyle w:val="0"/>
        <w:spacing w:before="200" w:line-rule="auto"/>
        <w:ind w:firstLine="540"/>
        <w:jc w:val="both"/>
      </w:pPr>
      <w:r>
        <w:rPr>
          <w:sz w:val="20"/>
        </w:rPr>
        <w:t xml:space="preserve">Допускается не предусматривать лифты для транспортировки подразделений пожарной охраны для зданий и сооружений класса функциональной пожарной опасности Ф5 высотой более 28 м при одновременном выполнении следующих условий:</w:t>
      </w:r>
    </w:p>
    <w:p>
      <w:pPr>
        <w:pStyle w:val="0"/>
        <w:spacing w:before="200" w:line-rule="auto"/>
        <w:ind w:firstLine="540"/>
        <w:jc w:val="both"/>
      </w:pPr>
      <w:r>
        <w:rPr>
          <w:sz w:val="20"/>
        </w:rPr>
        <w:t xml:space="preserve">отсутствие постоянных рабочих мест в зданиях и сооружениях на отметках выше 28 м;</w:t>
      </w:r>
    </w:p>
    <w:p>
      <w:pPr>
        <w:pStyle w:val="0"/>
        <w:spacing w:before="200" w:line-rule="auto"/>
        <w:ind w:firstLine="540"/>
        <w:jc w:val="both"/>
      </w:pPr>
      <w:r>
        <w:rPr>
          <w:sz w:val="20"/>
        </w:rPr>
        <w:t xml:space="preserve">устройство сухотруба с выведенными наружу патрубками для подключения мобильных средств пожаротушения, а также патрубками на отметках выше 28 м, к которым обеспечивается беспрепятственный доступ пожарно-спасательных подразделений, удобство присоединения и прокладки (без изломов и перегибов) напорных пожарных рукавов, а также их запас, необходимый для целей пожаротушения;</w:t>
      </w:r>
    </w:p>
    <w:p>
      <w:pPr>
        <w:pStyle w:val="0"/>
        <w:spacing w:before="200" w:line-rule="auto"/>
        <w:ind w:firstLine="540"/>
        <w:jc w:val="both"/>
      </w:pPr>
      <w:r>
        <w:rPr>
          <w:sz w:val="20"/>
        </w:rPr>
        <w:t xml:space="preserve">подтверждение достаточности решений для обеспечения деятельности пожарно-спасательных подразделений в документах предварительного планирования действий по тушению пожаров и проведению аварийно-спасательных работ.</w:t>
      </w:r>
    </w:p>
    <w:p>
      <w:pPr>
        <w:pStyle w:val="0"/>
        <w:jc w:val="both"/>
      </w:pPr>
      <w:r>
        <w:rPr>
          <w:sz w:val="20"/>
        </w:rPr>
        <w:t xml:space="preserve">(п. 7.15 в ред. </w:t>
      </w:r>
      <w:hyperlink w:history="0" r:id="rId427"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7.16. В зданиях и сооружениях с уклоном кровли не более 12 процентов включительно, высотой до карниза или верха наружной стены (парапета) более 10 метров, а также в зданиях и сооружениях с уклоном кровли более 12 процентов, высотой до карниза более 7 метров следует предусматривать ограждения на кровле в соответствии с требованиями </w:t>
      </w:r>
      <w:hyperlink w:history="0" r:id="rId428" w:tooltip="&quot;ГОСТ Р 53254-2009. Национальный стандарт Российской Федерации. Техника пожарная. Лестницы пожарные наружные стационарные. Ограждения кровли. Общие технические требования. Методы испытаний&quot; (утв. Приказом Ростехрегулирования от 18.02.2009 N 25-ст) {КонсультантПлюс}">
        <w:r>
          <w:rPr>
            <w:sz w:val="20"/>
            <w:color w:val="0000ff"/>
          </w:rPr>
          <w:t xml:space="preserve">ГОСТ Р 53254</w:t>
        </w:r>
      </w:hyperlink>
      <w:r>
        <w:rPr>
          <w:sz w:val="20"/>
        </w:rPr>
        <w:t xml:space="preserve">. Независимо от высоты здания указанные ограждения следует предусматривать для эксплуатируемых плоских кровель, балконов, лоджий, наружных галерей, открытых наружных лестниц, лестничных маршей и площадок.</w:t>
      </w:r>
    </w:p>
    <w:p>
      <w:pPr>
        <w:pStyle w:val="0"/>
        <w:jc w:val="both"/>
      </w:pPr>
      <w:r>
        <w:rPr>
          <w:sz w:val="20"/>
        </w:rPr>
        <w:t xml:space="preserve">(в ред. </w:t>
      </w:r>
      <w:hyperlink w:history="0" r:id="rId429"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7.17. На покрытиях зданий и сооружений с отметкой пола более 75 метров верхнего жилого этажа или этажа, имеющего помещения с постоянным пребыванием людей, а также на покрытиях (кровлях) с отметкой более 75 метров, с устройством безопасных (пожаробезопасных) зон, должны предусматриваться площадки для транспортно-спасательной кабины пожарного вертолета размером не менее 5 x 5 метров. Над указанными площадками запрещается размещение антенн, электропроводов, кабелей.</w:t>
      </w:r>
    </w:p>
    <w:p>
      <w:pPr>
        <w:pStyle w:val="0"/>
        <w:jc w:val="both"/>
      </w:pPr>
      <w:r>
        <w:rPr>
          <w:sz w:val="20"/>
        </w:rPr>
        <w:t xml:space="preserve">(п. 7.17 в ред. </w:t>
      </w:r>
      <w:hyperlink w:history="0" r:id="rId430"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Приказа</w:t>
        </w:r>
      </w:hyperlink>
      <w:r>
        <w:rPr>
          <w:sz w:val="20"/>
        </w:rPr>
        <w:t xml:space="preserve"> МЧС России от 14.02.2020 N 89)</w:t>
      </w:r>
    </w:p>
    <w:p>
      <w:pPr>
        <w:pStyle w:val="0"/>
        <w:spacing w:before="200" w:line-rule="auto"/>
        <w:ind w:firstLine="540"/>
        <w:jc w:val="both"/>
      </w:pPr>
      <w:r>
        <w:rPr>
          <w:sz w:val="20"/>
        </w:rPr>
        <w:t xml:space="preserve">7.18. В зданиях с внутренними водостоками в качестве ограждения на кровле допускается использовать парапет. При высоте парапета менее 0,6 м его необходимо дополнять решетчатым ограждением до высоты 0,6 м от поверхности кровли.</w:t>
      </w:r>
    </w:p>
    <w:p>
      <w:pPr>
        <w:pStyle w:val="0"/>
        <w:jc w:val="both"/>
      </w:pPr>
      <w:r>
        <w:rPr>
          <w:sz w:val="20"/>
        </w:rPr>
        <w:t xml:space="preserve">(п. 7.18 введен </w:t>
      </w:r>
      <w:hyperlink w:history="0" r:id="rId431"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Приказом</w:t>
        </w:r>
      </w:hyperlink>
      <w:r>
        <w:rPr>
          <w:sz w:val="20"/>
        </w:rPr>
        <w:t xml:space="preserve"> МЧС России от 15.06.2022 N 610)</w:t>
      </w:r>
    </w:p>
    <w:p>
      <w:pPr>
        <w:pStyle w:val="0"/>
        <w:spacing w:before="200" w:line-rule="auto"/>
        <w:ind w:firstLine="540"/>
        <w:jc w:val="both"/>
      </w:pPr>
      <w:r>
        <w:rPr>
          <w:sz w:val="20"/>
        </w:rPr>
        <w:t xml:space="preserve">7.19. Лестницы 3-го типа, предназначенные для доступа пожарно-спасательных подразделений, должны иметь ширину не менее 0,7 м.</w:t>
      </w:r>
    </w:p>
    <w:p>
      <w:pPr>
        <w:pStyle w:val="0"/>
        <w:jc w:val="both"/>
      </w:pPr>
      <w:r>
        <w:rPr>
          <w:sz w:val="20"/>
        </w:rPr>
        <w:t xml:space="preserve">(п. 7.19 введен </w:t>
      </w:r>
      <w:hyperlink w:history="0" r:id="rId432"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Приказом</w:t>
        </w:r>
      </w:hyperlink>
      <w:r>
        <w:rPr>
          <w:sz w:val="20"/>
        </w:rPr>
        <w:t xml:space="preserve"> МЧС России от 15.06.2022 N 610)</w:t>
      </w:r>
    </w:p>
    <w:p>
      <w:pPr>
        <w:pStyle w:val="0"/>
        <w:ind w:firstLine="540"/>
        <w:jc w:val="both"/>
      </w:pPr>
      <w:r>
        <w:rPr>
          <w:sz w:val="20"/>
        </w:rPr>
      </w:r>
    </w:p>
    <w:p>
      <w:pPr>
        <w:pStyle w:val="2"/>
        <w:outlineLvl w:val="1"/>
        <w:ind w:firstLine="540"/>
        <w:jc w:val="both"/>
      </w:pPr>
      <w:r>
        <w:rPr>
          <w:sz w:val="20"/>
        </w:rPr>
        <w:t xml:space="preserve">8. Проходы, проезды и подъезды к зданиям и сооружениям</w:t>
      </w:r>
    </w:p>
    <w:p>
      <w:pPr>
        <w:pStyle w:val="0"/>
        <w:ind w:firstLine="540"/>
        <w:jc w:val="both"/>
      </w:pPr>
      <w:r>
        <w:rPr>
          <w:sz w:val="20"/>
        </w:rPr>
        <w:t xml:space="preserve">(в ред. </w:t>
      </w:r>
      <w:hyperlink w:history="0" r:id="rId433"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jc w:val="both"/>
      </w:pPr>
      <w:r>
        <w:rPr>
          <w:sz w:val="20"/>
        </w:rPr>
      </w:r>
    </w:p>
    <w:p>
      <w:pPr>
        <w:pStyle w:val="2"/>
        <w:outlineLvl w:val="2"/>
        <w:ind w:firstLine="540"/>
        <w:jc w:val="both"/>
      </w:pPr>
      <w:r>
        <w:rPr>
          <w:sz w:val="20"/>
        </w:rPr>
        <w:t xml:space="preserve">8.1. Проходы, проезды и подъезды к жилым и общественным зданиям, сооружениям классов функциональной пожарной опасности Ф1 - Ф4</w:t>
      </w:r>
    </w:p>
    <w:p>
      <w:pPr>
        <w:pStyle w:val="0"/>
        <w:jc w:val="both"/>
      </w:pPr>
      <w:r>
        <w:rPr>
          <w:sz w:val="20"/>
        </w:rPr>
      </w:r>
    </w:p>
    <w:p>
      <w:pPr>
        <w:pStyle w:val="0"/>
        <w:ind w:firstLine="540"/>
        <w:jc w:val="both"/>
      </w:pPr>
      <w:r>
        <w:rPr>
          <w:sz w:val="20"/>
        </w:rPr>
        <w:t xml:space="preserve">8.1.1. Подъезд пожарных автомобилей к жилым и общественным зданиям, сооружениям должен быть обеспечен по всей длине:</w:t>
      </w:r>
    </w:p>
    <w:p>
      <w:pPr>
        <w:pStyle w:val="0"/>
        <w:spacing w:before="200" w:line-rule="auto"/>
        <w:ind w:firstLine="540"/>
        <w:jc w:val="both"/>
      </w:pPr>
      <w:r>
        <w:rPr>
          <w:sz w:val="20"/>
        </w:rPr>
        <w:t xml:space="preserve">а) с двух продольных сторон - к многоэтажным зданиям и сооружениям класса функциональной пожарной опасности Ф1.3 высотой 28 м и более, классов функциональной пожарной опасности Ф1.2, Ф2.1, Ф2.2, Ф3, Ф4.2, Ф4.3, Ф.4.4 высотой 18 м и более;</w:t>
      </w:r>
    </w:p>
    <w:p>
      <w:pPr>
        <w:pStyle w:val="0"/>
        <w:spacing w:before="200" w:line-rule="auto"/>
        <w:ind w:firstLine="540"/>
        <w:jc w:val="both"/>
      </w:pPr>
      <w:r>
        <w:rPr>
          <w:sz w:val="20"/>
        </w:rPr>
        <w:t xml:space="preserve">б) с одной продольной стороны - к одноэтажным зданиям и сооружениям вышеуказанных классов, а также к многоэтажным зданиям и сооружениям вышеуказанных классов с меньшей высотой при выполнении одного из следующих условий:</w:t>
      </w:r>
    </w:p>
    <w:p>
      <w:pPr>
        <w:pStyle w:val="0"/>
        <w:spacing w:before="200" w:line-rule="auto"/>
        <w:ind w:firstLine="540"/>
        <w:jc w:val="both"/>
      </w:pPr>
      <w:r>
        <w:rPr>
          <w:sz w:val="20"/>
        </w:rPr>
        <w:t xml:space="preserve">оконные проемы всех помещений или квартир выходят на сторону пожарного подъезда, либо все помещения или квартиры имеют двустороннюю ориентацию;</w:t>
      </w:r>
    </w:p>
    <w:p>
      <w:pPr>
        <w:pStyle w:val="0"/>
        <w:spacing w:before="200" w:line-rule="auto"/>
        <w:ind w:firstLine="540"/>
        <w:jc w:val="both"/>
      </w:pPr>
      <w:r>
        <w:rPr>
          <w:sz w:val="20"/>
        </w:rPr>
        <w:t xml:space="preserve">при устройстве со стороны здания, где пожарный подъезд отсутствует, наружных открытых лестниц, связывающих лоджии и балконы смежных этажей между собой;</w:t>
      </w:r>
    </w:p>
    <w:p>
      <w:pPr>
        <w:pStyle w:val="0"/>
        <w:spacing w:before="200" w:line-rule="auto"/>
        <w:ind w:firstLine="540"/>
        <w:jc w:val="both"/>
      </w:pPr>
      <w:r>
        <w:rPr>
          <w:sz w:val="20"/>
        </w:rPr>
        <w:t xml:space="preserve">при устройстве наружных лестниц 3-го типа при коридорной планировке зданий;</w:t>
      </w:r>
    </w:p>
    <w:p>
      <w:pPr>
        <w:pStyle w:val="0"/>
        <w:spacing w:before="200" w:line-rule="auto"/>
        <w:ind w:firstLine="540"/>
        <w:jc w:val="both"/>
      </w:pPr>
      <w:r>
        <w:rPr>
          <w:sz w:val="20"/>
        </w:rPr>
        <w:t xml:space="preserve">в) со всех сторон - к зданиям и сооружениям классов функциональной пожарной опасности Ф1.1, Ф4.1.</w:t>
      </w:r>
    </w:p>
    <w:p>
      <w:pPr>
        <w:pStyle w:val="0"/>
        <w:spacing w:before="200" w:line-rule="auto"/>
        <w:ind w:firstLine="540"/>
        <w:jc w:val="both"/>
      </w:pPr>
      <w:r>
        <w:rPr>
          <w:sz w:val="20"/>
        </w:rPr>
        <w:t xml:space="preserve">К зданиям с площадью застройки более 10000 м</w:t>
      </w:r>
      <w:r>
        <w:rPr>
          <w:sz w:val="20"/>
          <w:vertAlign w:val="superscript"/>
        </w:rPr>
        <w:t xml:space="preserve">2</w:t>
      </w:r>
      <w:r>
        <w:rPr>
          <w:sz w:val="20"/>
        </w:rPr>
        <w:t xml:space="preserve"> или шириной более 100 м подъезд пожарных автомобилей должен быть обеспечен со всех сторон.</w:t>
      </w:r>
    </w:p>
    <w:p>
      <w:pPr>
        <w:pStyle w:val="0"/>
        <w:spacing w:before="200" w:line-rule="auto"/>
        <w:ind w:firstLine="540"/>
        <w:jc w:val="both"/>
      </w:pPr>
      <w:r>
        <w:rPr>
          <w:sz w:val="20"/>
        </w:rPr>
        <w:t xml:space="preserve">8.1.2. На территории, расположенной между подъездом для пожарных автомобилей и зданием или сооружением не допускается размещать ограждения (за исключением ограждений для палисадников), воздушные линии электропередачи, осуществлять рядовую посадку деревьев и устанавливать иные конструкции и изделия, способные создать препятствия для работы пожарных автолестниц и автоподъемников.</w:t>
      </w:r>
    </w:p>
    <w:p>
      <w:pPr>
        <w:pStyle w:val="0"/>
        <w:spacing w:before="200" w:line-rule="auto"/>
        <w:ind w:firstLine="540"/>
        <w:jc w:val="both"/>
      </w:pPr>
      <w:r>
        <w:rPr>
          <w:sz w:val="20"/>
        </w:rPr>
        <w:t xml:space="preserve">8.1.3. При невозможности выполнения требований нормативных документов в части устройства пожарных проездов, подъездов и обеспечения доступа подразделений пожарной охраны для тушения пожара и проведения аварийно-спасательных работ, возможность обеспечения деятельности подразделений пожарной охраны на объекте защиты должна подтверждаться в документах предварительного планирования действий по тушению пожаров и проведению аварийно-спасательных работ.</w:t>
      </w:r>
    </w:p>
    <w:p>
      <w:pPr>
        <w:pStyle w:val="0"/>
        <w:spacing w:before="200" w:line-rule="auto"/>
        <w:ind w:firstLine="540"/>
        <w:jc w:val="both"/>
      </w:pPr>
      <w:r>
        <w:rPr>
          <w:sz w:val="20"/>
        </w:rPr>
        <w:t xml:space="preserve">8.1.4. Ширина проездов для пожарных автомобилей в зависимости от высоты зданий или сооружений должна составлять не менее:</w:t>
      </w:r>
    </w:p>
    <w:p>
      <w:pPr>
        <w:pStyle w:val="0"/>
        <w:spacing w:before="200" w:line-rule="auto"/>
        <w:ind w:firstLine="540"/>
        <w:jc w:val="both"/>
      </w:pPr>
      <w:r>
        <w:rPr>
          <w:sz w:val="20"/>
        </w:rPr>
        <w:t xml:space="preserve">3,5 м - при высоте зданий или сооружений до 13 м включительно;</w:t>
      </w:r>
    </w:p>
    <w:p>
      <w:pPr>
        <w:pStyle w:val="0"/>
        <w:spacing w:before="200" w:line-rule="auto"/>
        <w:ind w:firstLine="540"/>
        <w:jc w:val="both"/>
      </w:pPr>
      <w:r>
        <w:rPr>
          <w:sz w:val="20"/>
        </w:rPr>
        <w:t xml:space="preserve">4,2 м - при высоте зданий или сооружений от 13 м до 46 м включительно;</w:t>
      </w:r>
    </w:p>
    <w:p>
      <w:pPr>
        <w:pStyle w:val="0"/>
        <w:spacing w:before="200" w:line-rule="auto"/>
        <w:ind w:firstLine="540"/>
        <w:jc w:val="both"/>
      </w:pPr>
      <w:r>
        <w:rPr>
          <w:sz w:val="20"/>
        </w:rPr>
        <w:t xml:space="preserve">6 м - при высоте зданий или сооружений более 46 м.</w:t>
      </w:r>
    </w:p>
    <w:p>
      <w:pPr>
        <w:pStyle w:val="0"/>
        <w:spacing w:before="200" w:line-rule="auto"/>
        <w:ind w:firstLine="540"/>
        <w:jc w:val="both"/>
      </w:pPr>
      <w:r>
        <w:rPr>
          <w:sz w:val="20"/>
        </w:rPr>
        <w:t xml:space="preserve">8.1.5. В общую ширину проездов для пожарных автомобилей, совмещенных с подъездами к зданиям и сооружениям, допускается включать тротуары, примыкающие к таким проездам.</w:t>
      </w:r>
    </w:p>
    <w:p>
      <w:pPr>
        <w:pStyle w:val="0"/>
        <w:spacing w:before="200" w:line-rule="auto"/>
        <w:ind w:firstLine="540"/>
        <w:jc w:val="both"/>
      </w:pPr>
      <w:r>
        <w:rPr>
          <w:sz w:val="20"/>
        </w:rPr>
        <w:t xml:space="preserve">8.1.6. Расстояние от внутреннего края подъезда до наружных стен или других ограждающих конструкций жилых и общественных зданий, сооружений должно составлять:</w:t>
      </w:r>
    </w:p>
    <w:p>
      <w:pPr>
        <w:pStyle w:val="0"/>
        <w:spacing w:before="200" w:line-rule="auto"/>
        <w:ind w:firstLine="540"/>
        <w:jc w:val="both"/>
      </w:pPr>
      <w:r>
        <w:rPr>
          <w:sz w:val="20"/>
        </w:rPr>
        <w:t xml:space="preserve">для зданий, сооружений высотой до 28 м включительно - 5 - 8 м;</w:t>
      </w:r>
    </w:p>
    <w:p>
      <w:pPr>
        <w:pStyle w:val="0"/>
        <w:spacing w:before="200" w:line-rule="auto"/>
        <w:ind w:firstLine="540"/>
        <w:jc w:val="both"/>
      </w:pPr>
      <w:r>
        <w:rPr>
          <w:sz w:val="20"/>
        </w:rPr>
        <w:t xml:space="preserve">для зданий, сооружений высотой более 28 м - 8 - 10 м.</w:t>
      </w:r>
    </w:p>
    <w:p>
      <w:pPr>
        <w:pStyle w:val="0"/>
        <w:spacing w:before="200" w:line-rule="auto"/>
        <w:ind w:firstLine="540"/>
        <w:jc w:val="both"/>
      </w:pPr>
      <w:r>
        <w:rPr>
          <w:sz w:val="20"/>
        </w:rPr>
        <w:t xml:space="preserve">8.1.7. Конструкция дорожной одежды проездов (в том числе укрепленных газонов, газонных решеток) для пожарной техники, а также площадок для ее установки должны быть рассчитаны на нагрузку от пожарных автомобилей.</w:t>
      </w:r>
    </w:p>
    <w:p>
      <w:pPr>
        <w:pStyle w:val="0"/>
        <w:spacing w:before="200" w:line-rule="auto"/>
        <w:ind w:firstLine="540"/>
        <w:jc w:val="both"/>
      </w:pPr>
      <w:r>
        <w:rPr>
          <w:sz w:val="20"/>
        </w:rPr>
        <w:t xml:space="preserve">8.1.8. Ширина ворот автомобильных въездов на огражденные территории должна обеспечивать беспрепятственный проезд пожарных автомобилей.</w:t>
      </w:r>
    </w:p>
    <w:p>
      <w:pPr>
        <w:pStyle w:val="0"/>
        <w:spacing w:before="200" w:line-rule="auto"/>
        <w:ind w:firstLine="540"/>
        <w:jc w:val="both"/>
      </w:pPr>
      <w:r>
        <w:rPr>
          <w:sz w:val="20"/>
        </w:rPr>
        <w:t xml:space="preserve">8.1.9. В замкнутых и полузамкнутых дворах необходимо предусматривать проезды для пожарных автомобилей.</w:t>
      </w:r>
    </w:p>
    <w:p>
      <w:pPr>
        <w:pStyle w:val="0"/>
        <w:spacing w:before="200" w:line-rule="auto"/>
        <w:ind w:firstLine="540"/>
        <w:jc w:val="both"/>
      </w:pPr>
      <w:r>
        <w:rPr>
          <w:sz w:val="20"/>
        </w:rPr>
        <w:t xml:space="preserve">8.1.10. Сквозные проезды (арки) в зданиях и сооружениях должны быть шириной не менее 3,5 м, высотой не менее 4,5 м и располагаться не более чем через каждые 300 м, а в реконструируемых районах при застройке по периметру - не более чем через 180 м.</w:t>
      </w:r>
    </w:p>
    <w:p>
      <w:pPr>
        <w:pStyle w:val="0"/>
        <w:spacing w:before="200" w:line-rule="auto"/>
        <w:ind w:firstLine="540"/>
        <w:jc w:val="both"/>
      </w:pPr>
      <w:r>
        <w:rPr>
          <w:sz w:val="20"/>
        </w:rPr>
        <w:t xml:space="preserve">В исторической застройке поселений и городских округов допускается сохранять существующие размеры сквозных проездов (арок).</w:t>
      </w:r>
    </w:p>
    <w:p>
      <w:pPr>
        <w:pStyle w:val="0"/>
        <w:spacing w:before="200" w:line-rule="auto"/>
        <w:ind w:firstLine="540"/>
        <w:jc w:val="both"/>
      </w:pPr>
      <w:r>
        <w:rPr>
          <w:sz w:val="20"/>
        </w:rPr>
        <w:t xml:space="preserve">8.1.11. Тупиковые проезды (подъезды) должны заканчиваться площадками для разворота пожарных автомобилей размером не менее чем 15 x 15 м. Максимальная протяженность тупикового проезда не должна превышать 150 м.</w:t>
      </w:r>
    </w:p>
    <w:p>
      <w:pPr>
        <w:pStyle w:val="0"/>
        <w:spacing w:before="200" w:line-rule="auto"/>
        <w:ind w:firstLine="540"/>
        <w:jc w:val="both"/>
      </w:pPr>
      <w:r>
        <w:rPr>
          <w:sz w:val="20"/>
        </w:rPr>
        <w:t xml:space="preserve">В случае, когда длина проезда для пожарных автомобилей превышает указанный размер необходимо предусмотреть еще одну или несколько площадок для разворота, расположенных на расстояниях не более 150 м друг от друга.</w:t>
      </w:r>
    </w:p>
    <w:p>
      <w:pPr>
        <w:pStyle w:val="0"/>
        <w:spacing w:before="200" w:line-rule="auto"/>
        <w:ind w:firstLine="540"/>
        <w:jc w:val="both"/>
      </w:pPr>
      <w:r>
        <w:rPr>
          <w:sz w:val="20"/>
        </w:rPr>
        <w:t xml:space="preserve">8.1.12. При длине здания более 100 м в лестничных клетках, вестибюлях или лифтовых холлах в уровне входов в здание, сооружение или пола первого этажа для прокладки пожарных рукавов следует предусматривать сквозные проходы на противоположную сторону здания, сооружения не реже, чем через 100 м друг от друга. При примыкании зданий и сооружений под углом друг к другу в расчет принимается расстояние по периметру со стороны наружных водопроводных сетей с пожарными гидрантами. Ширина этих проходов должна быть не менее 1,2 м с конфигурацией, исключающей резкие перегибы пожарных рукавов при их прокладке.</w:t>
      </w:r>
    </w:p>
    <w:p>
      <w:pPr>
        <w:pStyle w:val="0"/>
        <w:spacing w:before="200" w:line-rule="auto"/>
        <w:ind w:firstLine="540"/>
        <w:jc w:val="both"/>
      </w:pPr>
      <w:r>
        <w:rPr>
          <w:sz w:val="20"/>
        </w:rPr>
        <w:t xml:space="preserve">Указанные сквозные проходы допускается не выполнять в случае, если водопроводная сеть с устройством на ней пожарных гидрантов предусмотрена с обеих продольных сторон здания.</w:t>
      </w:r>
    </w:p>
    <w:p>
      <w:pPr>
        <w:pStyle w:val="0"/>
        <w:spacing w:before="200" w:line-rule="auto"/>
        <w:ind w:firstLine="540"/>
        <w:jc w:val="both"/>
      </w:pPr>
      <w:r>
        <w:rPr>
          <w:sz w:val="20"/>
        </w:rPr>
        <w:t xml:space="preserve">8.1.13. При использовании кровли стилобата для подъезда пожарных автомобилей конструкции стилобата должны быть рассчитаны на нагрузку от них из расчета не менее 16 тонн на ось.</w:t>
      </w:r>
    </w:p>
    <w:p>
      <w:pPr>
        <w:pStyle w:val="0"/>
        <w:spacing w:before="200" w:line-rule="auto"/>
        <w:ind w:firstLine="540"/>
        <w:jc w:val="both"/>
      </w:pPr>
      <w:r>
        <w:rPr>
          <w:sz w:val="20"/>
        </w:rPr>
        <w:t xml:space="preserve">8.1.14. К источникам наружного противопожарного водоснабжения должна быть предусмотрена возможность подъезда для пожарных автомобилей (мотопомп) и забора воды в соответствии с требованиями </w:t>
      </w:r>
      <w:hyperlink w:history="0" r:id="rId434" w:tooltip="Приказ МЧС России от 30.03.2020 N 225 &quot;Об утверждении свода правил СП 8.13130 &quot;Системы противопожарной защиты. Наружное противопожарное водоснабжение. Требования пожарной безопасности&quot; {КонсультантПлюс}">
        <w:r>
          <w:rPr>
            <w:sz w:val="20"/>
            <w:color w:val="0000ff"/>
          </w:rPr>
          <w:t xml:space="preserve">СП 8.13130</w:t>
        </w:r>
      </w:hyperlink>
      <w:r>
        <w:rPr>
          <w:sz w:val="20"/>
        </w:rPr>
        <w:t xml:space="preserve"> и других нормативных документов по пожарной безопасности.</w:t>
      </w:r>
    </w:p>
    <w:p>
      <w:pPr>
        <w:pStyle w:val="0"/>
        <w:spacing w:before="200" w:line-rule="auto"/>
        <w:ind w:firstLine="540"/>
        <w:jc w:val="both"/>
      </w:pPr>
      <w:r>
        <w:rPr>
          <w:sz w:val="20"/>
        </w:rPr>
        <w:t xml:space="preserve">8.1.15. Планировочные решения малоэтажной жилой застройки домами класса функциональной пожарной опасности Ф1.4 (до 3 этажей включительно), а также садоводческих и огороднических некоммерческих товариществ должны обеспечивать подъезд пожарной техники к зданиям и сооружениям на расстояние не более 50 м.</w:t>
      </w:r>
    </w:p>
    <w:p>
      <w:pPr>
        <w:pStyle w:val="0"/>
        <w:spacing w:before="200" w:line-rule="auto"/>
        <w:ind w:firstLine="540"/>
        <w:jc w:val="both"/>
      </w:pPr>
      <w:r>
        <w:rPr>
          <w:sz w:val="20"/>
        </w:rPr>
        <w:t xml:space="preserve">8.1.16. На территории садоводческих и огороднических некоммерческих товариществ ширина проездов для пожарной техники должна быть не менее 3,5 м.</w:t>
      </w:r>
    </w:p>
    <w:p>
      <w:pPr>
        <w:pStyle w:val="0"/>
        <w:jc w:val="both"/>
      </w:pPr>
      <w:r>
        <w:rPr>
          <w:sz w:val="20"/>
        </w:rPr>
      </w:r>
    </w:p>
    <w:p>
      <w:pPr>
        <w:pStyle w:val="2"/>
        <w:outlineLvl w:val="2"/>
        <w:ind w:firstLine="540"/>
        <w:jc w:val="both"/>
      </w:pPr>
      <w:r>
        <w:rPr>
          <w:sz w:val="20"/>
        </w:rPr>
        <w:t xml:space="preserve">8.2. Въезды (выезды), проезды и подъезды к производственным и складским зданиям классов функциональной пожарной опасности Ф5.</w:t>
      </w:r>
    </w:p>
    <w:p>
      <w:pPr>
        <w:pStyle w:val="0"/>
        <w:jc w:val="both"/>
      </w:pPr>
      <w:r>
        <w:rPr>
          <w:sz w:val="20"/>
        </w:rPr>
      </w:r>
    </w:p>
    <w:p>
      <w:pPr>
        <w:pStyle w:val="0"/>
        <w:ind w:firstLine="540"/>
        <w:jc w:val="both"/>
      </w:pPr>
      <w:r>
        <w:rPr>
          <w:sz w:val="20"/>
        </w:rPr>
        <w:t xml:space="preserve">8.2.1. К зданиям и сооружениям по всей их длине (за исключением линейных объектов) должен быть обеспечен подъезд (доставка) мобильных средств пожаротушения с одной стороны при ширине здания или сооружения не более 18 м и с двух сторон при ширине более 18 м, а также при устройстве замкнутых и полузамкнутых дворов.</w:t>
      </w:r>
    </w:p>
    <w:p>
      <w:pPr>
        <w:pStyle w:val="0"/>
        <w:spacing w:before="200" w:line-rule="auto"/>
        <w:ind w:firstLine="540"/>
        <w:jc w:val="both"/>
      </w:pPr>
      <w:r>
        <w:rPr>
          <w:sz w:val="20"/>
        </w:rPr>
        <w:t xml:space="preserve">8.2.2. К зданиям или сооружениям с площадью застройки более 10000 м</w:t>
      </w:r>
      <w:r>
        <w:rPr>
          <w:sz w:val="20"/>
          <w:vertAlign w:val="superscript"/>
        </w:rPr>
        <w:t xml:space="preserve">2</w:t>
      </w:r>
      <w:r>
        <w:rPr>
          <w:sz w:val="20"/>
        </w:rPr>
        <w:t xml:space="preserve"> или шириной более 100 м подъезд пожарных автомобилей должен быть обеспечен со всех сторон.</w:t>
      </w:r>
    </w:p>
    <w:p>
      <w:pPr>
        <w:pStyle w:val="0"/>
        <w:spacing w:before="200" w:line-rule="auto"/>
        <w:ind w:firstLine="540"/>
        <w:jc w:val="both"/>
      </w:pPr>
      <w:r>
        <w:rPr>
          <w:sz w:val="20"/>
        </w:rPr>
        <w:t xml:space="preserve">8.2.3. Ширина проездов для пожарных автомобилей в зависимости от высоты зданий или сооружений должна составлять не менее:</w:t>
      </w:r>
    </w:p>
    <w:p>
      <w:pPr>
        <w:pStyle w:val="0"/>
        <w:spacing w:before="200" w:line-rule="auto"/>
        <w:ind w:firstLine="540"/>
        <w:jc w:val="both"/>
      </w:pPr>
      <w:r>
        <w:rPr>
          <w:sz w:val="20"/>
        </w:rPr>
        <w:t xml:space="preserve">3,5 м - при высоте зданий или сооружений до 13 м включительно;</w:t>
      </w:r>
    </w:p>
    <w:p>
      <w:pPr>
        <w:pStyle w:val="0"/>
        <w:spacing w:before="200" w:line-rule="auto"/>
        <w:ind w:firstLine="540"/>
        <w:jc w:val="both"/>
      </w:pPr>
      <w:r>
        <w:rPr>
          <w:sz w:val="20"/>
        </w:rPr>
        <w:t xml:space="preserve">4,2 м - при высоте зданий или сооружений от 13 м до 46 м включительно;</w:t>
      </w:r>
    </w:p>
    <w:p>
      <w:pPr>
        <w:pStyle w:val="0"/>
        <w:spacing w:before="200" w:line-rule="auto"/>
        <w:ind w:firstLine="540"/>
        <w:jc w:val="both"/>
      </w:pPr>
      <w:r>
        <w:rPr>
          <w:sz w:val="20"/>
        </w:rPr>
        <w:t xml:space="preserve">6 м - при высоте зданий или сооружений более 46 м.</w:t>
      </w:r>
    </w:p>
    <w:p>
      <w:pPr>
        <w:pStyle w:val="0"/>
        <w:spacing w:before="200" w:line-rule="auto"/>
        <w:ind w:firstLine="540"/>
        <w:jc w:val="both"/>
      </w:pPr>
      <w:r>
        <w:rPr>
          <w:sz w:val="20"/>
        </w:rPr>
        <w:t xml:space="preserve">8.2.4. 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pPr>
        <w:pStyle w:val="0"/>
        <w:spacing w:before="200" w:line-rule="auto"/>
        <w:ind w:firstLine="540"/>
        <w:jc w:val="both"/>
      </w:pPr>
      <w:r>
        <w:rPr>
          <w:sz w:val="20"/>
        </w:rPr>
        <w:t xml:space="preserve">8.2.5. Расстояние от края проезжей части или спланированной поверхности, обеспечивающей проезд пожарных автомобилей, до стен зданий или сооружений должно составлять:</w:t>
      </w:r>
    </w:p>
    <w:p>
      <w:pPr>
        <w:pStyle w:val="0"/>
        <w:spacing w:before="200" w:line-rule="auto"/>
        <w:ind w:firstLine="540"/>
        <w:jc w:val="both"/>
      </w:pPr>
      <w:r>
        <w:rPr>
          <w:sz w:val="20"/>
        </w:rPr>
        <w:t xml:space="preserve">для зданий, сооружений высотой не более 12 м - не более 25 м;</w:t>
      </w:r>
    </w:p>
    <w:p>
      <w:pPr>
        <w:pStyle w:val="0"/>
        <w:spacing w:before="200" w:line-rule="auto"/>
        <w:ind w:firstLine="540"/>
        <w:jc w:val="both"/>
      </w:pPr>
      <w:r>
        <w:rPr>
          <w:sz w:val="20"/>
        </w:rPr>
        <w:t xml:space="preserve">для зданий, сооружений высотой более 12 м, но не более 28 м - 10 м;</w:t>
      </w:r>
    </w:p>
    <w:p>
      <w:pPr>
        <w:pStyle w:val="0"/>
        <w:spacing w:before="200" w:line-rule="auto"/>
        <w:ind w:firstLine="540"/>
        <w:jc w:val="both"/>
      </w:pPr>
      <w:r>
        <w:rPr>
          <w:sz w:val="20"/>
        </w:rPr>
        <w:t xml:space="preserve">для зданий, сооружений высотой более 28 м - 8 м.</w:t>
      </w:r>
    </w:p>
    <w:p>
      <w:pPr>
        <w:pStyle w:val="0"/>
        <w:spacing w:before="200" w:line-rule="auto"/>
        <w:ind w:firstLine="540"/>
        <w:jc w:val="both"/>
      </w:pPr>
      <w:r>
        <w:rPr>
          <w:sz w:val="20"/>
        </w:rPr>
        <w:t xml:space="preserve">8.2.6. К источникам наружного противопожарного водоснабжения на территории производственного объекта, а также к градирням, брызгальным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w:t>
      </w:r>
    </w:p>
    <w:p>
      <w:pPr>
        <w:pStyle w:val="0"/>
        <w:spacing w:before="200" w:line-rule="auto"/>
        <w:ind w:firstLine="540"/>
        <w:jc w:val="both"/>
      </w:pPr>
      <w:r>
        <w:rPr>
          <w:sz w:val="20"/>
        </w:rPr>
        <w:t xml:space="preserve">Пожарные гидранты на территории производственного объекта необходимо располагать вдоль автомобильных дорог на расстоянии не более 2,5 м от края проезжей части, но не менее 5 м от стен зданий и сооружений.</w:t>
      </w:r>
    </w:p>
    <w:p>
      <w:pPr>
        <w:pStyle w:val="0"/>
        <w:spacing w:before="200" w:line-rule="auto"/>
        <w:ind w:firstLine="540"/>
        <w:jc w:val="both"/>
      </w:pPr>
      <w:r>
        <w:rPr>
          <w:sz w:val="20"/>
        </w:rPr>
        <w:t xml:space="preserve">8.2.7. Ширина ворот автомобильных въездов на территорию производственного объекта должна обеспечивать беспрепятственный проезд мобильных средств пожаротушения.</w:t>
      </w:r>
    </w:p>
    <w:p>
      <w:pPr>
        <w:pStyle w:val="0"/>
        <w:ind w:firstLine="540"/>
        <w:jc w:val="both"/>
      </w:pPr>
      <w:r>
        <w:rPr>
          <w:sz w:val="20"/>
        </w:rPr>
      </w:r>
    </w:p>
    <w:p>
      <w:pPr>
        <w:pStyle w:val="2"/>
        <w:outlineLvl w:val="1"/>
        <w:jc w:val="center"/>
      </w:pPr>
      <w:r>
        <w:rPr>
          <w:sz w:val="20"/>
        </w:rPr>
        <w:t xml:space="preserve">Библиография</w:t>
      </w:r>
    </w:p>
    <w:p>
      <w:pPr>
        <w:pStyle w:val="0"/>
        <w:ind w:firstLine="540"/>
        <w:jc w:val="both"/>
      </w:pPr>
      <w:r>
        <w:rPr>
          <w:sz w:val="20"/>
        </w:rPr>
      </w:r>
    </w:p>
    <w:bookmarkStart w:id="4427" w:name="P4427"/>
    <w:bookmarkEnd w:id="4427"/>
    <w:p>
      <w:pPr>
        <w:pStyle w:val="3"/>
        <w:jc w:val="both"/>
      </w:pPr>
      <w:r>
        <w:rPr>
          <w:sz w:val="20"/>
        </w:rPr>
        <w:t xml:space="preserve">[1]        ПУЭ        "Правила устройства электроустановок", издание 6 и 7.</w:t>
      </w:r>
    </w:p>
    <w:bookmarkStart w:id="4428" w:name="P4428"/>
    <w:bookmarkEnd w:id="4428"/>
    <w:p>
      <w:pPr>
        <w:pStyle w:val="0"/>
        <w:jc w:val="both"/>
      </w:pPr>
      <w:r>
        <w:rPr>
          <w:sz w:val="20"/>
        </w:rPr>
        <w:t xml:space="preserve">[2] Федеральный </w:t>
      </w:r>
      <w:hyperlink w:history="0" r:id="rId435"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22 июля 2008 г. N 123-ФЗ "Технический регламент о требованиях пожарной безопасности".</w:t>
      </w:r>
    </w:p>
    <w:p>
      <w:pPr>
        <w:pStyle w:val="0"/>
        <w:jc w:val="both"/>
      </w:pPr>
      <w:r>
        <w:rPr>
          <w:sz w:val="20"/>
        </w:rPr>
        <w:t xml:space="preserve">(п. 2 введен </w:t>
      </w:r>
      <w:hyperlink w:history="0" r:id="rId436"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Приказом</w:t>
        </w:r>
      </w:hyperlink>
      <w:r>
        <w:rPr>
          <w:sz w:val="20"/>
        </w:rPr>
        <w:t xml:space="preserve"> МЧС России от 14.02.2020 N 89)</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А</w:t>
      </w:r>
    </w:p>
    <w:p>
      <w:pPr>
        <w:pStyle w:val="0"/>
        <w:jc w:val="right"/>
      </w:pPr>
      <w:r>
        <w:rPr>
          <w:sz w:val="20"/>
        </w:rPr>
        <w:t xml:space="preserve">(рекомендуемое)</w:t>
      </w:r>
    </w:p>
    <w:p>
      <w:pPr>
        <w:pStyle w:val="0"/>
        <w:jc w:val="both"/>
      </w:pPr>
      <w:r>
        <w:rPr>
          <w:sz w:val="20"/>
        </w:rPr>
      </w:r>
    </w:p>
    <w:bookmarkStart w:id="4438" w:name="P4438"/>
    <w:bookmarkEnd w:id="4438"/>
    <w:p>
      <w:pPr>
        <w:pStyle w:val="2"/>
        <w:jc w:val="center"/>
      </w:pPr>
      <w:r>
        <w:rPr>
          <w:sz w:val="20"/>
        </w:rPr>
        <w:t xml:space="preserve">Методика</w:t>
      </w:r>
    </w:p>
    <w:p>
      <w:pPr>
        <w:pStyle w:val="2"/>
        <w:jc w:val="center"/>
      </w:pPr>
      <w:r>
        <w:rPr>
          <w:sz w:val="20"/>
        </w:rPr>
        <w:t xml:space="preserve">определения безопасных противопожарных разрывов</w:t>
      </w:r>
    </w:p>
    <w:p>
      <w:pPr>
        <w:pStyle w:val="2"/>
        <w:jc w:val="center"/>
      </w:pPr>
      <w:r>
        <w:rPr>
          <w:sz w:val="20"/>
        </w:rPr>
        <w:t xml:space="preserve">(расстояний) между жилыми, общественными</w:t>
      </w:r>
    </w:p>
    <w:p>
      <w:pPr>
        <w:pStyle w:val="2"/>
        <w:jc w:val="center"/>
      </w:pPr>
      <w:r>
        <w:rPr>
          <w:sz w:val="20"/>
        </w:rPr>
        <w:t xml:space="preserve">зданиями, сооружениями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437" w:tooltip="Приказ МЧС России от 14.02.2020 N 89 &quot;Об утверждении изменения N 1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ержденному приказом МЧС России от 24.04.2013 N 288&quot; {КонсультантПлюс}">
              <w:r>
                <w:rPr>
                  <w:sz w:val="20"/>
                  <w:color w:val="0000ff"/>
                </w:rPr>
                <w:t xml:space="preserve">Приказом</w:t>
              </w:r>
            </w:hyperlink>
            <w:r>
              <w:rPr>
                <w:sz w:val="20"/>
                <w:color w:val="392c69"/>
              </w:rPr>
              <w:t xml:space="preserve"> МЧС России от 14.02.2020 N 89;</w:t>
            </w:r>
          </w:p>
          <w:p>
            <w:pPr>
              <w:pStyle w:val="0"/>
              <w:jc w:val="center"/>
            </w:pPr>
            <w:r>
              <w:rPr>
                <w:sz w:val="20"/>
                <w:color w:val="392c69"/>
              </w:rPr>
              <w:t xml:space="preserve">в ред. </w:t>
            </w:r>
            <w:hyperlink w:history="0" r:id="rId438"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color w:val="392c69"/>
              </w:rPr>
              <w:t xml:space="preserve"> МЧС России от 15.06.2022 N 610)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2"/>
        <w:ind w:firstLine="540"/>
        <w:jc w:val="both"/>
      </w:pPr>
      <w:r>
        <w:rPr>
          <w:sz w:val="20"/>
        </w:rPr>
        <w:t xml:space="preserve">А.1 Общие положения</w:t>
      </w:r>
    </w:p>
    <w:bookmarkStart w:id="4447" w:name="P4447"/>
    <w:bookmarkEnd w:id="4447"/>
    <w:p>
      <w:pPr>
        <w:pStyle w:val="0"/>
        <w:spacing w:before="200" w:line-rule="auto"/>
        <w:ind w:firstLine="540"/>
        <w:jc w:val="both"/>
      </w:pPr>
      <w:r>
        <w:rPr>
          <w:sz w:val="20"/>
        </w:rPr>
        <w:t xml:space="preserve">А.1.1 Методика определения безопасных противопожарных разрывов (расстояний) между жилыми, общественными зданиями, сооружениями (далее - Методика) предназначена для расчетной оценки возможности сокращения противопожарных расстояний (разрывов) между жилыми, общественными зданиями и сооружениями и в конкретных случаях может применяться для обоснования сокращения значений, указанных в </w:t>
      </w:r>
      <w:hyperlink w:history="0" w:anchor="P212" w:tooltip="Таблица 1">
        <w:r>
          <w:rPr>
            <w:sz w:val="20"/>
            <w:color w:val="0000ff"/>
          </w:rPr>
          <w:t xml:space="preserve">таблице 1</w:t>
        </w:r>
      </w:hyperlink>
      <w:r>
        <w:rPr>
          <w:sz w:val="20"/>
        </w:rPr>
        <w:t xml:space="preserve"> настоящего свода правил, но не менее чем 6 м, а до (от) зданий и сооружений IV степени огнестойкости класса C2 - C3 и V степени огнестойкости - не менее чем 10 м.</w:t>
      </w:r>
    </w:p>
    <w:p>
      <w:pPr>
        <w:pStyle w:val="0"/>
        <w:spacing w:before="200" w:line-rule="auto"/>
        <w:ind w:firstLine="540"/>
        <w:jc w:val="both"/>
      </w:pPr>
      <w:r>
        <w:rPr>
          <w:sz w:val="20"/>
        </w:rPr>
        <w:t xml:space="preserve">Абзац исключен с 1 декабря 2022 года. - </w:t>
      </w:r>
      <w:hyperlink w:history="0" r:id="rId439"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w:t>
        </w:r>
      </w:hyperlink>
      <w:r>
        <w:rPr>
          <w:sz w:val="20"/>
        </w:rPr>
        <w:t xml:space="preserve"> МЧС России от 15.06.2022 N 610.</w:t>
      </w:r>
    </w:p>
    <w:p>
      <w:pPr>
        <w:pStyle w:val="0"/>
        <w:spacing w:before="200" w:line-rule="auto"/>
        <w:ind w:firstLine="540"/>
        <w:jc w:val="both"/>
      </w:pPr>
      <w:r>
        <w:rPr>
          <w:sz w:val="20"/>
        </w:rPr>
        <w:t xml:space="preserve">Положения Методики не применимы для обоснования сокращения противопожарных расстояний:</w:t>
      </w:r>
    </w:p>
    <w:p>
      <w:pPr>
        <w:pStyle w:val="0"/>
        <w:spacing w:before="200" w:line-rule="auto"/>
        <w:ind w:firstLine="540"/>
        <w:jc w:val="both"/>
      </w:pPr>
      <w:r>
        <w:rPr>
          <w:sz w:val="20"/>
        </w:rPr>
        <w:t xml:space="preserve">- до зданий и сооружений, относящихся к классам функциональной пожарной опасности Ф1.1 и Ф4.1;</w:t>
      </w:r>
    </w:p>
    <w:p>
      <w:pPr>
        <w:pStyle w:val="0"/>
        <w:spacing w:before="200" w:line-rule="auto"/>
        <w:ind w:firstLine="540"/>
        <w:jc w:val="both"/>
      </w:pPr>
      <w:r>
        <w:rPr>
          <w:sz w:val="20"/>
        </w:rPr>
        <w:t xml:space="preserve">- до зданий и сооружений предприятий торговли, специализирующихся на продаже веществ, материалов и изделий, упомянутых в </w:t>
      </w:r>
      <w:hyperlink w:history="0" w:anchor="P374" w:tooltip="5.1.3. В жилых и общественных зданиях (кроме зданий класса функциональной пожарной опасности Ф3.1) не допускается размещать предприятия торговли по продаже:">
        <w:r>
          <w:rPr>
            <w:sz w:val="20"/>
            <w:color w:val="0000ff"/>
          </w:rPr>
          <w:t xml:space="preserve">пункте 5.1.3</w:t>
        </w:r>
      </w:hyperlink>
      <w:r>
        <w:rPr>
          <w:sz w:val="20"/>
        </w:rPr>
        <w:t xml:space="preserve">;</w:t>
      </w:r>
    </w:p>
    <w:p>
      <w:pPr>
        <w:pStyle w:val="0"/>
        <w:spacing w:before="200" w:line-rule="auto"/>
        <w:ind w:firstLine="540"/>
        <w:jc w:val="both"/>
      </w:pPr>
      <w:r>
        <w:rPr>
          <w:sz w:val="20"/>
        </w:rPr>
        <w:t xml:space="preserve">- до стен жилых и общественных зданий со стороны пристроенных котельных, трансформаторных, а также до стен с наружным размещением газового оборудования и газопроводов;</w:t>
      </w:r>
    </w:p>
    <w:p>
      <w:pPr>
        <w:pStyle w:val="0"/>
        <w:spacing w:before="200" w:line-rule="auto"/>
        <w:ind w:firstLine="540"/>
        <w:jc w:val="both"/>
      </w:pPr>
      <w:r>
        <w:rPr>
          <w:sz w:val="20"/>
        </w:rPr>
        <w:t xml:space="preserve">- до зданий и сооружений, имеющих открытые террасы или эксплуатируемую кровлю с размещением функциональной пожарной нагрузки (автостоянки, кафе и т.п.).</w:t>
      </w:r>
    </w:p>
    <w:p>
      <w:pPr>
        <w:pStyle w:val="0"/>
        <w:spacing w:before="200" w:line-rule="auto"/>
        <w:ind w:firstLine="540"/>
        <w:jc w:val="both"/>
      </w:pPr>
      <w:r>
        <w:rPr>
          <w:sz w:val="20"/>
        </w:rPr>
        <w:t xml:space="preserve">А.1.2 Методика должна применяться к объектам, имеющим систему обеспечения пожарной безопасности в соответствии с </w:t>
      </w:r>
      <w:hyperlink w:history="0" w:anchor="P4428" w:tooltip="[2] Федеральный закон от 22 июля 2008 г. N 123-ФЗ &quot;Технический регламент о требованиях пожарной безопасности&quot;.">
        <w:r>
          <w:rPr>
            <w:sz w:val="20"/>
            <w:color w:val="0000ff"/>
          </w:rPr>
          <w:t xml:space="preserve">[2]</w:t>
        </w:r>
      </w:hyperlink>
      <w:r>
        <w:rPr>
          <w:sz w:val="20"/>
        </w:rPr>
        <w:t xml:space="preserve">, а также действующими нормативными документами.</w:t>
      </w:r>
    </w:p>
    <w:p>
      <w:pPr>
        <w:pStyle w:val="0"/>
        <w:spacing w:before="200" w:line-rule="auto"/>
        <w:ind w:firstLine="540"/>
        <w:jc w:val="both"/>
      </w:pPr>
      <w:r>
        <w:rPr>
          <w:sz w:val="20"/>
        </w:rPr>
        <w:t xml:space="preserve">Полученные расчетные значения безопасных противопожарных расстояний справедливы только для конкретных объектов с учетом их размещения и принятых пожарно-технических характеристик (степень огнестойкости, класс функциональной и конструктивной пожарной опасности), объемно-планировочных решений, материалов (наружных стен, фасадных систем, кровли и т.д.).</w:t>
      </w:r>
    </w:p>
    <w:p>
      <w:pPr>
        <w:pStyle w:val="0"/>
        <w:spacing w:before="200" w:line-rule="auto"/>
        <w:ind w:firstLine="540"/>
        <w:jc w:val="both"/>
      </w:pPr>
      <w:r>
        <w:rPr>
          <w:sz w:val="20"/>
        </w:rPr>
        <w:t xml:space="preserve">Указанные обстоятельства следует также учитывать при проведении ремонта, реконструкции и технического перевооружения объектов защиты.</w:t>
      </w:r>
    </w:p>
    <w:p>
      <w:pPr>
        <w:pStyle w:val="0"/>
        <w:spacing w:before="200" w:line-rule="auto"/>
        <w:ind w:firstLine="540"/>
        <w:jc w:val="both"/>
      </w:pPr>
      <w:r>
        <w:rPr>
          <w:sz w:val="20"/>
        </w:rPr>
        <w:t xml:space="preserve">При расчетном обосновании сокращения противопожарных расстояний рассматриваются только аспекты предотвращения распространения пожара между объектами защиты без учета требований строительной, санитарной и экологической безопасности. Внедрение результатов должно проводиться при обязательном соблюдении требований к устройству проездов и подъездов для пожарной техники.</w:t>
      </w:r>
    </w:p>
    <w:p>
      <w:pPr>
        <w:pStyle w:val="2"/>
        <w:spacing w:before="200" w:line-rule="auto"/>
        <w:outlineLvl w:val="2"/>
        <w:ind w:firstLine="540"/>
        <w:jc w:val="both"/>
      </w:pPr>
      <w:r>
        <w:rPr>
          <w:sz w:val="20"/>
        </w:rPr>
        <w:t xml:space="preserve">А.2 Порядок проведения расчетов</w:t>
      </w:r>
    </w:p>
    <w:p>
      <w:pPr>
        <w:pStyle w:val="0"/>
        <w:spacing w:before="200" w:line-rule="auto"/>
        <w:ind w:firstLine="540"/>
        <w:jc w:val="both"/>
      </w:pPr>
      <w:r>
        <w:rPr>
          <w:sz w:val="20"/>
        </w:rPr>
        <w:t xml:space="preserve">А.2.1 Для каждого из рассматриваемых зданий, сооружений производится анализ исходных данных, включающих:</w:t>
      </w:r>
    </w:p>
    <w:p>
      <w:pPr>
        <w:pStyle w:val="0"/>
        <w:spacing w:before="200" w:line-rule="auto"/>
        <w:ind w:firstLine="540"/>
        <w:jc w:val="both"/>
      </w:pPr>
      <w:r>
        <w:rPr>
          <w:sz w:val="20"/>
        </w:rPr>
        <w:t xml:space="preserve">- генеральный план;</w:t>
      </w:r>
    </w:p>
    <w:p>
      <w:pPr>
        <w:pStyle w:val="0"/>
        <w:spacing w:before="200" w:line-rule="auto"/>
        <w:ind w:firstLine="540"/>
        <w:jc w:val="both"/>
      </w:pPr>
      <w:r>
        <w:rPr>
          <w:sz w:val="20"/>
        </w:rPr>
        <w:t xml:space="preserve">- сведения о высоте, этажности, степени огнестойкости, классах функциональной и конструктивной пожарной опасности;</w:t>
      </w:r>
    </w:p>
    <w:p>
      <w:pPr>
        <w:pStyle w:val="0"/>
        <w:spacing w:before="200" w:line-rule="auto"/>
        <w:ind w:firstLine="540"/>
        <w:jc w:val="both"/>
      </w:pPr>
      <w:r>
        <w:rPr>
          <w:sz w:val="20"/>
        </w:rPr>
        <w:t xml:space="preserve">- объемно-планировочные решения с информацией о функциональном назначении помещений, расположении пожарных отсеков, частей зданий или помещений, выделенных противопожарными преградами;</w:t>
      </w:r>
    </w:p>
    <w:p>
      <w:pPr>
        <w:pStyle w:val="0"/>
        <w:spacing w:before="200" w:line-rule="auto"/>
        <w:ind w:firstLine="540"/>
        <w:jc w:val="both"/>
      </w:pPr>
      <w:r>
        <w:rPr>
          <w:sz w:val="20"/>
        </w:rPr>
        <w:t xml:space="preserve">- конструктивные решения ограждающих конструкций зданий, сооружений обращенных к соседнему объекту защиты, включая данные о показателях пожарной опасности материалов наружных стен, окон, кровли, фасадных систем, наружной (при наличии) отделки и облицовки.</w:t>
      </w:r>
    </w:p>
    <w:p>
      <w:pPr>
        <w:pStyle w:val="0"/>
        <w:spacing w:before="200" w:line-rule="auto"/>
        <w:ind w:firstLine="540"/>
        <w:jc w:val="both"/>
      </w:pPr>
      <w:r>
        <w:rPr>
          <w:sz w:val="20"/>
        </w:rPr>
        <w:t xml:space="preserve">А.2.2 Для рассматриваемых объектов определяется нормативное противопожарное расстояние r</w:t>
      </w:r>
      <w:r>
        <w:rPr>
          <w:sz w:val="20"/>
          <w:vertAlign w:val="subscript"/>
        </w:rPr>
        <w:t xml:space="preserve">норм</w:t>
      </w:r>
      <w:r>
        <w:rPr>
          <w:sz w:val="20"/>
        </w:rPr>
        <w:t xml:space="preserve"> и требуемое r</w:t>
      </w:r>
      <w:r>
        <w:rPr>
          <w:sz w:val="20"/>
          <w:vertAlign w:val="subscript"/>
        </w:rPr>
        <w:t xml:space="preserve">тр</w:t>
      </w:r>
      <w:r>
        <w:rPr>
          <w:sz w:val="20"/>
        </w:rPr>
        <w:t xml:space="preserve">, безопасность сокращения до которого подлежит расчетному обоснованию. Значение r</w:t>
      </w:r>
      <w:r>
        <w:rPr>
          <w:sz w:val="20"/>
          <w:vertAlign w:val="subscript"/>
        </w:rPr>
        <w:t xml:space="preserve">тр</w:t>
      </w:r>
      <w:r>
        <w:rPr>
          <w:sz w:val="20"/>
        </w:rPr>
        <w:t xml:space="preserve"> должно составлять не менее указанных в </w:t>
      </w:r>
      <w:hyperlink w:history="0" w:anchor="P4447" w:tooltip="А.1.1 Методика определения безопасных противопожарных разрывов (расстояний) между жилыми, общественными зданиями, сооружениями (далее - Методика) предназначена для расчетной оценки возможности сокращения противопожарных расстояний (разрывов) между жилыми, общественными зданиями и сооружениями и в конкретных случаях может применяться для обоснования сокращения значений, указанных в таблице 1 настоящего свода правил, но не менее чем 6 м, а до (от) зданий и сооружений IV степени огнестойкости класса C2 - C3...">
        <w:r>
          <w:rPr>
            <w:sz w:val="20"/>
            <w:color w:val="0000ff"/>
          </w:rPr>
          <w:t xml:space="preserve">А.1.1</w:t>
        </w:r>
      </w:hyperlink>
      <w:r>
        <w:rPr>
          <w:sz w:val="20"/>
        </w:rPr>
        <w:t xml:space="preserve">.</w:t>
      </w:r>
    </w:p>
    <w:p>
      <w:pPr>
        <w:pStyle w:val="0"/>
        <w:spacing w:before="200" w:line-rule="auto"/>
        <w:ind w:firstLine="540"/>
        <w:jc w:val="both"/>
      </w:pPr>
      <w:r>
        <w:rPr>
          <w:sz w:val="20"/>
        </w:rPr>
        <w:t xml:space="preserve">А.2.3 Для подтверждения нераспространения пожара между зданиями, сооружениями для принятого r</w:t>
      </w:r>
      <w:r>
        <w:rPr>
          <w:sz w:val="20"/>
          <w:vertAlign w:val="subscript"/>
        </w:rPr>
        <w:t xml:space="preserve">тр</w:t>
      </w:r>
      <w:r>
        <w:rPr>
          <w:sz w:val="20"/>
        </w:rPr>
        <w:t xml:space="preserve"> следует рассмотреть расчетные сценарии проектного пожара на каждом из объектов и оценить тепловое воздействие на соседний объект защиты.</w:t>
      </w:r>
    </w:p>
    <w:p>
      <w:pPr>
        <w:pStyle w:val="0"/>
        <w:spacing w:before="200" w:line-rule="auto"/>
        <w:ind w:firstLine="540"/>
        <w:jc w:val="both"/>
      </w:pPr>
      <w:r>
        <w:rPr>
          <w:sz w:val="20"/>
        </w:rPr>
        <w:t xml:space="preserve">А.2.4 После проведения расчетов в выводах должны указываться исходное нормативное значение противопожарного расстояния и возможность его сокращения до r</w:t>
      </w:r>
      <w:r>
        <w:rPr>
          <w:sz w:val="20"/>
          <w:vertAlign w:val="subscript"/>
        </w:rPr>
        <w:t xml:space="preserve">тр</w:t>
      </w:r>
      <w:r>
        <w:rPr>
          <w:sz w:val="20"/>
        </w:rPr>
        <w:t xml:space="preserve">.</w:t>
      </w:r>
    </w:p>
    <w:p>
      <w:pPr>
        <w:pStyle w:val="0"/>
        <w:spacing w:before="200" w:line-rule="auto"/>
        <w:ind w:firstLine="540"/>
        <w:jc w:val="both"/>
      </w:pPr>
      <w:r>
        <w:rPr>
          <w:sz w:val="20"/>
        </w:rPr>
        <w:t xml:space="preserve">При внедрении результатов полученное значение расстояния r</w:t>
      </w:r>
      <w:r>
        <w:rPr>
          <w:sz w:val="20"/>
          <w:vertAlign w:val="subscript"/>
        </w:rPr>
        <w:t xml:space="preserve">тр</w:t>
      </w:r>
      <w:r>
        <w:rPr>
          <w:sz w:val="20"/>
        </w:rPr>
        <w:t xml:space="preserve"> необходимо проверить на предмет соответствия требованиям, предъявляемым к параметрам проездов, подъездов для пожарных автомобилей.</w:t>
      </w:r>
    </w:p>
    <w:p>
      <w:pPr>
        <w:pStyle w:val="2"/>
        <w:spacing w:before="200" w:line-rule="auto"/>
        <w:outlineLvl w:val="2"/>
        <w:ind w:firstLine="540"/>
        <w:jc w:val="both"/>
      </w:pPr>
      <w:r>
        <w:rPr>
          <w:sz w:val="20"/>
        </w:rPr>
        <w:t xml:space="preserve">А.3 Определение безопасных противопожарных расстояний между зданиями, сооружениями</w:t>
      </w:r>
    </w:p>
    <w:p>
      <w:pPr>
        <w:pStyle w:val="0"/>
        <w:spacing w:before="200" w:line-rule="auto"/>
        <w:ind w:firstLine="540"/>
        <w:jc w:val="both"/>
      </w:pPr>
      <w:r>
        <w:rPr>
          <w:sz w:val="20"/>
        </w:rPr>
        <w:t xml:space="preserve">А.3.1 Определение безопасных противопожарных расстояний в настоящей методике осуществляется на основе расчетной оценки величины падающего теплового потока от пламени пожара в здании, сооружении на горючие материалы наружных конструкций соседнего объекта. Полученное значение теплового потока сравнивается с критическими значениями потока, для воспламенения указанных материалов. Для определения падающего теплового потока по п. </w:t>
      </w:r>
      <w:hyperlink w:history="0" w:anchor="P4541" w:tooltip="А.3.4 Значение падающего теплового потока от пламени пожара на облучаемый материал qпад (кВт/м2) определяется по формуле:">
        <w:r>
          <w:rPr>
            <w:sz w:val="20"/>
            <w:color w:val="0000ff"/>
          </w:rPr>
          <w:t xml:space="preserve">А.3.4</w:t>
        </w:r>
      </w:hyperlink>
      <w:r>
        <w:rPr>
          <w:sz w:val="20"/>
        </w:rPr>
        <w:t xml:space="preserve"> также допускается применение полевого моделирования с использованием программных продуктов, позволяющих осуществлять расчеты опасных факторов пожара в открытом пространстве. В качестве расчетных сценариев пожара должны приниматься сценарии с возникновением возгорания в пределах помещения, группы помещений или наружных поверхностей стен и кровли в соответствии с </w:t>
      </w:r>
      <w:hyperlink w:history="0" w:anchor="P4472" w:tooltip="А.3.2 Поверхность пламени аппроксимируется прямоугольником, плоскость которого проходит через поверхность оконных проемов помещения пожара, либо горящих наружных стен.">
        <w:r>
          <w:rPr>
            <w:sz w:val="20"/>
            <w:color w:val="0000ff"/>
          </w:rPr>
          <w:t xml:space="preserve">п. А.3.2</w:t>
        </w:r>
      </w:hyperlink>
      <w:r>
        <w:rPr>
          <w:sz w:val="20"/>
        </w:rPr>
        <w:t xml:space="preserve">. Моделирование следует вести до момента, когда площадь принятых согласно сценарию излучающих поверхностей станет максимальной.</w:t>
      </w:r>
    </w:p>
    <w:p>
      <w:pPr>
        <w:pStyle w:val="0"/>
        <w:jc w:val="both"/>
      </w:pPr>
      <w:r>
        <w:rPr>
          <w:sz w:val="20"/>
        </w:rPr>
        <w:t xml:space="preserve">(в ред. </w:t>
      </w:r>
      <w:hyperlink w:history="0" r:id="rId440"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p>
      <w:pPr>
        <w:pStyle w:val="0"/>
        <w:spacing w:before="200" w:line-rule="auto"/>
        <w:ind w:firstLine="540"/>
        <w:jc w:val="both"/>
      </w:pPr>
      <w:r>
        <w:rPr>
          <w:sz w:val="20"/>
        </w:rPr>
        <w:t xml:space="preserve">Для расчетов должны рассматриваться наихудшие сценарии пожара с точки зрения максимального размера факела и минимального расстояния от пламени до горючих наружных конструкций соседнего объекта (включая горючие материалы, находящиеся за остеклением оконных проемов помещений).</w:t>
      </w:r>
    </w:p>
    <w:bookmarkStart w:id="4472" w:name="P4472"/>
    <w:bookmarkEnd w:id="4472"/>
    <w:p>
      <w:pPr>
        <w:pStyle w:val="0"/>
        <w:spacing w:before="200" w:line-rule="auto"/>
        <w:ind w:firstLine="540"/>
        <w:jc w:val="both"/>
      </w:pPr>
      <w:r>
        <w:rPr>
          <w:sz w:val="20"/>
        </w:rPr>
        <w:t xml:space="preserve">А.3.2 Поверхность пламени аппроксимируется прямоугольником, плоскость которого проходит через поверхность оконных проемов помещения пожара, либо горящих наружных стен.</w:t>
      </w:r>
    </w:p>
    <w:p>
      <w:pPr>
        <w:pStyle w:val="0"/>
        <w:spacing w:before="200" w:line-rule="auto"/>
        <w:ind w:firstLine="540"/>
        <w:jc w:val="both"/>
      </w:pPr>
      <w:r>
        <w:rPr>
          <w:sz w:val="20"/>
        </w:rPr>
        <w:t xml:space="preserve">Для зданий, сооружений I - IV степеней огнестойкости, класса конструктивной пожарной опасности С0 и С1 возможность воздействия теплового излучения от пожара на соседний объект принимается через проемы в наружных стенах, а при наличии наружной отделки, облицовки стен из материалов группы горючести Г2 - Г4 - с учетом горения поверхности наружных стен. В качестве расчетных должны рассматриваться пожары в помещениях с максимальной суммарной площадью оконных проемов, обращенных к соседнему объекту. Принимается, что пожар охватывает все помещения на этаже. Если части этажа или помещения выделены противопожарными стенами или перегородками (например, межсекционными или межквартирными), допускается принимать, что пожар развивается только в пределах указанных преград. Допускается не рассматривать сценарии пожара в коридорах, лифтовых холлах, тамбурах, лестничных клетках, выделенных противопожарными преградами в соответствии с требованиями нормативных документов, а также при отсутствии в них горючей нагрузки.</w:t>
      </w:r>
    </w:p>
    <w:p>
      <w:pPr>
        <w:pStyle w:val="0"/>
        <w:spacing w:before="200" w:line-rule="auto"/>
        <w:ind w:firstLine="540"/>
        <w:jc w:val="both"/>
      </w:pPr>
      <w:r>
        <w:rPr>
          <w:sz w:val="20"/>
        </w:rPr>
        <w:t xml:space="preserve">Длина поверхности пламени для зданий, сооружений I - IV степеней огнестойкости, класса конструктивной пожарной опасности С0 и С1 принимается равной сумме горизонтальных размеров окон в помещениях пожара (без учета простенков между окнами), а высота пламени - равной удвоенной высоте оконных проемов. При наличии наружной отделки, облицовки стен из материалов группы горючести Г2 - Г4, а также для стен с оконными проемами без междуэтажных поясов или с поясами шириной менее 1,2 м, указанная высота пламени принимается до верха покрытия здания, но не более 10 м.</w:t>
      </w:r>
    </w:p>
    <w:p>
      <w:pPr>
        <w:pStyle w:val="0"/>
        <w:spacing w:before="200" w:line-rule="auto"/>
        <w:ind w:firstLine="540"/>
        <w:jc w:val="both"/>
      </w:pPr>
      <w:r>
        <w:rPr>
          <w:sz w:val="20"/>
        </w:rPr>
        <w:t xml:space="preserve">Для зданий и сооружений IV степени огнестойкости класса С2 - С3 и V степени огнестойкости в качестве расчетного сценария пожара, независимо от фактической горючести материалов, должен приниматься охват пламенем всех наружных сторон и кровли. Длина пламени принимается равной длине стены здания обращенной к соседнему объекту, а высота - высоте здания до верха покрытия или конька крыши, но не более 10 м.</w:t>
      </w:r>
    </w:p>
    <w:p>
      <w:pPr>
        <w:pStyle w:val="0"/>
        <w:spacing w:before="200" w:line-rule="auto"/>
        <w:ind w:firstLine="540"/>
        <w:jc w:val="both"/>
      </w:pPr>
      <w:r>
        <w:rPr>
          <w:sz w:val="20"/>
        </w:rPr>
        <w:t xml:space="preserve">А.3.3 Для каждого горючего материала поверхности наружных конструкций соседнего здания, сооружения (стен, фасадных систем, материала заполнения проемов, наружной отделки и облицовки, кровельного покрытия и т.п.), которые могут подвергнуться тепловому воздействию от расчетного пожара, определяется критическая плотность теплового потока q</w:t>
      </w:r>
      <w:r>
        <w:rPr>
          <w:sz w:val="20"/>
          <w:vertAlign w:val="subscript"/>
        </w:rPr>
        <w:t xml:space="preserve">крит</w:t>
      </w:r>
      <w:r>
        <w:rPr>
          <w:sz w:val="20"/>
        </w:rPr>
        <w:t xml:space="preserve">, при которой возможно его воспламенение. При комбинации материалов с различными значениями q</w:t>
      </w:r>
      <w:r>
        <w:rPr>
          <w:sz w:val="20"/>
          <w:vertAlign w:val="subscript"/>
        </w:rPr>
        <w:t xml:space="preserve">крит</w:t>
      </w:r>
      <w:r>
        <w:rPr>
          <w:sz w:val="20"/>
        </w:rPr>
        <w:t xml:space="preserve"> расчет ведется по материалу с наименьшим значением.</w:t>
      </w:r>
    </w:p>
    <w:p>
      <w:pPr>
        <w:pStyle w:val="0"/>
        <w:spacing w:before="200" w:line-rule="auto"/>
        <w:ind w:firstLine="540"/>
        <w:jc w:val="both"/>
      </w:pPr>
      <w:r>
        <w:rPr>
          <w:sz w:val="20"/>
        </w:rPr>
        <w:t xml:space="preserve">Величины критических потоков для воспламенения некоторых горючих материалов приведены в </w:t>
      </w:r>
      <w:hyperlink w:history="0" w:anchor="P4480" w:tooltip="Таблица А.1">
        <w:r>
          <w:rPr>
            <w:sz w:val="20"/>
            <w:color w:val="0000ff"/>
          </w:rPr>
          <w:t xml:space="preserve">таблице А.1</w:t>
        </w:r>
      </w:hyperlink>
      <w:r>
        <w:rPr>
          <w:sz w:val="20"/>
        </w:rPr>
        <w:t xml:space="preserve">. Допускается также использование справочных данных, результатов испытаний или экспериментальных исследований, опубликованных в научно-технической литературе по пожарной безопасности. При отсутствии данных, для горючего материала допускается принимать q</w:t>
      </w:r>
      <w:r>
        <w:rPr>
          <w:sz w:val="20"/>
          <w:vertAlign w:val="subscript"/>
        </w:rPr>
        <w:t xml:space="preserve">крит</w:t>
      </w:r>
      <w:r>
        <w:rPr>
          <w:sz w:val="20"/>
        </w:rPr>
        <w:t xml:space="preserve"> = 8 кВт/м</w:t>
      </w:r>
      <w:r>
        <w:rPr>
          <w:sz w:val="20"/>
          <w:vertAlign w:val="superscript"/>
        </w:rPr>
        <w:t xml:space="preserve">2</w:t>
      </w:r>
      <w:r>
        <w:rPr>
          <w:sz w:val="20"/>
        </w:rPr>
        <w:t xml:space="preserve">.</w:t>
      </w:r>
    </w:p>
    <w:p>
      <w:pPr>
        <w:pStyle w:val="0"/>
        <w:spacing w:before="200" w:line-rule="auto"/>
        <w:ind w:firstLine="540"/>
        <w:jc w:val="both"/>
      </w:pPr>
      <w:r>
        <w:rPr>
          <w:sz w:val="20"/>
        </w:rPr>
        <w:t xml:space="preserve">Воздействие теплового излучения на горючие материалы, находящиеся за остекленными оконными проемами, при расчете допускается учитывать как воздействие на проем, заполненный материалом с q</w:t>
      </w:r>
      <w:r>
        <w:rPr>
          <w:sz w:val="20"/>
          <w:vertAlign w:val="subscript"/>
        </w:rPr>
        <w:t xml:space="preserve">крит</w:t>
      </w:r>
      <w:r>
        <w:rPr>
          <w:sz w:val="20"/>
        </w:rPr>
        <w:t xml:space="preserve"> = 15 кВт/м</w:t>
      </w:r>
      <w:r>
        <w:rPr>
          <w:sz w:val="20"/>
          <w:vertAlign w:val="superscript"/>
        </w:rPr>
        <w:t xml:space="preserve">2</w:t>
      </w:r>
      <w:r>
        <w:rPr>
          <w:sz w:val="20"/>
        </w:rPr>
        <w:t xml:space="preserve">.</w:t>
      </w:r>
    </w:p>
    <w:p>
      <w:pPr>
        <w:pStyle w:val="0"/>
        <w:jc w:val="both"/>
      </w:pPr>
      <w:r>
        <w:rPr>
          <w:sz w:val="20"/>
        </w:rPr>
      </w:r>
    </w:p>
    <w:bookmarkStart w:id="4480" w:name="P4480"/>
    <w:bookmarkEnd w:id="4480"/>
    <w:p>
      <w:pPr>
        <w:pStyle w:val="0"/>
        <w:ind w:firstLine="540"/>
        <w:jc w:val="both"/>
      </w:pPr>
      <w:r>
        <w:rPr>
          <w:sz w:val="20"/>
        </w:rPr>
        <w:t xml:space="preserve">Таблица А.1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40"/>
        <w:gridCol w:w="1531"/>
      </w:tblGrid>
      <w:tr>
        <w:tc>
          <w:tcPr>
            <w:tcW w:w="7540" w:type="dxa"/>
          </w:tcPr>
          <w:p>
            <w:pPr>
              <w:pStyle w:val="0"/>
              <w:jc w:val="center"/>
            </w:pPr>
            <w:r>
              <w:rPr>
                <w:sz w:val="20"/>
              </w:rPr>
              <w:t xml:space="preserve">Материалы</w:t>
            </w:r>
          </w:p>
        </w:tc>
        <w:tc>
          <w:tcPr>
            <w:tcW w:w="1531" w:type="dxa"/>
          </w:tcPr>
          <w:p>
            <w:pPr>
              <w:pStyle w:val="0"/>
              <w:jc w:val="center"/>
            </w:pPr>
            <w:r>
              <w:rPr>
                <w:sz w:val="20"/>
              </w:rPr>
              <w:t xml:space="preserve">q</w:t>
            </w:r>
            <w:r>
              <w:rPr>
                <w:sz w:val="20"/>
                <w:vertAlign w:val="subscript"/>
              </w:rPr>
              <w:t xml:space="preserve">крит</w:t>
            </w:r>
            <w:r>
              <w:rPr>
                <w:sz w:val="20"/>
              </w:rPr>
              <w:t xml:space="preserve">, кВт/м</w:t>
            </w:r>
            <w:r>
              <w:rPr>
                <w:sz w:val="20"/>
                <w:vertAlign w:val="superscript"/>
              </w:rPr>
              <w:t xml:space="preserve">2</w:t>
            </w:r>
          </w:p>
        </w:tc>
      </w:tr>
      <w:tr>
        <w:tc>
          <w:tcPr>
            <w:tcW w:w="7540" w:type="dxa"/>
          </w:tcPr>
          <w:p>
            <w:pPr>
              <w:pStyle w:val="0"/>
            </w:pPr>
            <w:r>
              <w:rPr>
                <w:sz w:val="20"/>
              </w:rPr>
              <w:t xml:space="preserve">Древесина (сосна влажностью 12%)</w:t>
            </w:r>
          </w:p>
        </w:tc>
        <w:tc>
          <w:tcPr>
            <w:tcW w:w="1531" w:type="dxa"/>
          </w:tcPr>
          <w:p>
            <w:pPr>
              <w:pStyle w:val="0"/>
              <w:jc w:val="center"/>
            </w:pPr>
            <w:r>
              <w:rPr>
                <w:sz w:val="20"/>
              </w:rPr>
              <w:t xml:space="preserve">13,9</w:t>
            </w:r>
          </w:p>
        </w:tc>
      </w:tr>
      <w:tr>
        <w:tc>
          <w:tcPr>
            <w:tcW w:w="7540" w:type="dxa"/>
          </w:tcPr>
          <w:p>
            <w:pPr>
              <w:pStyle w:val="0"/>
            </w:pPr>
            <w:r>
              <w:rPr>
                <w:sz w:val="20"/>
              </w:rPr>
              <w:t xml:space="preserve">Древесно-стружечные плиты (плотностью 417 кг/м</w:t>
            </w:r>
            <w:r>
              <w:rPr>
                <w:sz w:val="20"/>
                <w:vertAlign w:val="superscript"/>
              </w:rPr>
              <w:t xml:space="preserve">3</w:t>
            </w:r>
            <w:r>
              <w:rPr>
                <w:sz w:val="20"/>
              </w:rPr>
              <w:t xml:space="preserve">)</w:t>
            </w:r>
          </w:p>
        </w:tc>
        <w:tc>
          <w:tcPr>
            <w:tcW w:w="1531" w:type="dxa"/>
          </w:tcPr>
          <w:p>
            <w:pPr>
              <w:pStyle w:val="0"/>
              <w:jc w:val="center"/>
            </w:pPr>
            <w:r>
              <w:rPr>
                <w:sz w:val="20"/>
              </w:rPr>
              <w:t xml:space="preserve">8,3</w:t>
            </w:r>
          </w:p>
        </w:tc>
      </w:tr>
      <w:tr>
        <w:tc>
          <w:tcPr>
            <w:tcW w:w="7540" w:type="dxa"/>
          </w:tcPr>
          <w:p>
            <w:pPr>
              <w:pStyle w:val="0"/>
            </w:pPr>
            <w:r>
              <w:rPr>
                <w:sz w:val="20"/>
              </w:rPr>
              <w:t xml:space="preserve">Плита древесно-волокнистая</w:t>
            </w:r>
          </w:p>
        </w:tc>
        <w:tc>
          <w:tcPr>
            <w:tcW w:w="1531" w:type="dxa"/>
          </w:tcPr>
          <w:p>
            <w:pPr>
              <w:pStyle w:val="0"/>
              <w:jc w:val="center"/>
            </w:pPr>
            <w:r>
              <w:rPr>
                <w:sz w:val="20"/>
              </w:rPr>
              <w:t xml:space="preserve">13,0</w:t>
            </w:r>
          </w:p>
        </w:tc>
      </w:tr>
      <w:tr>
        <w:tc>
          <w:tcPr>
            <w:tcW w:w="7540" w:type="dxa"/>
          </w:tcPr>
          <w:p>
            <w:pPr>
              <w:pStyle w:val="0"/>
            </w:pPr>
            <w:r>
              <w:rPr>
                <w:sz w:val="20"/>
              </w:rPr>
              <w:t xml:space="preserve">Плита древесно-стружечная</w:t>
            </w:r>
          </w:p>
        </w:tc>
        <w:tc>
          <w:tcPr>
            <w:tcW w:w="1531" w:type="dxa"/>
          </w:tcPr>
          <w:p>
            <w:pPr>
              <w:pStyle w:val="0"/>
              <w:jc w:val="center"/>
            </w:pPr>
            <w:r>
              <w:rPr>
                <w:sz w:val="20"/>
              </w:rPr>
              <w:t xml:space="preserve">12,0</w:t>
            </w:r>
          </w:p>
        </w:tc>
      </w:tr>
      <w:tr>
        <w:tc>
          <w:tcPr>
            <w:tcW w:w="7540" w:type="dxa"/>
          </w:tcPr>
          <w:p>
            <w:pPr>
              <w:pStyle w:val="0"/>
            </w:pPr>
            <w:r>
              <w:rPr>
                <w:sz w:val="20"/>
              </w:rPr>
              <w:t xml:space="preserve">Картон серый</w:t>
            </w:r>
          </w:p>
        </w:tc>
        <w:tc>
          <w:tcPr>
            <w:tcW w:w="1531" w:type="dxa"/>
          </w:tcPr>
          <w:p>
            <w:pPr>
              <w:pStyle w:val="0"/>
              <w:jc w:val="center"/>
            </w:pPr>
            <w:r>
              <w:rPr>
                <w:sz w:val="20"/>
              </w:rPr>
              <w:t xml:space="preserve">10,8</w:t>
            </w:r>
          </w:p>
        </w:tc>
      </w:tr>
      <w:tr>
        <w:tc>
          <w:tcPr>
            <w:tcW w:w="7540" w:type="dxa"/>
          </w:tcPr>
          <w:p>
            <w:pPr>
              <w:pStyle w:val="0"/>
            </w:pPr>
            <w:r>
              <w:rPr>
                <w:sz w:val="20"/>
              </w:rPr>
              <w:t xml:space="preserve">Декоративный бумажно-слоистый пластик</w:t>
            </w:r>
          </w:p>
        </w:tc>
        <w:tc>
          <w:tcPr>
            <w:tcW w:w="1531" w:type="dxa"/>
          </w:tcPr>
          <w:p>
            <w:pPr>
              <w:pStyle w:val="0"/>
              <w:jc w:val="center"/>
            </w:pPr>
            <w:r>
              <w:rPr>
                <w:sz w:val="20"/>
              </w:rPr>
              <w:t xml:space="preserve">19,0 - 24,0</w:t>
            </w:r>
          </w:p>
        </w:tc>
      </w:tr>
      <w:tr>
        <w:tc>
          <w:tcPr>
            <w:tcW w:w="7540" w:type="dxa"/>
          </w:tcPr>
          <w:p>
            <w:pPr>
              <w:pStyle w:val="0"/>
            </w:pPr>
            <w:r>
              <w:rPr>
                <w:sz w:val="20"/>
              </w:rPr>
              <w:t xml:space="preserve">Полистирол</w:t>
            </w:r>
          </w:p>
        </w:tc>
        <w:tc>
          <w:tcPr>
            <w:tcW w:w="1531" w:type="dxa"/>
          </w:tcPr>
          <w:p>
            <w:pPr>
              <w:pStyle w:val="0"/>
              <w:jc w:val="center"/>
            </w:pPr>
            <w:r>
              <w:rPr>
                <w:sz w:val="20"/>
              </w:rPr>
              <w:t xml:space="preserve">15,0</w:t>
            </w:r>
          </w:p>
        </w:tc>
      </w:tr>
      <w:tr>
        <w:tc>
          <w:tcPr>
            <w:tcW w:w="7540" w:type="dxa"/>
          </w:tcPr>
          <w:p>
            <w:pPr>
              <w:pStyle w:val="0"/>
            </w:pPr>
            <w:r>
              <w:rPr>
                <w:sz w:val="20"/>
              </w:rPr>
              <w:t xml:space="preserve">Полипропилен</w:t>
            </w:r>
          </w:p>
        </w:tc>
        <w:tc>
          <w:tcPr>
            <w:tcW w:w="1531" w:type="dxa"/>
          </w:tcPr>
          <w:p>
            <w:pPr>
              <w:pStyle w:val="0"/>
              <w:jc w:val="center"/>
            </w:pPr>
            <w:r>
              <w:rPr>
                <w:sz w:val="20"/>
              </w:rPr>
              <w:t xml:space="preserve">13,0</w:t>
            </w:r>
          </w:p>
        </w:tc>
      </w:tr>
      <w:tr>
        <w:tc>
          <w:tcPr>
            <w:tcW w:w="7540" w:type="dxa"/>
          </w:tcPr>
          <w:p>
            <w:pPr>
              <w:pStyle w:val="0"/>
            </w:pPr>
            <w:r>
              <w:rPr>
                <w:sz w:val="20"/>
              </w:rPr>
              <w:t xml:space="preserve">Нейлон</w:t>
            </w:r>
          </w:p>
        </w:tc>
        <w:tc>
          <w:tcPr>
            <w:tcW w:w="1531" w:type="dxa"/>
          </w:tcPr>
          <w:p>
            <w:pPr>
              <w:pStyle w:val="0"/>
              <w:jc w:val="center"/>
            </w:pPr>
            <w:r>
              <w:rPr>
                <w:sz w:val="20"/>
              </w:rPr>
              <w:t xml:space="preserve">10,0</w:t>
            </w:r>
          </w:p>
        </w:tc>
      </w:tr>
      <w:tr>
        <w:tc>
          <w:tcPr>
            <w:tcW w:w="7540" w:type="dxa"/>
          </w:tcPr>
          <w:p>
            <w:pPr>
              <w:pStyle w:val="0"/>
            </w:pPr>
            <w:r>
              <w:rPr>
                <w:sz w:val="20"/>
              </w:rPr>
              <w:t xml:space="preserve">Полиэтилен</w:t>
            </w:r>
          </w:p>
        </w:tc>
        <w:tc>
          <w:tcPr>
            <w:tcW w:w="1531" w:type="dxa"/>
          </w:tcPr>
          <w:p>
            <w:pPr>
              <w:pStyle w:val="0"/>
              <w:jc w:val="center"/>
            </w:pPr>
            <w:r>
              <w:rPr>
                <w:sz w:val="20"/>
              </w:rPr>
              <w:t xml:space="preserve">15,0</w:t>
            </w:r>
          </w:p>
        </w:tc>
      </w:tr>
      <w:tr>
        <w:tc>
          <w:tcPr>
            <w:tcW w:w="7540" w:type="dxa"/>
          </w:tcPr>
          <w:p>
            <w:pPr>
              <w:pStyle w:val="0"/>
            </w:pPr>
            <w:r>
              <w:rPr>
                <w:sz w:val="20"/>
              </w:rPr>
              <w:t xml:space="preserve">Поликарбонат</w:t>
            </w:r>
          </w:p>
        </w:tc>
        <w:tc>
          <w:tcPr>
            <w:tcW w:w="1531" w:type="dxa"/>
          </w:tcPr>
          <w:p>
            <w:pPr>
              <w:pStyle w:val="0"/>
              <w:jc w:val="center"/>
            </w:pPr>
            <w:r>
              <w:rPr>
                <w:sz w:val="20"/>
              </w:rPr>
              <w:t xml:space="preserve">15,0</w:t>
            </w:r>
          </w:p>
        </w:tc>
      </w:tr>
      <w:tr>
        <w:tc>
          <w:tcPr>
            <w:tcW w:w="7540" w:type="dxa"/>
          </w:tcPr>
          <w:p>
            <w:pPr>
              <w:pStyle w:val="0"/>
            </w:pPr>
            <w:r>
              <w:rPr>
                <w:sz w:val="20"/>
              </w:rPr>
              <w:t xml:space="preserve">ПВХ-панели</w:t>
            </w:r>
          </w:p>
        </w:tc>
        <w:tc>
          <w:tcPr>
            <w:tcW w:w="1531" w:type="dxa"/>
          </w:tcPr>
          <w:p>
            <w:pPr>
              <w:pStyle w:val="0"/>
              <w:jc w:val="center"/>
            </w:pPr>
            <w:r>
              <w:rPr>
                <w:sz w:val="20"/>
              </w:rPr>
              <w:t xml:space="preserve">17,0</w:t>
            </w:r>
          </w:p>
        </w:tc>
      </w:tr>
      <w:tr>
        <w:tc>
          <w:tcPr>
            <w:tcW w:w="7540" w:type="dxa"/>
          </w:tcPr>
          <w:p>
            <w:pPr>
              <w:pStyle w:val="0"/>
            </w:pPr>
            <w:r>
              <w:rPr>
                <w:sz w:val="20"/>
              </w:rPr>
              <w:t xml:space="preserve">ПВХ листовой</w:t>
            </w:r>
          </w:p>
        </w:tc>
        <w:tc>
          <w:tcPr>
            <w:tcW w:w="1531" w:type="dxa"/>
          </w:tcPr>
          <w:p>
            <w:pPr>
              <w:pStyle w:val="0"/>
              <w:jc w:val="center"/>
            </w:pPr>
            <w:r>
              <w:rPr>
                <w:sz w:val="20"/>
              </w:rPr>
              <w:t xml:space="preserve">15,0</w:t>
            </w:r>
          </w:p>
        </w:tc>
      </w:tr>
      <w:tr>
        <w:tc>
          <w:tcPr>
            <w:tcW w:w="7540" w:type="dxa"/>
          </w:tcPr>
          <w:p>
            <w:pPr>
              <w:pStyle w:val="0"/>
            </w:pPr>
            <w:r>
              <w:rPr>
                <w:sz w:val="20"/>
              </w:rPr>
              <w:t xml:space="preserve">Пенополиуретан (панели)</w:t>
            </w:r>
          </w:p>
        </w:tc>
        <w:tc>
          <w:tcPr>
            <w:tcW w:w="1531" w:type="dxa"/>
          </w:tcPr>
          <w:p>
            <w:pPr>
              <w:pStyle w:val="0"/>
              <w:jc w:val="center"/>
            </w:pPr>
            <w:r>
              <w:rPr>
                <w:sz w:val="20"/>
              </w:rPr>
              <w:t xml:space="preserve">13,0</w:t>
            </w:r>
          </w:p>
        </w:tc>
      </w:tr>
      <w:tr>
        <w:tc>
          <w:tcPr>
            <w:tcW w:w="7540" w:type="dxa"/>
          </w:tcPr>
          <w:p>
            <w:pPr>
              <w:pStyle w:val="0"/>
            </w:pPr>
            <w:r>
              <w:rPr>
                <w:sz w:val="20"/>
              </w:rPr>
              <w:t xml:space="preserve">Пенополистирол (панели)</w:t>
            </w:r>
          </w:p>
        </w:tc>
        <w:tc>
          <w:tcPr>
            <w:tcW w:w="1531" w:type="dxa"/>
          </w:tcPr>
          <w:p>
            <w:pPr>
              <w:pStyle w:val="0"/>
              <w:jc w:val="center"/>
            </w:pPr>
            <w:r>
              <w:rPr>
                <w:sz w:val="20"/>
              </w:rPr>
              <w:t xml:space="preserve">10,0</w:t>
            </w:r>
          </w:p>
        </w:tc>
      </w:tr>
      <w:tr>
        <w:tc>
          <w:tcPr>
            <w:tcW w:w="7540" w:type="dxa"/>
          </w:tcPr>
          <w:p>
            <w:pPr>
              <w:pStyle w:val="0"/>
            </w:pPr>
            <w:r>
              <w:rPr>
                <w:sz w:val="20"/>
              </w:rPr>
              <w:t xml:space="preserve">Полиэстер</w:t>
            </w:r>
          </w:p>
        </w:tc>
        <w:tc>
          <w:tcPr>
            <w:tcW w:w="1531" w:type="dxa"/>
          </w:tcPr>
          <w:p>
            <w:pPr>
              <w:pStyle w:val="0"/>
              <w:jc w:val="center"/>
            </w:pPr>
            <w:r>
              <w:rPr>
                <w:sz w:val="20"/>
              </w:rPr>
              <w:t xml:space="preserve">8,0</w:t>
            </w:r>
          </w:p>
        </w:tc>
      </w:tr>
      <w:tr>
        <w:tc>
          <w:tcPr>
            <w:tcW w:w="7540" w:type="dxa"/>
          </w:tcPr>
          <w:p>
            <w:pPr>
              <w:pStyle w:val="0"/>
            </w:pPr>
            <w:r>
              <w:rPr>
                <w:sz w:val="20"/>
              </w:rPr>
              <w:t xml:space="preserve">Вискоза</w:t>
            </w:r>
          </w:p>
        </w:tc>
        <w:tc>
          <w:tcPr>
            <w:tcW w:w="1531" w:type="dxa"/>
          </w:tcPr>
          <w:p>
            <w:pPr>
              <w:pStyle w:val="0"/>
              <w:jc w:val="center"/>
            </w:pPr>
            <w:r>
              <w:rPr>
                <w:sz w:val="20"/>
              </w:rPr>
              <w:t xml:space="preserve">14,0 - 17,0</w:t>
            </w:r>
          </w:p>
        </w:tc>
      </w:tr>
      <w:tr>
        <w:tc>
          <w:tcPr>
            <w:tcW w:w="7540" w:type="dxa"/>
          </w:tcPr>
          <w:p>
            <w:pPr>
              <w:pStyle w:val="0"/>
            </w:pPr>
            <w:r>
              <w:rPr>
                <w:sz w:val="20"/>
              </w:rPr>
              <w:t xml:space="preserve">Стеклопластик</w:t>
            </w:r>
          </w:p>
        </w:tc>
        <w:tc>
          <w:tcPr>
            <w:tcW w:w="1531" w:type="dxa"/>
          </w:tcPr>
          <w:p>
            <w:pPr>
              <w:pStyle w:val="0"/>
              <w:jc w:val="center"/>
            </w:pPr>
            <w:r>
              <w:rPr>
                <w:sz w:val="20"/>
              </w:rPr>
              <w:t xml:space="preserve">15,3</w:t>
            </w:r>
          </w:p>
        </w:tc>
      </w:tr>
      <w:tr>
        <w:tc>
          <w:tcPr>
            <w:tcW w:w="7540" w:type="dxa"/>
          </w:tcPr>
          <w:p>
            <w:pPr>
              <w:pStyle w:val="0"/>
            </w:pPr>
            <w:r>
              <w:rPr>
                <w:sz w:val="20"/>
              </w:rPr>
              <w:t xml:space="preserve">Стеклопластик на полиэфирной основе</w:t>
            </w:r>
          </w:p>
        </w:tc>
        <w:tc>
          <w:tcPr>
            <w:tcW w:w="1531" w:type="dxa"/>
          </w:tcPr>
          <w:p>
            <w:pPr>
              <w:pStyle w:val="0"/>
              <w:jc w:val="center"/>
            </w:pPr>
            <w:r>
              <w:rPr>
                <w:sz w:val="20"/>
              </w:rPr>
              <w:t xml:space="preserve">14,0</w:t>
            </w:r>
          </w:p>
        </w:tc>
      </w:tr>
      <w:tr>
        <w:tc>
          <w:tcPr>
            <w:tcW w:w="7540" w:type="dxa"/>
          </w:tcPr>
          <w:p>
            <w:pPr>
              <w:pStyle w:val="0"/>
            </w:pPr>
            <w:r>
              <w:rPr>
                <w:sz w:val="20"/>
              </w:rPr>
              <w:t xml:space="preserve">Пергамин</w:t>
            </w:r>
          </w:p>
        </w:tc>
        <w:tc>
          <w:tcPr>
            <w:tcW w:w="1531" w:type="dxa"/>
          </w:tcPr>
          <w:p>
            <w:pPr>
              <w:pStyle w:val="0"/>
              <w:jc w:val="center"/>
            </w:pPr>
            <w:r>
              <w:rPr>
                <w:sz w:val="20"/>
              </w:rPr>
              <w:t xml:space="preserve">17,4</w:t>
            </w:r>
          </w:p>
        </w:tc>
      </w:tr>
      <w:tr>
        <w:tc>
          <w:tcPr>
            <w:tcW w:w="7540" w:type="dxa"/>
          </w:tcPr>
          <w:p>
            <w:pPr>
              <w:pStyle w:val="0"/>
            </w:pPr>
            <w:r>
              <w:rPr>
                <w:sz w:val="20"/>
              </w:rPr>
              <w:t xml:space="preserve">Рулонная кровля (битумная)</w:t>
            </w:r>
          </w:p>
        </w:tc>
        <w:tc>
          <w:tcPr>
            <w:tcW w:w="1531" w:type="dxa"/>
          </w:tcPr>
          <w:p>
            <w:pPr>
              <w:pStyle w:val="0"/>
              <w:jc w:val="center"/>
            </w:pPr>
            <w:r>
              <w:rPr>
                <w:sz w:val="20"/>
              </w:rPr>
              <w:t xml:space="preserve">17,4</w:t>
            </w:r>
          </w:p>
        </w:tc>
      </w:tr>
      <w:tr>
        <w:tc>
          <w:tcPr>
            <w:tcW w:w="7540" w:type="dxa"/>
          </w:tcPr>
          <w:p>
            <w:pPr>
              <w:pStyle w:val="0"/>
            </w:pPr>
            <w:r>
              <w:rPr>
                <w:sz w:val="20"/>
              </w:rPr>
              <w:t xml:space="preserve">Резина</w:t>
            </w:r>
          </w:p>
        </w:tc>
        <w:tc>
          <w:tcPr>
            <w:tcW w:w="1531" w:type="dxa"/>
          </w:tcPr>
          <w:p>
            <w:pPr>
              <w:pStyle w:val="0"/>
              <w:jc w:val="center"/>
            </w:pPr>
            <w:r>
              <w:rPr>
                <w:sz w:val="20"/>
              </w:rPr>
              <w:t xml:space="preserve">14,8</w:t>
            </w:r>
          </w:p>
        </w:tc>
      </w:tr>
      <w:tr>
        <w:tc>
          <w:tcPr>
            <w:tcW w:w="7540" w:type="dxa"/>
          </w:tcPr>
          <w:p>
            <w:pPr>
              <w:pStyle w:val="0"/>
            </w:pPr>
            <w:r>
              <w:rPr>
                <w:sz w:val="20"/>
              </w:rPr>
              <w:t xml:space="preserve">Металлопласт</w:t>
            </w:r>
          </w:p>
        </w:tc>
        <w:tc>
          <w:tcPr>
            <w:tcW w:w="1531" w:type="dxa"/>
          </w:tcPr>
          <w:p>
            <w:pPr>
              <w:pStyle w:val="0"/>
              <w:jc w:val="center"/>
            </w:pPr>
            <w:r>
              <w:rPr>
                <w:sz w:val="20"/>
              </w:rPr>
              <w:t xml:space="preserve">24,0 - 27,0</w:t>
            </w:r>
          </w:p>
        </w:tc>
      </w:tr>
      <w:tr>
        <w:tc>
          <w:tcPr>
            <w:tcW w:w="7540" w:type="dxa"/>
          </w:tcPr>
          <w:p>
            <w:pPr>
              <w:pStyle w:val="0"/>
            </w:pPr>
            <w:r>
              <w:rPr>
                <w:sz w:val="20"/>
              </w:rPr>
              <w:t xml:space="preserve">Лакокрасочные покрытия</w:t>
            </w:r>
          </w:p>
        </w:tc>
        <w:tc>
          <w:tcPr>
            <w:tcW w:w="1531" w:type="dxa"/>
          </w:tcPr>
          <w:p>
            <w:pPr>
              <w:pStyle w:val="0"/>
              <w:jc w:val="center"/>
            </w:pPr>
            <w:r>
              <w:rPr>
                <w:sz w:val="20"/>
              </w:rPr>
              <w:t xml:space="preserve">25,0</w:t>
            </w:r>
          </w:p>
        </w:tc>
      </w:tr>
      <w:tr>
        <w:tc>
          <w:tcPr>
            <w:tcW w:w="7540" w:type="dxa"/>
          </w:tcPr>
          <w:p>
            <w:pPr>
              <w:pStyle w:val="0"/>
            </w:pPr>
            <w:r>
              <w:rPr>
                <w:sz w:val="20"/>
              </w:rPr>
              <w:t xml:space="preserve">Сено, солома (при минимальной влажности до 8%)</w:t>
            </w:r>
          </w:p>
        </w:tc>
        <w:tc>
          <w:tcPr>
            <w:tcW w:w="1531" w:type="dxa"/>
          </w:tcPr>
          <w:p>
            <w:pPr>
              <w:pStyle w:val="0"/>
              <w:jc w:val="center"/>
            </w:pPr>
            <w:r>
              <w:rPr>
                <w:sz w:val="20"/>
              </w:rPr>
              <w:t xml:space="preserve">7,0</w:t>
            </w:r>
          </w:p>
        </w:tc>
      </w:tr>
    </w:tbl>
    <w:p>
      <w:pPr>
        <w:pStyle w:val="0"/>
        <w:jc w:val="both"/>
      </w:pPr>
      <w:r>
        <w:rPr>
          <w:sz w:val="20"/>
        </w:rPr>
      </w:r>
    </w:p>
    <w:p>
      <w:pPr>
        <w:pStyle w:val="0"/>
        <w:ind w:firstLine="540"/>
        <w:jc w:val="both"/>
      </w:pPr>
      <w:r>
        <w:rPr>
          <w:sz w:val="20"/>
        </w:rPr>
        <w:t xml:space="preserve">Для последующего расчета значение допустимой плотности теплового потока для материала применяется с коэффициентом безопасности:</w:t>
      </w:r>
    </w:p>
    <w:p>
      <w:pPr>
        <w:pStyle w:val="0"/>
        <w:jc w:val="both"/>
      </w:pPr>
      <w:r>
        <w:rPr>
          <w:sz w:val="20"/>
        </w:rPr>
      </w:r>
    </w:p>
    <w:p>
      <w:pPr>
        <w:pStyle w:val="0"/>
        <w:jc w:val="center"/>
      </w:pPr>
      <w:r>
        <w:rPr>
          <w:sz w:val="20"/>
        </w:rPr>
        <w:t xml:space="preserve">q</w:t>
      </w:r>
      <w:r>
        <w:rPr>
          <w:sz w:val="20"/>
          <w:vertAlign w:val="subscript"/>
        </w:rPr>
        <w:t xml:space="preserve">доп</w:t>
      </w:r>
      <w:r>
        <w:rPr>
          <w:sz w:val="20"/>
        </w:rPr>
        <w:t xml:space="preserve"> = 0,8 · q</w:t>
      </w:r>
      <w:r>
        <w:rPr>
          <w:sz w:val="20"/>
          <w:vertAlign w:val="subscript"/>
        </w:rPr>
        <w:t xml:space="preserve">крит</w:t>
      </w:r>
      <w:r>
        <w:rPr>
          <w:sz w:val="20"/>
        </w:rPr>
        <w:t xml:space="preserve"> (А.1)</w:t>
      </w:r>
    </w:p>
    <w:p>
      <w:pPr>
        <w:pStyle w:val="0"/>
        <w:jc w:val="both"/>
      </w:pPr>
      <w:r>
        <w:rPr>
          <w:sz w:val="20"/>
        </w:rPr>
      </w:r>
    </w:p>
    <w:p>
      <w:pPr>
        <w:pStyle w:val="0"/>
        <w:ind w:firstLine="540"/>
        <w:jc w:val="both"/>
      </w:pPr>
      <w:r>
        <w:rPr>
          <w:sz w:val="20"/>
        </w:rPr>
        <w:t xml:space="preserve">Для снижения величины q</w:t>
      </w:r>
      <w:r>
        <w:rPr>
          <w:sz w:val="20"/>
          <w:vertAlign w:val="subscript"/>
        </w:rPr>
        <w:t xml:space="preserve">крит</w:t>
      </w:r>
      <w:r>
        <w:rPr>
          <w:sz w:val="20"/>
        </w:rPr>
        <w:t xml:space="preserve"> допускается применение конструктивных и технических (водяное орошение) способов огнезащиты, регламентируемых нормативными документами. Для снижения величины падающего теплового потока на конструкции допускается применение противопожарных экранов, штор, а также водяных завес, при этом значение потока умножается на коэффициент ослабления излучения завесой (отношение выходящего потока q</w:t>
      </w:r>
      <w:r>
        <w:rPr>
          <w:sz w:val="20"/>
          <w:vertAlign w:val="subscript"/>
        </w:rPr>
        <w:t xml:space="preserve">вых</w:t>
      </w:r>
      <w:r>
        <w:rPr>
          <w:sz w:val="20"/>
        </w:rPr>
        <w:t xml:space="preserve"> к падающему q</w:t>
      </w:r>
      <w:r>
        <w:rPr>
          <w:sz w:val="20"/>
          <w:vertAlign w:val="subscript"/>
        </w:rPr>
        <w:t xml:space="preserve">пад</w:t>
      </w:r>
      <w:r>
        <w:rPr>
          <w:sz w:val="20"/>
        </w:rPr>
        <w:t xml:space="preserve">). Значение указанного коэффициента для конкретного экрана, шторы или завесы должно подтверждаться результатами официальных исследований или испытаний. При применении противопожарных водяных завес с параметрами по </w:t>
      </w:r>
      <w:hyperlink w:history="0" r:id="rId441" w:tooltip="Приказ МЧС России от 31.08.2020 N 628 &quot;Об утверждении свода правил &quot;Системы противопожарной защиты. Установки пожаротушения автоматические. Нормы и правила проектирования&quot; (вместе с &quot;СП 485.1311500.2020. Свод правил. Системы противопожарной защиты. Установки пожаротушения автоматические. Нормы и правила проектирования&quot;) {КонсультантПлюс}">
        <w:r>
          <w:rPr>
            <w:sz w:val="20"/>
            <w:color w:val="0000ff"/>
          </w:rPr>
          <w:t xml:space="preserve">СП 485.1311500</w:t>
        </w:r>
      </w:hyperlink>
      <w:r>
        <w:rPr>
          <w:sz w:val="20"/>
        </w:rPr>
        <w:t xml:space="preserve">, предусмотренными для защиты технологических проемов, значение падающего теплового потока на защищаемую конструкцию допускается уменьшить на 25%.</w:t>
      </w:r>
    </w:p>
    <w:p>
      <w:pPr>
        <w:pStyle w:val="0"/>
        <w:jc w:val="both"/>
      </w:pPr>
      <w:r>
        <w:rPr>
          <w:sz w:val="20"/>
        </w:rPr>
        <w:t xml:space="preserve">(в ред. </w:t>
      </w:r>
      <w:hyperlink w:history="0" r:id="rId442" w:tooltip="Приказ МЧС России от 15.06.2022 N 610 &quot;Об утверждении изменения N 3 к своду правил СП 4.13130.2013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Приказа</w:t>
        </w:r>
      </w:hyperlink>
      <w:r>
        <w:rPr>
          <w:sz w:val="20"/>
        </w:rPr>
        <w:t xml:space="preserve"> МЧС России от 15.06.2022 N 610)</w:t>
      </w:r>
    </w:p>
    <w:bookmarkStart w:id="4541" w:name="P4541"/>
    <w:bookmarkEnd w:id="4541"/>
    <w:p>
      <w:pPr>
        <w:pStyle w:val="0"/>
        <w:spacing w:before="200" w:line-rule="auto"/>
        <w:ind w:firstLine="540"/>
        <w:jc w:val="both"/>
      </w:pPr>
      <w:r>
        <w:rPr>
          <w:sz w:val="20"/>
        </w:rPr>
        <w:t xml:space="preserve">А.3.4 Значение падающего теплового потока от пламени пожара на облучаемый материал q</w:t>
      </w:r>
      <w:r>
        <w:rPr>
          <w:sz w:val="20"/>
          <w:vertAlign w:val="subscript"/>
        </w:rPr>
        <w:t xml:space="preserve">пад</w:t>
      </w:r>
      <w:r>
        <w:rPr>
          <w:sz w:val="20"/>
        </w:rPr>
        <w:t xml:space="preserve"> (кВт/м</w:t>
      </w:r>
      <w:r>
        <w:rPr>
          <w:sz w:val="20"/>
          <w:vertAlign w:val="superscript"/>
        </w:rPr>
        <w:t xml:space="preserve">2</w:t>
      </w:r>
      <w:r>
        <w:rPr>
          <w:sz w:val="20"/>
        </w:rPr>
        <w:t xml:space="preserve">) определяется по формуле:</w:t>
      </w:r>
    </w:p>
    <w:p>
      <w:pPr>
        <w:pStyle w:val="0"/>
        <w:jc w:val="both"/>
      </w:pPr>
      <w:r>
        <w:rPr>
          <w:sz w:val="20"/>
        </w:rPr>
      </w:r>
    </w:p>
    <w:bookmarkStart w:id="4543" w:name="P4543"/>
    <w:bookmarkEnd w:id="4543"/>
    <w:p>
      <w:pPr>
        <w:pStyle w:val="0"/>
        <w:jc w:val="center"/>
      </w:pPr>
      <w:r>
        <w:rPr>
          <w:sz w:val="20"/>
        </w:rPr>
        <w:t xml:space="preserve">q</w:t>
      </w:r>
      <w:r>
        <w:rPr>
          <w:sz w:val="20"/>
          <w:vertAlign w:val="subscript"/>
        </w:rPr>
        <w:t xml:space="preserve">пад</w:t>
      </w:r>
      <w:r>
        <w:rPr>
          <w:sz w:val="20"/>
        </w:rPr>
        <w:t xml:space="preserve"> = 94 · F</w:t>
      </w:r>
      <w:r>
        <w:rPr>
          <w:sz w:val="20"/>
          <w:vertAlign w:val="subscript"/>
        </w:rPr>
        <w:t xml:space="preserve">q</w:t>
      </w:r>
      <w:r>
        <w:rPr>
          <w:sz w:val="20"/>
        </w:rPr>
        <w:t xml:space="preserve">, (А.2)</w:t>
      </w:r>
    </w:p>
    <w:p>
      <w:pPr>
        <w:pStyle w:val="0"/>
        <w:jc w:val="both"/>
      </w:pPr>
      <w:r>
        <w:rPr>
          <w:sz w:val="20"/>
        </w:rPr>
      </w:r>
    </w:p>
    <w:p>
      <w:pPr>
        <w:pStyle w:val="0"/>
        <w:ind w:firstLine="540"/>
        <w:jc w:val="both"/>
      </w:pPr>
      <w:r>
        <w:rPr>
          <w:sz w:val="20"/>
        </w:rPr>
        <w:t xml:space="preserve">где F</w:t>
      </w:r>
      <w:r>
        <w:rPr>
          <w:sz w:val="20"/>
          <w:vertAlign w:val="subscript"/>
        </w:rPr>
        <w:t xml:space="preserve">q</w:t>
      </w:r>
      <w:r>
        <w:rPr>
          <w:sz w:val="20"/>
        </w:rPr>
        <w:t xml:space="preserve"> - угловой коэффициент облученности материала.</w:t>
      </w:r>
    </w:p>
    <w:p>
      <w:pPr>
        <w:pStyle w:val="0"/>
        <w:spacing w:before="200" w:line-rule="auto"/>
        <w:ind w:firstLine="540"/>
        <w:jc w:val="both"/>
      </w:pPr>
      <w:r>
        <w:rPr>
          <w:sz w:val="20"/>
        </w:rPr>
        <w:t xml:space="preserve">Значения падающего теплового потока также допускается определять методами полевого моделирования.</w:t>
      </w:r>
    </w:p>
    <w:p>
      <w:pPr>
        <w:pStyle w:val="0"/>
        <w:spacing w:before="200" w:line-rule="auto"/>
        <w:ind w:firstLine="540"/>
        <w:jc w:val="both"/>
      </w:pPr>
      <w:r>
        <w:rPr>
          <w:sz w:val="20"/>
        </w:rPr>
        <w:t xml:space="preserve">А.3.5 Для определения угловых коэффициентов облученности, на основании генерального плана и объемно-планировочных решений, составляются расчетные схемы расположения излучающей поверхности пламени пожара и облучаемых горючих материалов конструкций соседнего объекта с учетом сокращения противопожарного расстояния между объектами до r</w:t>
      </w:r>
      <w:r>
        <w:rPr>
          <w:sz w:val="20"/>
          <w:vertAlign w:val="subscript"/>
        </w:rPr>
        <w:t xml:space="preserve">тр</w:t>
      </w:r>
      <w:r>
        <w:rPr>
          <w:sz w:val="20"/>
        </w:rPr>
        <w:t xml:space="preserve">.</w:t>
      </w:r>
    </w:p>
    <w:p>
      <w:pPr>
        <w:pStyle w:val="0"/>
        <w:spacing w:before="200" w:line-rule="auto"/>
        <w:ind w:firstLine="540"/>
        <w:jc w:val="both"/>
      </w:pPr>
      <w:r>
        <w:rPr>
          <w:sz w:val="20"/>
        </w:rPr>
        <w:t xml:space="preserve">Наиболее опасными с точки зрения максимального воздействия теплового излучения являются схемы, когда поверхность пламени и облучаемая поверхность материала являются параллельными и расположенными друг напротив друг друга (см. рисунки </w:t>
      </w:r>
      <w:hyperlink w:history="0" w:anchor="P4552" w:tooltip="Рисунок А.3.1. Расположение излучающей поверхности пламени">
        <w:r>
          <w:rPr>
            <w:sz w:val="20"/>
            <w:color w:val="0000ff"/>
          </w:rPr>
          <w:t xml:space="preserve">А.3.1</w:t>
        </w:r>
      </w:hyperlink>
      <w:r>
        <w:rPr>
          <w:sz w:val="20"/>
        </w:rPr>
        <w:t xml:space="preserve">, </w:t>
      </w:r>
      <w:hyperlink w:history="0" w:anchor="P4561" w:tooltip="Рисунок А.3.2. Расположение излучающих поверхностей пламени">
        <w:r>
          <w:rPr>
            <w:sz w:val="20"/>
            <w:color w:val="0000ff"/>
          </w:rPr>
          <w:t xml:space="preserve">А.3.2</w:t>
        </w:r>
      </w:hyperlink>
      <w:r>
        <w:rPr>
          <w:sz w:val="20"/>
        </w:rPr>
        <w:t xml:space="preserve">).</w:t>
      </w:r>
    </w:p>
    <w:p>
      <w:pPr>
        <w:pStyle w:val="0"/>
        <w:jc w:val="both"/>
      </w:pPr>
      <w:r>
        <w:rPr>
          <w:sz w:val="20"/>
        </w:rPr>
      </w:r>
    </w:p>
    <w:p>
      <w:pPr>
        <w:pStyle w:val="0"/>
        <w:jc w:val="center"/>
      </w:pPr>
      <w:r>
        <w:rPr>
          <w:position w:val="-99"/>
        </w:rPr>
        <w:drawing>
          <wp:inline distT="0" distB="0" distL="0" distR="0">
            <wp:extent cx="4316730" cy="13925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3">
                      <a:extLst>
                        <a:ext uri="{28A0092B-C50C-407E-A947-70E740481C1C}">
                          <a14:useLocalDpi xmlns:a14="http://schemas.microsoft.com/office/drawing/2010/main" val="0"/>
                        </a:ext>
                      </a:extLst>
                    </a:blip>
                    <a:srcRect/>
                    <a:stretch>
                      <a:fillRect/>
                    </a:stretch>
                  </pic:blipFill>
                  <pic:spPr bwMode="auto">
                    <a:xfrm>
                      <a:off x="0" y="0"/>
                      <a:ext cx="4316730" cy="1392555"/>
                    </a:xfrm>
                    <a:prstGeom prst="rect">
                      <a:avLst/>
                    </a:prstGeom>
                    <a:noFill/>
                    <a:ln>
                      <a:noFill/>
                    </a:ln>
                  </pic:spPr>
                </pic:pic>
              </a:graphicData>
            </a:graphic>
          </wp:inline>
        </w:drawing>
      </w:r>
    </w:p>
    <w:p>
      <w:pPr>
        <w:pStyle w:val="0"/>
        <w:jc w:val="both"/>
      </w:pPr>
      <w:r>
        <w:rPr>
          <w:sz w:val="20"/>
        </w:rPr>
      </w:r>
    </w:p>
    <w:bookmarkStart w:id="4552" w:name="P4552"/>
    <w:bookmarkEnd w:id="4552"/>
    <w:p>
      <w:pPr>
        <w:pStyle w:val="0"/>
        <w:jc w:val="center"/>
      </w:pPr>
      <w:r>
        <w:rPr>
          <w:sz w:val="20"/>
        </w:rPr>
        <w:t xml:space="preserve">Рисунок А.3.1. Расположение излучающей поверхности пламени</w:t>
      </w:r>
    </w:p>
    <w:p>
      <w:pPr>
        <w:pStyle w:val="0"/>
        <w:jc w:val="center"/>
      </w:pPr>
      <w:r>
        <w:rPr>
          <w:sz w:val="20"/>
        </w:rPr>
        <w:t xml:space="preserve">F</w:t>
      </w:r>
      <w:r>
        <w:rPr>
          <w:sz w:val="20"/>
          <w:vertAlign w:val="subscript"/>
        </w:rPr>
        <w:t xml:space="preserve">1</w:t>
      </w:r>
      <w:r>
        <w:rPr>
          <w:sz w:val="20"/>
        </w:rPr>
        <w:t xml:space="preserve"> и облучаемой поверхности материала соседнего объекта F</w:t>
      </w:r>
      <w:r>
        <w:rPr>
          <w:sz w:val="20"/>
          <w:vertAlign w:val="subscript"/>
        </w:rPr>
        <w:t xml:space="preserve">2</w:t>
      </w:r>
      <w:r>
        <w:rPr>
          <w:sz w:val="20"/>
        </w:rPr>
        <w:t xml:space="preserve">,</w:t>
      </w:r>
    </w:p>
    <w:p>
      <w:pPr>
        <w:pStyle w:val="0"/>
        <w:jc w:val="center"/>
      </w:pPr>
      <w:r>
        <w:rPr>
          <w:sz w:val="20"/>
        </w:rPr>
        <w:t xml:space="preserve">где w и h - соответственно длина и ширина</w:t>
      </w:r>
    </w:p>
    <w:p>
      <w:pPr>
        <w:pStyle w:val="0"/>
        <w:jc w:val="center"/>
      </w:pPr>
      <w:r>
        <w:rPr>
          <w:sz w:val="20"/>
        </w:rPr>
        <w:t xml:space="preserve">поверхности пламени.</w:t>
      </w:r>
    </w:p>
    <w:p>
      <w:pPr>
        <w:pStyle w:val="0"/>
        <w:jc w:val="both"/>
      </w:pPr>
      <w:r>
        <w:rPr>
          <w:sz w:val="20"/>
        </w:rPr>
      </w:r>
    </w:p>
    <w:p>
      <w:pPr>
        <w:pStyle w:val="0"/>
        <w:jc w:val="both"/>
      </w:pPr>
      <w:r>
        <w:rPr>
          <w:sz w:val="20"/>
        </w:rPr>
      </w:r>
    </w:p>
    <w:p>
      <w:pPr>
        <w:pStyle w:val="0"/>
        <w:jc w:val="both"/>
      </w:pPr>
      <w:r>
        <w:rPr>
          <w:sz w:val="20"/>
        </w:rPr>
      </w:r>
    </w:p>
    <w:p>
      <w:pPr>
        <w:pStyle w:val="0"/>
        <w:jc w:val="center"/>
      </w:pPr>
      <w:r>
        <w:rPr>
          <w:position w:val="-246"/>
        </w:rPr>
        <w:drawing>
          <wp:inline distT="0" distB="0" distL="0" distR="0">
            <wp:extent cx="4490085" cy="32518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4">
                      <a:extLst>
                        <a:ext uri="{28A0092B-C50C-407E-A947-70E740481C1C}">
                          <a14:useLocalDpi xmlns:a14="http://schemas.microsoft.com/office/drawing/2010/main" val="0"/>
                        </a:ext>
                      </a:extLst>
                    </a:blip>
                    <a:srcRect/>
                    <a:stretch>
                      <a:fillRect/>
                    </a:stretch>
                  </pic:blipFill>
                  <pic:spPr bwMode="auto">
                    <a:xfrm>
                      <a:off x="0" y="0"/>
                      <a:ext cx="4490085" cy="3251835"/>
                    </a:xfrm>
                    <a:prstGeom prst="rect">
                      <a:avLst/>
                    </a:prstGeom>
                    <a:noFill/>
                    <a:ln>
                      <a:noFill/>
                    </a:ln>
                  </pic:spPr>
                </pic:pic>
              </a:graphicData>
            </a:graphic>
          </wp:inline>
        </w:drawing>
      </w:r>
    </w:p>
    <w:p>
      <w:pPr>
        <w:pStyle w:val="0"/>
        <w:jc w:val="both"/>
      </w:pPr>
      <w:r>
        <w:rPr>
          <w:sz w:val="20"/>
        </w:rPr>
      </w:r>
    </w:p>
    <w:bookmarkStart w:id="4561" w:name="P4561"/>
    <w:bookmarkEnd w:id="4561"/>
    <w:p>
      <w:pPr>
        <w:pStyle w:val="0"/>
        <w:jc w:val="center"/>
      </w:pPr>
      <w:r>
        <w:rPr>
          <w:sz w:val="20"/>
        </w:rPr>
        <w:t xml:space="preserve">Рисунок А.3.2. Расположение излучающих поверхностей пламени</w:t>
      </w:r>
    </w:p>
    <w:p>
      <w:pPr>
        <w:pStyle w:val="0"/>
        <w:jc w:val="center"/>
      </w:pPr>
      <w:r>
        <w:rPr>
          <w:sz w:val="20"/>
        </w:rPr>
        <w:t xml:space="preserve">F</w:t>
      </w:r>
      <w:r>
        <w:rPr>
          <w:sz w:val="20"/>
          <w:vertAlign w:val="subscript"/>
        </w:rPr>
        <w:t xml:space="preserve">q1-q4</w:t>
      </w:r>
      <w:r>
        <w:rPr>
          <w:sz w:val="20"/>
        </w:rPr>
        <w:t xml:space="preserve"> и облучаемой поверхности материала соседнего объекта</w:t>
      </w:r>
    </w:p>
    <w:p>
      <w:pPr>
        <w:pStyle w:val="0"/>
        <w:jc w:val="center"/>
      </w:pPr>
      <w:r>
        <w:rPr>
          <w:sz w:val="20"/>
        </w:rPr>
        <w:t xml:space="preserve">F</w:t>
      </w:r>
      <w:r>
        <w:rPr>
          <w:sz w:val="20"/>
          <w:vertAlign w:val="subscript"/>
        </w:rPr>
        <w:t xml:space="preserve">2</w:t>
      </w:r>
      <w:r>
        <w:rPr>
          <w:sz w:val="20"/>
        </w:rPr>
        <w:t xml:space="preserve">, где w</w:t>
      </w:r>
      <w:r>
        <w:rPr>
          <w:sz w:val="20"/>
          <w:vertAlign w:val="subscript"/>
        </w:rPr>
        <w:t xml:space="preserve">1</w:t>
      </w:r>
      <w:r>
        <w:rPr>
          <w:sz w:val="20"/>
        </w:rPr>
        <w:t xml:space="preserve"> и h</w:t>
      </w:r>
      <w:r>
        <w:rPr>
          <w:sz w:val="20"/>
          <w:vertAlign w:val="subscript"/>
        </w:rPr>
        <w:t xml:space="preserve">1</w:t>
      </w:r>
      <w:r>
        <w:rPr>
          <w:sz w:val="20"/>
        </w:rPr>
        <w:t xml:space="preserve"> - длина и ширина соответствующей части</w:t>
      </w:r>
    </w:p>
    <w:p>
      <w:pPr>
        <w:pStyle w:val="0"/>
        <w:jc w:val="center"/>
      </w:pPr>
      <w:r>
        <w:rPr>
          <w:sz w:val="20"/>
        </w:rPr>
        <w:t xml:space="preserve">поверхности пламени.</w:t>
      </w:r>
    </w:p>
    <w:p>
      <w:pPr>
        <w:pStyle w:val="0"/>
        <w:jc w:val="both"/>
      </w:pPr>
      <w:r>
        <w:rPr>
          <w:sz w:val="20"/>
        </w:rPr>
      </w:r>
    </w:p>
    <w:p>
      <w:pPr>
        <w:pStyle w:val="0"/>
        <w:ind w:firstLine="540"/>
        <w:jc w:val="both"/>
      </w:pPr>
      <w:r>
        <w:rPr>
          <w:sz w:val="20"/>
        </w:rPr>
        <w:t xml:space="preserve">Коэффициент облученности вычисляется по формуле:</w:t>
      </w:r>
    </w:p>
    <w:p>
      <w:pPr>
        <w:pStyle w:val="0"/>
        <w:jc w:val="both"/>
      </w:pPr>
      <w:r>
        <w:rPr>
          <w:sz w:val="20"/>
        </w:rPr>
      </w:r>
    </w:p>
    <w:bookmarkStart w:id="4568" w:name="P4568"/>
    <w:bookmarkEnd w:id="4568"/>
    <w:p>
      <w:pPr>
        <w:pStyle w:val="0"/>
        <w:jc w:val="center"/>
      </w:pPr>
      <w:r>
        <w:rPr>
          <w:position w:val="-27"/>
        </w:rPr>
        <w:drawing>
          <wp:inline distT="0" distB="0" distL="0" distR="0">
            <wp:extent cx="3909060" cy="4800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5">
                      <a:extLst>
                        <a:ext uri="{28A0092B-C50C-407E-A947-70E740481C1C}">
                          <a14:useLocalDpi xmlns:a14="http://schemas.microsoft.com/office/drawing/2010/main" val="0"/>
                        </a:ext>
                      </a:extLst>
                    </a:blip>
                    <a:srcRect/>
                    <a:stretch>
                      <a:fillRect/>
                    </a:stretch>
                  </pic:blipFill>
                  <pic:spPr bwMode="auto">
                    <a:xfrm>
                      <a:off x="0" y="0"/>
                      <a:ext cx="3909060" cy="480060"/>
                    </a:xfrm>
                    <a:prstGeom prst="rect">
                      <a:avLst/>
                    </a:prstGeom>
                    <a:noFill/>
                    <a:ln>
                      <a:noFill/>
                    </a:ln>
                  </pic:spPr>
                </pic:pic>
              </a:graphicData>
            </a:graphic>
          </wp:inline>
        </w:drawing>
      </w:r>
      <w:r>
        <w:rPr>
          <w:sz w:val="20"/>
        </w:rPr>
        <w:t xml:space="preserve"> (А.3),</w:t>
      </w:r>
    </w:p>
    <w:p>
      <w:pPr>
        <w:pStyle w:val="0"/>
        <w:jc w:val="both"/>
      </w:pPr>
      <w:r>
        <w:rPr>
          <w:sz w:val="20"/>
        </w:rPr>
      </w:r>
    </w:p>
    <w:p>
      <w:pPr>
        <w:pStyle w:val="0"/>
        <w:ind w:firstLine="540"/>
        <w:jc w:val="both"/>
      </w:pPr>
      <w:r>
        <w:rPr>
          <w:sz w:val="20"/>
        </w:rPr>
        <w:t xml:space="preserve">где r - расстояние от горящего проема или горящей стены до поверхности облучаемого материала, м;</w:t>
      </w:r>
    </w:p>
    <w:p>
      <w:pPr>
        <w:pStyle w:val="0"/>
        <w:spacing w:before="200" w:line-rule="auto"/>
        <w:ind w:firstLine="540"/>
        <w:jc w:val="both"/>
      </w:pPr>
      <w:r>
        <w:rPr>
          <w:sz w:val="20"/>
        </w:rPr>
        <w:t xml:space="preserve">w и h - приведенная длина и высота факела, м.</w:t>
      </w:r>
    </w:p>
    <w:p>
      <w:pPr>
        <w:pStyle w:val="0"/>
        <w:spacing w:before="200" w:line-rule="auto"/>
        <w:ind w:firstLine="540"/>
        <w:jc w:val="both"/>
      </w:pPr>
      <w:r>
        <w:rPr>
          <w:sz w:val="20"/>
        </w:rPr>
        <w:t xml:space="preserve">Для 2-й схемы:</w:t>
      </w:r>
    </w:p>
    <w:p>
      <w:pPr>
        <w:pStyle w:val="0"/>
        <w:jc w:val="both"/>
      </w:pPr>
      <w:r>
        <w:rPr>
          <w:sz w:val="20"/>
        </w:rPr>
      </w:r>
    </w:p>
    <w:bookmarkStart w:id="4574" w:name="P4574"/>
    <w:bookmarkEnd w:id="4574"/>
    <w:p>
      <w:pPr>
        <w:pStyle w:val="0"/>
        <w:jc w:val="center"/>
      </w:pPr>
      <w:r>
        <w:rPr>
          <w:position w:val="-9"/>
        </w:rPr>
        <w:drawing>
          <wp:inline distT="0" distB="0" distL="0" distR="0">
            <wp:extent cx="158496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6">
                      <a:extLst>
                        <a:ext uri="{28A0092B-C50C-407E-A947-70E740481C1C}">
                          <a14:useLocalDpi xmlns:a14="http://schemas.microsoft.com/office/drawing/2010/main" val="0"/>
                        </a:ext>
                      </a:extLst>
                    </a:blip>
                    <a:srcRect/>
                    <a:stretch>
                      <a:fillRect/>
                    </a:stretch>
                  </pic:blipFill>
                  <pic:spPr bwMode="auto">
                    <a:xfrm>
                      <a:off x="0" y="0"/>
                      <a:ext cx="1584960" cy="243840"/>
                    </a:xfrm>
                    <a:prstGeom prst="rect">
                      <a:avLst/>
                    </a:prstGeom>
                    <a:noFill/>
                    <a:ln>
                      <a:noFill/>
                    </a:ln>
                  </pic:spPr>
                </pic:pic>
              </a:graphicData>
            </a:graphic>
          </wp:inline>
        </w:drawing>
      </w:r>
      <w:r>
        <w:rPr>
          <w:sz w:val="20"/>
        </w:rPr>
        <w:t xml:space="preserve"> (А.4),</w:t>
      </w:r>
    </w:p>
    <w:p>
      <w:pPr>
        <w:pStyle w:val="0"/>
        <w:jc w:val="both"/>
      </w:pPr>
      <w:r>
        <w:rPr>
          <w:sz w:val="20"/>
        </w:rPr>
      </w:r>
    </w:p>
    <w:p>
      <w:pPr>
        <w:pStyle w:val="0"/>
        <w:ind w:firstLine="540"/>
        <w:jc w:val="both"/>
      </w:pPr>
      <w:r>
        <w:rPr>
          <w:sz w:val="20"/>
        </w:rPr>
        <w:t xml:space="preserve">где F</w:t>
      </w:r>
      <w:r>
        <w:rPr>
          <w:sz w:val="20"/>
          <w:vertAlign w:val="subscript"/>
        </w:rPr>
        <w:t xml:space="preserve">q1</w:t>
      </w:r>
      <w:r>
        <w:rPr>
          <w:sz w:val="20"/>
        </w:rPr>
        <w:t xml:space="preserve">, F</w:t>
      </w:r>
      <w:r>
        <w:rPr>
          <w:sz w:val="20"/>
          <w:vertAlign w:val="subscript"/>
        </w:rPr>
        <w:t xml:space="preserve">q2</w:t>
      </w:r>
      <w:r>
        <w:rPr>
          <w:sz w:val="20"/>
        </w:rPr>
        <w:t xml:space="preserve">, F</w:t>
      </w:r>
      <w:r>
        <w:rPr>
          <w:sz w:val="20"/>
          <w:vertAlign w:val="subscript"/>
        </w:rPr>
        <w:t xml:space="preserve">q3</w:t>
      </w:r>
      <w:r>
        <w:rPr>
          <w:sz w:val="20"/>
        </w:rPr>
        <w:t xml:space="preserve">, F</w:t>
      </w:r>
      <w:r>
        <w:rPr>
          <w:sz w:val="20"/>
          <w:vertAlign w:val="subscript"/>
        </w:rPr>
        <w:t xml:space="preserve">q4</w:t>
      </w:r>
      <w:r>
        <w:rPr>
          <w:sz w:val="20"/>
        </w:rPr>
        <w:t xml:space="preserve"> определяются по формуле </w:t>
      </w:r>
      <w:hyperlink w:history="0" w:anchor="P4568" w:tooltip=" (А.3),">
        <w:r>
          <w:rPr>
            <w:sz w:val="20"/>
            <w:color w:val="0000ff"/>
          </w:rPr>
          <w:t xml:space="preserve">(А.3)</w:t>
        </w:r>
      </w:hyperlink>
      <w:r>
        <w:rPr>
          <w:sz w:val="20"/>
        </w:rPr>
        <w:t xml:space="preserve">.</w:t>
      </w:r>
    </w:p>
    <w:p>
      <w:pPr>
        <w:pStyle w:val="0"/>
        <w:spacing w:before="200" w:line-rule="auto"/>
        <w:ind w:firstLine="540"/>
        <w:jc w:val="both"/>
      </w:pPr>
      <w:r>
        <w:rPr>
          <w:sz w:val="20"/>
        </w:rPr>
        <w:t xml:space="preserve">При расчетах угловых коэффициентов облученности для различных вариантов взаиморасположения поверхностей допускается применять аналитические формулы, приведенные в научно-технической литературе по пожарной безопасности.</w:t>
      </w:r>
    </w:p>
    <w:p>
      <w:pPr>
        <w:pStyle w:val="0"/>
        <w:spacing w:before="200" w:line-rule="auto"/>
        <w:ind w:firstLine="540"/>
        <w:jc w:val="both"/>
      </w:pPr>
      <w:r>
        <w:rPr>
          <w:sz w:val="20"/>
        </w:rPr>
        <w:t xml:space="preserve">Расчеты угловых коэффициентов при различных вариантах взаиморасположения поверхностей с обоснованным запасом допускается осуществлять по формулам </w:t>
      </w:r>
      <w:hyperlink w:history="0" w:anchor="P4568" w:tooltip=" (А.3),">
        <w:r>
          <w:rPr>
            <w:sz w:val="20"/>
            <w:color w:val="0000ff"/>
          </w:rPr>
          <w:t xml:space="preserve">(А.3)</w:t>
        </w:r>
      </w:hyperlink>
      <w:r>
        <w:rPr>
          <w:sz w:val="20"/>
        </w:rPr>
        <w:t xml:space="preserve">, </w:t>
      </w:r>
      <w:hyperlink w:history="0" w:anchor="P4574" w:tooltip=" (А.4),">
        <w:r>
          <w:rPr>
            <w:sz w:val="20"/>
            <w:color w:val="0000ff"/>
          </w:rPr>
          <w:t xml:space="preserve">(А.4)</w:t>
        </w:r>
      </w:hyperlink>
      <w:r>
        <w:rPr>
          <w:sz w:val="20"/>
        </w:rPr>
        <w:t xml:space="preserve">, приводя фактическое расположение излучающей и облучаемой поверхностей к указанным наиболее опасным схемам. В этом случае в качестве размера пламени принимаются его фактические размеры в плоскости горящих окон или стен по </w:t>
      </w:r>
      <w:hyperlink w:history="0" w:anchor="P4472" w:tooltip="А.3.2 Поверхность пламени аппроксимируется прямоугольником, плоскость которого проходит через поверхность оконных проемов помещения пожара, либо горящих наружных стен.">
        <w:r>
          <w:rPr>
            <w:sz w:val="20"/>
            <w:color w:val="0000ff"/>
          </w:rPr>
          <w:t xml:space="preserve">пункту А.3.2</w:t>
        </w:r>
      </w:hyperlink>
      <w:r>
        <w:rPr>
          <w:sz w:val="20"/>
        </w:rPr>
        <w:t xml:space="preserve">, а в качестве расстояния r - минимальное расстояние от пламени до облучаемого материала соседнего объекта.</w:t>
      </w:r>
    </w:p>
    <w:p>
      <w:pPr>
        <w:pStyle w:val="0"/>
        <w:spacing w:before="200" w:line-rule="auto"/>
        <w:ind w:firstLine="540"/>
        <w:jc w:val="both"/>
      </w:pPr>
      <w:r>
        <w:rPr>
          <w:sz w:val="20"/>
        </w:rPr>
        <w:t xml:space="preserve">А.3.6 Определенные по формуле </w:t>
      </w:r>
      <w:hyperlink w:history="0" w:anchor="P4543" w:tooltip="qпад = 94 · Fq, (А.2)">
        <w:r>
          <w:rPr>
            <w:sz w:val="20"/>
            <w:color w:val="0000ff"/>
          </w:rPr>
          <w:t xml:space="preserve">(А.2)</w:t>
        </w:r>
      </w:hyperlink>
      <w:r>
        <w:rPr>
          <w:sz w:val="20"/>
        </w:rPr>
        <w:t xml:space="preserve"> величины падающих тепловых потоков у горючих материалов соседнего объекта q</w:t>
      </w:r>
      <w:r>
        <w:rPr>
          <w:sz w:val="20"/>
          <w:vertAlign w:val="subscript"/>
        </w:rPr>
        <w:t xml:space="preserve">пад</w:t>
      </w:r>
      <w:r>
        <w:rPr>
          <w:sz w:val="20"/>
        </w:rPr>
        <w:t xml:space="preserve"> сравниваются с соответствующими значениями допустимой плотности теплового потока для материала q</w:t>
      </w:r>
      <w:r>
        <w:rPr>
          <w:sz w:val="20"/>
          <w:vertAlign w:val="subscript"/>
        </w:rPr>
        <w:t xml:space="preserve">доп</w:t>
      </w:r>
      <w:r>
        <w:rPr>
          <w:sz w:val="20"/>
        </w:rPr>
        <w:t xml:space="preserve">.</w:t>
      </w:r>
    </w:p>
    <w:p>
      <w:pPr>
        <w:pStyle w:val="0"/>
        <w:spacing w:before="200" w:line-rule="auto"/>
        <w:ind w:firstLine="540"/>
        <w:jc w:val="both"/>
      </w:pPr>
      <w:r>
        <w:rPr>
          <w:sz w:val="20"/>
        </w:rPr>
        <w:t xml:space="preserve">Аналогичный выбор сценариев пожара с определением теплового воздействия на материалы конструкций другого объекта осуществляется и для соседнего здания, сооружения.</w:t>
      </w:r>
    </w:p>
    <w:p>
      <w:pPr>
        <w:pStyle w:val="0"/>
        <w:spacing w:before="200" w:line-rule="auto"/>
        <w:ind w:firstLine="540"/>
        <w:jc w:val="both"/>
      </w:pPr>
      <w:r>
        <w:rPr>
          <w:sz w:val="20"/>
        </w:rPr>
        <w:t xml:space="preserve">А.3.7 Если для обоих объектов во всех сценариях пожара условие q</w:t>
      </w:r>
      <w:r>
        <w:rPr>
          <w:sz w:val="20"/>
          <w:vertAlign w:val="subscript"/>
        </w:rPr>
        <w:t xml:space="preserve">пад</w:t>
      </w:r>
      <w:r>
        <w:rPr>
          <w:sz w:val="20"/>
        </w:rPr>
        <w:t xml:space="preserve"> &lt; q</w:t>
      </w:r>
      <w:r>
        <w:rPr>
          <w:sz w:val="20"/>
          <w:vertAlign w:val="subscript"/>
        </w:rPr>
        <w:t xml:space="preserve">доп</w:t>
      </w:r>
      <w:r>
        <w:rPr>
          <w:sz w:val="20"/>
        </w:rPr>
        <w:t xml:space="preserve"> соблюдается для всех облучаемых материалов наружных конструкций, то сокращение противопожарного расстояния между зданиями, сооружениями до r</w:t>
      </w:r>
      <w:r>
        <w:rPr>
          <w:sz w:val="20"/>
          <w:vertAlign w:val="subscript"/>
        </w:rPr>
        <w:t xml:space="preserve">тр</w:t>
      </w:r>
      <w:r>
        <w:rPr>
          <w:sz w:val="20"/>
        </w:rPr>
        <w:t xml:space="preserve"> можно считать допустимым и обоснованным. Если указанное условие не соблюдается для хотя бы одного материала, то сокращение противопожарного расстояния не допускается.</w:t>
      </w:r>
    </w:p>
    <w:p>
      <w:pPr>
        <w:pStyle w:val="0"/>
        <w:spacing w:before="200" w:line-rule="auto"/>
        <w:ind w:firstLine="540"/>
        <w:jc w:val="both"/>
      </w:pPr>
      <w:r>
        <w:rPr>
          <w:sz w:val="20"/>
        </w:rPr>
        <w:t xml:space="preserve">При внедрении результатов, полученное расстояние необходимо проверить на предмет соответствия требованиям, предъявляемым к параметрам проездов, подъездов для пожарных автомобилей с рассматриваемых сторон зданий, а также требованиям строительных, санитарных и экологических норм.</w:t>
      </w:r>
    </w:p>
    <w:p>
      <w:pPr>
        <w:pStyle w:val="0"/>
        <w:ind w:firstLine="540"/>
        <w:jc w:val="both"/>
      </w:pPr>
      <w:r>
        <w:rPr>
          <w:sz w:val="20"/>
        </w:rPr>
      </w:r>
    </w:p>
    <w:p>
      <w:pPr>
        <w:pStyle w:val="1"/>
        <w:jc w:val="both"/>
      </w:pPr>
      <w:r>
        <w:rPr>
          <w:sz w:val="20"/>
        </w:rPr>
        <w:t xml:space="preserve">───────────────────────────────────────────────────────────────────────────</w:t>
      </w:r>
    </w:p>
    <w:p>
      <w:pPr>
        <w:pStyle w:val="1"/>
        <w:jc w:val="both"/>
      </w:pPr>
      <w:r>
        <w:rPr>
          <w:sz w:val="20"/>
        </w:rPr>
        <w:t xml:space="preserve">УДК 614.841.3                      ОКС </w:t>
      </w:r>
      <w:hyperlink w:history="0" r:id="rId447" w:tooltip="&quot;ОК 001-2021 (ИСО МКС). Общероссийский классификатор стандартов&quot; (утв. приказом Росстандарта от 19.11.2021 N 1506-ст) {КонсультантПлюс}">
        <w:r>
          <w:rPr>
            <w:sz w:val="20"/>
            <w:color w:val="0000ff"/>
          </w:rPr>
          <w:t xml:space="preserve">13.220.01</w:t>
        </w:r>
      </w:hyperlink>
    </w:p>
    <w:p>
      <w:pPr>
        <w:pStyle w:val="1"/>
        <w:jc w:val="both"/>
      </w:pPr>
      <w:r>
        <w:rPr>
          <w:sz w:val="20"/>
        </w:rPr>
        <w:t xml:space="preserve">Ключевые   слова:   распространение     пожара,   объекты  защиты,   здания</w:t>
      </w:r>
    </w:p>
    <w:p>
      <w:pPr>
        <w:pStyle w:val="1"/>
        <w:jc w:val="both"/>
      </w:pPr>
      <w:r>
        <w:rPr>
          <w:sz w:val="20"/>
        </w:rPr>
        <w:t xml:space="preserve">общественного назначения, производственные и складские здания</w:t>
      </w:r>
    </w:p>
    <w:p>
      <w:pPr>
        <w:pStyle w:val="1"/>
        <w:jc w:val="both"/>
      </w:pPr>
      <w:r>
        <w:rPr>
          <w:sz w:val="20"/>
        </w:rPr>
        <w:t xml:space="preserve">───────────────────────────────────────────────────────────────────────────</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МЧС России от 24.04.2013 N 288</w:t>
            <w:br/>
            <w:t>(ред. от 15.06.2022)</w:t>
            <w:br/>
            <w:t>"Об утверждении свода правил СП 4.13130 "Системы противопожар...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13.12.2022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МЧС России от 24.04.2013 N 288</w:t>
            <w:br/>
            <w:t>(ред. от 15.06.2022)</w:t>
            <w:br/>
            <w:t>"Об утверждении свода правил СП 4.13130 "Системы противопожар...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7C02EF130E05B5A82E57F85DB672ACD2BF6B5ADF3E9CFF5789401D332DC3AB39B9DF3AC6580CF353FFAC92AB5729DA9BE94CD6208EE888F762j7I" TargetMode = "External"/>
	<Relationship Id="rId8" Type="http://schemas.openxmlformats.org/officeDocument/2006/relationships/hyperlink" Target="consultantplus://offline/ref=7C02EF130E05B5A82E57F85DB672ACD2BD6B5BDA3B92FF5789401D332DC3AB39B9DF3AC6580CF353F2AC92AB5729DA9BE94CD6208EE888F762j7I" TargetMode = "External"/>
	<Relationship Id="rId9" Type="http://schemas.openxmlformats.org/officeDocument/2006/relationships/hyperlink" Target="consultantplus://offline/ref=7C02EF130E05B5A82E57F85DB672ACD2BA6E59D1399CFF5789401D332DC3AB39B9DF3AC6580CF352FAAC92AB5729DA9BE94CD6208EE888F762j7I" TargetMode = "External"/>
	<Relationship Id="rId10" Type="http://schemas.openxmlformats.org/officeDocument/2006/relationships/hyperlink" Target="consultantplus://offline/ref=7C02EF130E05B5A82E57F85DB672ACD2BA6F5DDB3A9CFF5789401D332DC3AB39B9DF3AC6580CF353FFAC92AB5729DA9BE94CD6208EE888F762j7I" TargetMode = "External"/>
	<Relationship Id="rId11" Type="http://schemas.openxmlformats.org/officeDocument/2006/relationships/hyperlink" Target="consultantplus://offline/ref=7C02EF130E05B5A82E57F85DB672ACD2BA6F53D13A9FFF5789401D332DC3AB39B9DF3AC6580CF353F2AC92AB5729DA9BE94CD6208EE888F762j7I" TargetMode = "External"/>
	<Relationship Id="rId12" Type="http://schemas.openxmlformats.org/officeDocument/2006/relationships/hyperlink" Target="consultantplus://offline/ref=7C02EF130E05B5A82E57F85DB672ACD2BA6C58D8399DFF5789401D332DC3AB39B9DF3AC6580EF251F9AC92AB5729DA9BE94CD6208EE888F762j7I" TargetMode = "External"/>
	<Relationship Id="rId13" Type="http://schemas.openxmlformats.org/officeDocument/2006/relationships/hyperlink" Target="consultantplus://offline/ref=7C02EF130E05B5A82E57F85DB672ACD2BA6D5ADF3B9AFF5789401D332DC3AB39ABDF62CA590FED52F9B9C4FA1167jEI" TargetMode = "External"/>
	<Relationship Id="rId14" Type="http://schemas.openxmlformats.org/officeDocument/2006/relationships/hyperlink" Target="consultantplus://offline/ref=7C02EF130E05B5A82E57F85DB672ACD2B66F53DA3A90A25D811911312ACCF42EBE9636C7580CF253F0F397BE4671D699F453D53C92EA8A6Fj7I" TargetMode = "External"/>
	<Relationship Id="rId15" Type="http://schemas.openxmlformats.org/officeDocument/2006/relationships/hyperlink" Target="consultantplus://offline/ref=7C02EF130E05B5A82E57F85DB672ACD2BF6B5ADF3E9CFF5789401D332DC3AB39B9DF3AC6580CF353FEAC92AB5729DA9BE94CD6208EE888F762j7I" TargetMode = "External"/>
	<Relationship Id="rId16" Type="http://schemas.openxmlformats.org/officeDocument/2006/relationships/hyperlink" Target="consultantplus://offline/ref=7C02EF130E05B5A82E57F85DB672ACD2BF6F5FDA3899FF5789401D332DC3AB39ABDF62CA590FED52F9B9C4FA1167jEI" TargetMode = "External"/>
	<Relationship Id="rId17" Type="http://schemas.openxmlformats.org/officeDocument/2006/relationships/hyperlink" Target="consultantplus://offline/ref=7C02EF130E05B5A82E57F85DB672ACD2BF6F5FDA3993FF5789401D332DC3AB39ABDF62CA590FED52F9B9C4FA1167jEI" TargetMode = "External"/>
	<Relationship Id="rId18" Type="http://schemas.openxmlformats.org/officeDocument/2006/relationships/hyperlink" Target="consultantplus://offline/ref=7C02EF130E05B5A82E57F85DB672ACD2BF6B5ADF3E9CFF5789401D332DC3AB39B9DF3AC6580CF353FDAC92AB5729DA9BE94CD6208EE888F762j7I" TargetMode = "External"/>
	<Relationship Id="rId19" Type="http://schemas.openxmlformats.org/officeDocument/2006/relationships/hyperlink" Target="consultantplus://offline/ref=7C02EF130E05B5A82E57F85DB672ACD2BD6B5BDA3B92FF5789401D332DC3AB39B9DF3AC6580CF353F2AC92AB5729DA9BE94CD6208EE888F762j7I" TargetMode = "External"/>
	<Relationship Id="rId20" Type="http://schemas.openxmlformats.org/officeDocument/2006/relationships/hyperlink" Target="consultantplus://offline/ref=7C02EF130E05B5A82E57F85DB672ACD2BA6E59D1399CFF5789401D332DC3AB39B9DF3AC6580CF352FAAC92AB5729DA9BE94CD6208EE888F762j7I" TargetMode = "External"/>
	<Relationship Id="rId21" Type="http://schemas.openxmlformats.org/officeDocument/2006/relationships/hyperlink" Target="consultantplus://offline/ref=7C02EF130E05B5A82E57F85DB672ACD2BA6F5DDB3A9CFF5789401D332DC3AB39B9DF3AC6580CF353FFAC92AB5729DA9BE94CD6208EE888F762j7I" TargetMode = "External"/>
	<Relationship Id="rId22" Type="http://schemas.openxmlformats.org/officeDocument/2006/relationships/hyperlink" Target="consultantplus://offline/ref=7C02EF130E05B5A82E57F85DB672ACD2BA6F53D13A9FFF5789401D332DC3AB39B9DF3AC6580CF353F2AC92AB5729DA9BE94CD6208EE888F762j7I" TargetMode = "External"/>
	<Relationship Id="rId23" Type="http://schemas.openxmlformats.org/officeDocument/2006/relationships/hyperlink" Target="consultantplus://offline/ref=7C02EF130E05B5A82E57F85DB672ACD2BD6652D83F92FF5789401D332DC3AB39B9DF3AC55C0EF807AAE393F7127FC99BE84CD522926Ej8I" TargetMode = "External"/>
	<Relationship Id="rId24" Type="http://schemas.openxmlformats.org/officeDocument/2006/relationships/hyperlink" Target="consultantplus://offline/ref=7C02EF130E05B5A82E57F85DB672ACD2BA6C58D8399DFF5789401D332DC3AB39ABDF62CA590FED52F9B9C4FA1167jEI" TargetMode = "External"/>
	<Relationship Id="rId25" Type="http://schemas.openxmlformats.org/officeDocument/2006/relationships/hyperlink" Target="consultantplus://offline/ref=7C02EF130E05B5A82E57F85DB672ACD2BF6F5FDA3899FF5789401D332DC3AB39ABDF62CA590FED52F9B9C4FA1167jEI" TargetMode = "External"/>
	<Relationship Id="rId26" Type="http://schemas.openxmlformats.org/officeDocument/2006/relationships/hyperlink" Target="consultantplus://offline/ref=7C02EF130E05B5A82E57F85DB672ACD2BA6F53D13A9FFF5789401D332DC3AB39B9DF3AC6580CF352F8AC92AB5729DA9BE94CD6208EE888F762j7I" TargetMode = "External"/>
	<Relationship Id="rId27" Type="http://schemas.openxmlformats.org/officeDocument/2006/relationships/hyperlink" Target="consultantplus://offline/ref=7C02EF130E05B5A82E57E748B372ACD2BF665AD13C90A25D811911312ACCF43CBECE3AC65B12F251E5A5C6F861j1I" TargetMode = "External"/>
	<Relationship Id="rId28" Type="http://schemas.openxmlformats.org/officeDocument/2006/relationships/hyperlink" Target="consultantplus://offline/ref=7C02EF130E05B5A82E57E748B372ACD2BF6F59DF3790A25D811911312ACCF43CBECE3AC65B12F251E5A5C6F861j1I" TargetMode = "External"/>
	<Relationship Id="rId29" Type="http://schemas.openxmlformats.org/officeDocument/2006/relationships/hyperlink" Target="consultantplus://offline/ref=7C02EF130E05B5A82E57E748B372ACD2BF6F5CD93690A25D811911312ACCF43CBECE3AC65B12F251E5A5C6F861j1I" TargetMode = "External"/>
	<Relationship Id="rId30" Type="http://schemas.openxmlformats.org/officeDocument/2006/relationships/hyperlink" Target="consultantplus://offline/ref=7C02EF130E05B5A82E57E748B372ACD2BF6B5DDB3A90A25D811911312ACCF43CBECE3AC65B12F251E5A5C6F861j1I" TargetMode = "External"/>
	<Relationship Id="rId31" Type="http://schemas.openxmlformats.org/officeDocument/2006/relationships/hyperlink" Target="consultantplus://offline/ref=7C02EF130E05B5A82E57F85DB672ACD2BD6B5BDA3B92FF5789401D332DC3AB39B9DF3AC6580CF352F3AC92AB5729DA9BE94CD6208EE888F762j7I" TargetMode = "External"/>
	<Relationship Id="rId32" Type="http://schemas.openxmlformats.org/officeDocument/2006/relationships/hyperlink" Target="consultantplus://offline/ref=7C02EF130E05B5A82E57F85DB672ACD2BD685BDB3693FF5789401D332DC3AB39B9DF3AC6580CF352F9AC92AB5729DA9BE94CD6208EE888F762j7I" TargetMode = "External"/>
	<Relationship Id="rId33" Type="http://schemas.openxmlformats.org/officeDocument/2006/relationships/hyperlink" Target="consultantplus://offline/ref=7C02EF130E05B5A82E57F85DB672ACD2BD6B5BDA3B92FF5789401D332DC3AB39B9DF3AC6580CF352F2AC92AB5729DA9BE94CD6208EE888F762j7I" TargetMode = "External"/>
	<Relationship Id="rId34" Type="http://schemas.openxmlformats.org/officeDocument/2006/relationships/hyperlink" Target="consultantplus://offline/ref=7C02EF130E05B5A82E57F85DB672ACD2BA6F53D13A9FFF5789401D332DC3AB39B9DF3AC6580CF352F2AC92AB5729DA9BE94CD6208EE888F762j7I" TargetMode = "External"/>
	<Relationship Id="rId35" Type="http://schemas.openxmlformats.org/officeDocument/2006/relationships/hyperlink" Target="consultantplus://offline/ref=7C02EF130E05B5A82E57F85DB672ACD2BA6F53D13A9FFF5789401D332DC3AB39B9DF3AC6580CF351FBAC92AB5729DA9BE94CD6208EE888F762j7I" TargetMode = "External"/>
	<Relationship Id="rId36" Type="http://schemas.openxmlformats.org/officeDocument/2006/relationships/hyperlink" Target="consultantplus://offline/ref=7C02EF130E05B5A82E57F85DB672ACD2BD6B5AD13F93FF5789401D332DC3AB39B9DF3AC6580CF353F3AC92AB5729DA9BE94CD6208EE888F762j7I" TargetMode = "External"/>
	<Relationship Id="rId37" Type="http://schemas.openxmlformats.org/officeDocument/2006/relationships/hyperlink" Target="consultantplus://offline/ref=7C02EF130E05B5A82E57F85DB672ACD2BD6B5BDA3B92FF5789401D332DC3AB39B9DF3AC6580CF351FBAC92AB5729DA9BE94CD6208EE888F762j7I" TargetMode = "External"/>
	<Relationship Id="rId38" Type="http://schemas.openxmlformats.org/officeDocument/2006/relationships/hyperlink" Target="consultantplus://offline/ref=7C02EF130E05B5A82E57F85DB672ACD2BD6B5BDB3E99FF5789401D332DC3AB39B9DF3AC6580CF352FFAC92AB5729DA9BE94CD6208EE888F762j7I" TargetMode = "External"/>
	<Relationship Id="rId39" Type="http://schemas.openxmlformats.org/officeDocument/2006/relationships/hyperlink" Target="consultantplus://offline/ref=7C02EF130E05B5A82E57F85DB672ACD2BA6F53D13A9FFF5789401D332DC3AB39B9DF3AC6580CF351FAAC92AB5729DA9BE94CD6208EE888F762j7I" TargetMode = "External"/>
	<Relationship Id="rId40" Type="http://schemas.openxmlformats.org/officeDocument/2006/relationships/hyperlink" Target="consultantplus://offline/ref=7C02EF130E05B5A82E57F85DB672ACD2BD685FDF3A9AFF5789401D332DC3AB39B9DF3AC6580CF352FEAC92AB5729DA9BE94CD6208EE888F762j7I" TargetMode = "External"/>
	<Relationship Id="rId41" Type="http://schemas.openxmlformats.org/officeDocument/2006/relationships/hyperlink" Target="consultantplus://offline/ref=7C02EF130E05B5A82E57F85DB672ACD2BA6F53D13A9FFF5789401D332DC3AB39B9DF3AC6580CF351F9AC92AB5729DA9BE94CD6208EE888F762j7I" TargetMode = "External"/>
	<Relationship Id="rId42" Type="http://schemas.openxmlformats.org/officeDocument/2006/relationships/hyperlink" Target="consultantplus://offline/ref=7C02EF130E05B5A82E57F85DB672ACD2BF6E53D03C98FF5789401D332DC3AB39ABDF62CA590FED52F9B9C4FA1167jEI" TargetMode = "External"/>
	<Relationship Id="rId43" Type="http://schemas.openxmlformats.org/officeDocument/2006/relationships/hyperlink" Target="consultantplus://offline/ref=7C02EF130E05B5A82E57F85DB672ACD2BF6E53D03C99FF5789401D332DC3AB39B9DF3AC6580CF353F9AC92AB5729DA9BE94CD6208EE888F762j7I" TargetMode = "External"/>
	<Relationship Id="rId44" Type="http://schemas.openxmlformats.org/officeDocument/2006/relationships/hyperlink" Target="consultantplus://offline/ref=7C02EF130E05B5A82E57E748B372ACD2BC675BDB3B90A25D811911312ACCF43CBECE3AC65B12F251E5A5C6F861j1I" TargetMode = "External"/>
	<Relationship Id="rId45" Type="http://schemas.openxmlformats.org/officeDocument/2006/relationships/hyperlink" Target="consultantplus://offline/ref=7C02EF130E05B5A82E57F85DB672ACD2BD6B5BDA3B92FF5789401D332DC3AB39B9DF3AC6580CF351FAAC92AB5729DA9BE94CD6208EE888F762j7I" TargetMode = "External"/>
	<Relationship Id="rId46" Type="http://schemas.openxmlformats.org/officeDocument/2006/relationships/hyperlink" Target="consultantplus://offline/ref=7C02EF130E05B5A82E57E748B372ACD2BC6B5ADA3C90A25D811911312ACCF43CBECE3AC65B12F251E5A5C6F861j1I" TargetMode = "External"/>
	<Relationship Id="rId47" Type="http://schemas.openxmlformats.org/officeDocument/2006/relationships/hyperlink" Target="consultantplus://offline/ref=7C02EF130E05B5A82E57F85DB672ACD2BD6B5BDA3B92FF5789401D332DC3AB39B9DF3AC6580CF351F8AC92AB5729DA9BE94CD6208EE888F762j7I" TargetMode = "External"/>
	<Relationship Id="rId48" Type="http://schemas.openxmlformats.org/officeDocument/2006/relationships/hyperlink" Target="consultantplus://offline/ref=7C02EF130E05B5A82E57E748B372ACD2BC675ADB3790A25D811911312ACCF43CBECE3AC65B12F251E5A5C6F861j1I" TargetMode = "External"/>
	<Relationship Id="rId49" Type="http://schemas.openxmlformats.org/officeDocument/2006/relationships/hyperlink" Target="consultantplus://offline/ref=7C02EF130E05B5A82E57F85DB672ACD2BD6B5BDA3B92FF5789401D332DC3AB39B9DF3AC6580CF351FFAC92AB5729DA9BE94CD6208EE888F762j7I" TargetMode = "External"/>
	<Relationship Id="rId50" Type="http://schemas.openxmlformats.org/officeDocument/2006/relationships/hyperlink" Target="consultantplus://offline/ref=7C02EF130E05B5A82E57E748B372ACD2BC6A52DF3790A25D811911312ACCF43CBECE3AC65B12F251E5A5C6F861j1I" TargetMode = "External"/>
	<Relationship Id="rId51" Type="http://schemas.openxmlformats.org/officeDocument/2006/relationships/hyperlink" Target="consultantplus://offline/ref=7C02EF130E05B5A82E57F85DB672ACD2BD6B5BDA3B92FF5789401D332DC3AB39B9DF3AC6580CF351FEAC92AB5729DA9BE94CD6208EE888F762j7I" TargetMode = "External"/>
	<Relationship Id="rId52" Type="http://schemas.openxmlformats.org/officeDocument/2006/relationships/hyperlink" Target="consultantplus://offline/ref=7C02EF130E05B5A82E57E748B372ACD2BC6A53D83B90A25D811911312ACCF43CBECE3AC65B12F251E5A5C6F861j1I" TargetMode = "External"/>
	<Relationship Id="rId53" Type="http://schemas.openxmlformats.org/officeDocument/2006/relationships/hyperlink" Target="consultantplus://offline/ref=7C02EF130E05B5A82E57F85DB672ACD2BD6B5BDA3B92FF5789401D332DC3AB39B9DF3AC6580CF351FDAC92AB5729DA9BE94CD6208EE888F762j7I" TargetMode = "External"/>
	<Relationship Id="rId54" Type="http://schemas.openxmlformats.org/officeDocument/2006/relationships/hyperlink" Target="consultantplus://offline/ref=7C02EF130E05B5A82E57F85DB672ACD2BF6A5EDD3A9FFF5789401D332DC3AB39B9DF3AC6580CF353FCAC92AB5729DA9BE94CD6208EE888F762j7I" TargetMode = "External"/>
	<Relationship Id="rId55" Type="http://schemas.openxmlformats.org/officeDocument/2006/relationships/hyperlink" Target="consultantplus://offline/ref=7C02EF130E05B5A82E57F85DB672ACD2BD6B5BDA3B92FF5789401D332DC3AB39B9DF3AC6580CF351FCAC92AB5729DA9BE94CD6208EE888F762j7I" TargetMode = "External"/>
	<Relationship Id="rId56" Type="http://schemas.openxmlformats.org/officeDocument/2006/relationships/hyperlink" Target="consultantplus://offline/ref=7C02EF130E05B5A82E57F85DB672ACD2BC6F5FD93F9DFF5789401D332DC3AB39B9DF3AC6580CF352F9AC92AB5729DA9BE94CD6208EE888F762j7I" TargetMode = "External"/>
	<Relationship Id="rId57" Type="http://schemas.openxmlformats.org/officeDocument/2006/relationships/hyperlink" Target="consultantplus://offline/ref=7C02EF130E05B5A82E57F85DB672ACD2BD6B5BDA3B92FF5789401D332DC3AB39B9DF3AC6580CF351F3AC92AB5729DA9BE94CD6208EE888F762j7I" TargetMode = "External"/>
	<Relationship Id="rId58" Type="http://schemas.openxmlformats.org/officeDocument/2006/relationships/hyperlink" Target="consultantplus://offline/ref=7C02EF130E05B5A82E57F85DB672ACD2BC6F58D83D9BFF5789401D332DC3AB39B9DF3AC6580CF352FAAC92AB5729DA9BE94CD6208EE888F762j7I" TargetMode = "External"/>
	<Relationship Id="rId59" Type="http://schemas.openxmlformats.org/officeDocument/2006/relationships/hyperlink" Target="consultantplus://offline/ref=7C02EF130E05B5A82E57F85DB672ACD2BD6B5BDA3B92FF5789401D332DC3AB39B9DF3AC6580CF351F2AC92AB5729DA9BE94CD6208EE888F762j7I" TargetMode = "External"/>
	<Relationship Id="rId60" Type="http://schemas.openxmlformats.org/officeDocument/2006/relationships/hyperlink" Target="consultantplus://offline/ref=7C02EF130E05B5A82E57E748B372ACD2BF6F58DD3C90A25D811911312ACCF43CBECE3AC65B12F251E5A5C6F861j1I" TargetMode = "External"/>
	<Relationship Id="rId61" Type="http://schemas.openxmlformats.org/officeDocument/2006/relationships/hyperlink" Target="consultantplus://offline/ref=7C02EF130E05B5A82E57F85DB672ACD2BD6B5BDA3B92FF5789401D332DC3AB39B9DF3AC6580CF350FBAC92AB5729DA9BE94CD6208EE888F762j7I" TargetMode = "External"/>
	<Relationship Id="rId62" Type="http://schemas.openxmlformats.org/officeDocument/2006/relationships/hyperlink" Target="consultantplus://offline/ref=7C02EF130E05B5A82E57E748B372ACD2BF695DD13690A25D811911312ACCF43CBECE3AC65B12F251E5A5C6F861j1I" TargetMode = "External"/>
	<Relationship Id="rId63" Type="http://schemas.openxmlformats.org/officeDocument/2006/relationships/hyperlink" Target="consultantplus://offline/ref=7C02EF130E05B5A82E57F85DB672ACD2BD6B5BDA3B92FF5789401D332DC3AB39B9DF3AC6580CF350FAAC92AB5729DA9BE94CD6208EE888F762j7I" TargetMode = "External"/>
	<Relationship Id="rId64" Type="http://schemas.openxmlformats.org/officeDocument/2006/relationships/hyperlink" Target="consultantplus://offline/ref=7C02EF130E05B5A82E57E748B372ACD2BF6F5BD83690A25D811911312ACCF43CBECE3AC65B12F251E5A5C6F861j1I" TargetMode = "External"/>
	<Relationship Id="rId65" Type="http://schemas.openxmlformats.org/officeDocument/2006/relationships/hyperlink" Target="consultantplus://offline/ref=7C02EF130E05B5A82E57F85DB672ACD2BD6B5BDA3B92FF5789401D332DC3AB39B9DF3AC6580CF350F9AC92AB5729DA9BE94CD6208EE888F762j7I" TargetMode = "External"/>
	<Relationship Id="rId66" Type="http://schemas.openxmlformats.org/officeDocument/2006/relationships/hyperlink" Target="consultantplus://offline/ref=7C02EF130E05B5A82E57E748B372ACD2BC6D59DB3A90A25D811911312ACCF43CBECE3AC65B12F251E5A5C6F861j1I" TargetMode = "External"/>
	<Relationship Id="rId67" Type="http://schemas.openxmlformats.org/officeDocument/2006/relationships/hyperlink" Target="consultantplus://offline/ref=7C02EF130E05B5A82E57F85DB672ACD2BD6B5BDA3B92FF5789401D332DC3AB39B9DF3AC6580CF350F8AC92AB5729DA9BE94CD6208EE888F762j7I" TargetMode = "External"/>
	<Relationship Id="rId68" Type="http://schemas.openxmlformats.org/officeDocument/2006/relationships/hyperlink" Target="consultantplus://offline/ref=7C02EF130E05B5A82E57E748B372ACD2BF695EDE3690A25D811911312ACCF43CBECE3AC65B12F251E5A5C6F861j1I" TargetMode = "External"/>
	<Relationship Id="rId69" Type="http://schemas.openxmlformats.org/officeDocument/2006/relationships/hyperlink" Target="consultantplus://offline/ref=7C02EF130E05B5A82E57F85DB672ACD2BA6F53D13A9FFF5789401D332DC3AB39B9DF3AC6580CF352FDAC92AB5729DA9BE94CD6208EE888F762j7I" TargetMode = "External"/>
	<Relationship Id="rId70" Type="http://schemas.openxmlformats.org/officeDocument/2006/relationships/hyperlink" Target="consultantplus://offline/ref=7C02EF130E05B5A82E57E748B372ACD2BC6952DF3F90A25D811911312ACCF43CBECE3AC65B12F251E5A5C6F861j1I" TargetMode = "External"/>
	<Relationship Id="rId71" Type="http://schemas.openxmlformats.org/officeDocument/2006/relationships/hyperlink" Target="consultantplus://offline/ref=7C02EF130E05B5A82E57F85DB672ACD2BA6F53D13A9FFF5789401D332DC3AB39B9DF3AC6580CF352FCAC92AB5729DA9BE94CD6208EE888F762j7I" TargetMode = "External"/>
	<Relationship Id="rId72" Type="http://schemas.openxmlformats.org/officeDocument/2006/relationships/hyperlink" Target="consultantplus://offline/ref=7C02EF130E05B5A82E57FB48AF72ACD2B86E59D934CDA855D81513362593F129AF9636C4460DF14DF9A7C46Fj8I" TargetMode = "External"/>
	<Relationship Id="rId73" Type="http://schemas.openxmlformats.org/officeDocument/2006/relationships/hyperlink" Target="consultantplus://offline/ref=7C02EF130E05B5A82E57F85DB672ACD2BA6F53D13A9FFF5789401D332DC3AB39B9DF3AC6580CF352F3AC92AB5729DA9BE94CD6208EE888F762j7I" TargetMode = "External"/>
	<Relationship Id="rId74" Type="http://schemas.openxmlformats.org/officeDocument/2006/relationships/hyperlink" Target="consultantplus://offline/ref=7C02EF130E05B5A82E57E748B372ACD2BC665FDD3790A25D811911312ACCF43CBECE3AC65B12F251E5A5C6F861j1I" TargetMode = "External"/>
	<Relationship Id="rId75" Type="http://schemas.openxmlformats.org/officeDocument/2006/relationships/hyperlink" Target="consultantplus://offline/ref=7C02EF130E05B5A82E57F85DB672ACD2BA6F53D13A9FFF5789401D332DC3AB39B9DF3AC6580CF351F8AC92AB5729DA9BE94CD6208EE888F762j7I" TargetMode = "External"/>
	<Relationship Id="rId76" Type="http://schemas.openxmlformats.org/officeDocument/2006/relationships/hyperlink" Target="consultantplus://offline/ref=7C02EF130E05B5A82E57E748B372ACD2BC665FD93D90A25D811911312ACCF43CBECE3AC65B12F251E5A5C6F861j1I" TargetMode = "External"/>
	<Relationship Id="rId77" Type="http://schemas.openxmlformats.org/officeDocument/2006/relationships/hyperlink" Target="consultantplus://offline/ref=7C02EF130E05B5A82E57F85DB672ACD2BA6F53D13A9FFF5789401D332DC3AB39B9DF3AC6580CF351FFAC92AB5729DA9BE94CD6208EE888F762j7I" TargetMode = "External"/>
	<Relationship Id="rId78" Type="http://schemas.openxmlformats.org/officeDocument/2006/relationships/hyperlink" Target="consultantplus://offline/ref=7C02EF130E05B5A82E57E748B372ACD2BC665CDD3B90A25D811911312ACCF43CBECE3AC65B12F251E5A5C6F861j1I" TargetMode = "External"/>
	<Relationship Id="rId79" Type="http://schemas.openxmlformats.org/officeDocument/2006/relationships/hyperlink" Target="consultantplus://offline/ref=7C02EF130E05B5A82E57F85DB672ACD2BA6F53D13A9FFF5789401D332DC3AB39B9DF3AC6580CF351FEAC92AB5729DA9BE94CD6208EE888F762j7I" TargetMode = "External"/>
	<Relationship Id="rId80" Type="http://schemas.openxmlformats.org/officeDocument/2006/relationships/hyperlink" Target="consultantplus://offline/ref=7C02EF130E05B5A82E57F85DB672ACD2BD695CD83B98FF5789401D332DC3AB39B9DF3AC6580CF352F9AC92AB5729DA9BE94CD6208EE888F762j7I" TargetMode = "External"/>
	<Relationship Id="rId81" Type="http://schemas.openxmlformats.org/officeDocument/2006/relationships/hyperlink" Target="consultantplus://offline/ref=7C02EF130E05B5A82E57F85DB672ACD2BA6F53D13A9FFF5789401D332DC3AB39B9DF3AC6580CF351FDAC92AB5729DA9BE94CD6208EE888F762j7I" TargetMode = "External"/>
	<Relationship Id="rId82" Type="http://schemas.openxmlformats.org/officeDocument/2006/relationships/hyperlink" Target="consultantplus://offline/ref=7C02EF130E05B5A82E57F85DB672ACD2BD6859D93A9BFF5789401D332DC3AB39B9DF3AC6580CF352FFAC92AB5729DA9BE94CD6208EE888F762j7I" TargetMode = "External"/>
	<Relationship Id="rId83" Type="http://schemas.openxmlformats.org/officeDocument/2006/relationships/hyperlink" Target="consultantplus://offline/ref=7C02EF130E05B5A82E57F85DB672ACD2BA6F53D13A9FFF5789401D332DC3AB39B9DF3AC6580CF351FCAC92AB5729DA9BE94CD6208EE888F762j7I" TargetMode = "External"/>
	<Relationship Id="rId84" Type="http://schemas.openxmlformats.org/officeDocument/2006/relationships/hyperlink" Target="consultantplus://offline/ref=7C02EF130E05B5A82E57F85DB672ACD2BD695AD1379CFF5789401D332DC3AB39B9DF3AC6580CF352F8AC92AB5729DA9BE94CD6208EE888F762j7I" TargetMode = "External"/>
	<Relationship Id="rId85" Type="http://schemas.openxmlformats.org/officeDocument/2006/relationships/hyperlink" Target="consultantplus://offline/ref=7C02EF130E05B5A82E57F85DB672ACD2BA6F53D13A9FFF5789401D332DC3AB39B9DF3AC6580CF351F3AC92AB5729DA9BE94CD6208EE888F762j7I" TargetMode = "External"/>
	<Relationship Id="rId86" Type="http://schemas.openxmlformats.org/officeDocument/2006/relationships/hyperlink" Target="consultantplus://offline/ref=7C02EF130E05B5A82E57F85DB672ACD2BA6F53D13A9FFF5789401D332DC3AB39B9DF3AC6580CF350FBAC92AB5729DA9BE94CD6208EE888F762j7I" TargetMode = "External"/>
	<Relationship Id="rId87" Type="http://schemas.openxmlformats.org/officeDocument/2006/relationships/hyperlink" Target="consultantplus://offline/ref=7C02EF130E05B5A82E57F85DB672ACD2BA6F53D13A9FFF5789401D332DC3AB39B9DF3AC6580CF350FAAC92AB5729DA9BE94CD6208EE888F762j7I" TargetMode = "External"/>
	<Relationship Id="rId88" Type="http://schemas.openxmlformats.org/officeDocument/2006/relationships/hyperlink" Target="consultantplus://offline/ref=7C02EF130E05B5A82E57F85DB672ACD2BD6B5BDA3B92FF5789401D332DC3AB39B9DF3AC6580CF350F2AC92AB5729DA9BE94CD6208EE888F762j7I" TargetMode = "External"/>
	<Relationship Id="rId89" Type="http://schemas.openxmlformats.org/officeDocument/2006/relationships/hyperlink" Target="consultantplus://offline/ref=7C02EF130E05B5A82E57F85DB672ACD2BD6B5BDA3B92FF5789401D332DC3AB39B9DF3AC6580CF357FBAC92AB5729DA9BE94CD6208EE888F762j7I" TargetMode = "External"/>
	<Relationship Id="rId90" Type="http://schemas.openxmlformats.org/officeDocument/2006/relationships/hyperlink" Target="consultantplus://offline/ref=7C02EF130E05B5A82E57F85DB672ACD2BD6B5BDA3B92FF5789401D332DC3AB39B9DF3AC6580CF357F9AC92AB5729DA9BE94CD6208EE888F762j7I" TargetMode = "External"/>
	<Relationship Id="rId91" Type="http://schemas.openxmlformats.org/officeDocument/2006/relationships/hyperlink" Target="consultantplus://offline/ref=7C02EF130E05B5A82E57F85DB672ACD2BD6B5BDA3B92FF5789401D332DC3AB39B9DF3AC6580CF357FFAC92AB5729DA9BE94CD6208EE888F762j7I" TargetMode = "External"/>
	<Relationship Id="rId92" Type="http://schemas.openxmlformats.org/officeDocument/2006/relationships/hyperlink" Target="consultantplus://offline/ref=7C02EF130E05B5A82E57F85DB672ACD2BD6B5BDA3B92FF5789401D332DC3AB39B9DF3AC6580CF357FEAC92AB5729DA9BE94CD6208EE888F762j7I" TargetMode = "External"/>
	<Relationship Id="rId93" Type="http://schemas.openxmlformats.org/officeDocument/2006/relationships/hyperlink" Target="consultantplus://offline/ref=7C02EF130E05B5A82E57F85DB672ACD2BD6B5BDA3B92FF5789401D332DC3AB39B9DF3AC6580CF357FCAC92AB5729DA9BE94CD6208EE888F762j7I" TargetMode = "External"/>
	<Relationship Id="rId94" Type="http://schemas.openxmlformats.org/officeDocument/2006/relationships/hyperlink" Target="consultantplus://offline/ref=7C02EF130E05B5A82E57F85DB672ACD2BD6B5BDA3B92FF5789401D332DC3AB39B9DF3AC6580CF357F2AC92AB5729DA9BE94CD6208EE888F762j7I" TargetMode = "External"/>
	<Relationship Id="rId95" Type="http://schemas.openxmlformats.org/officeDocument/2006/relationships/hyperlink" Target="consultantplus://offline/ref=7C02EF130E05B5A82E57F85DB672ACD2BA6F53D13A9FFF5789401D332DC3AB39B9DF3AC6580CF350FAAC92AB5729DA9BE94CD6208EE888F762j7I" TargetMode = "External"/>
	<Relationship Id="rId96" Type="http://schemas.openxmlformats.org/officeDocument/2006/relationships/hyperlink" Target="consultantplus://offline/ref=7C02EF130E05B5A82E57F85DB672ACD2BD6B5BDA3B92FF5789401D332DC3AB39B9DF3AC6580CF357F2AC92AB5729DA9BE94CD6208EE888F762j7I" TargetMode = "External"/>
	<Relationship Id="rId97" Type="http://schemas.openxmlformats.org/officeDocument/2006/relationships/hyperlink" Target="consultantplus://offline/ref=7C02EF130E05B5A82E57F85DB672ACD2BA6F5DD03A9AFF5789401D332DC3AB39ABDF62CA590FED52F9B9C4FA1167jEI" TargetMode = "External"/>
	<Relationship Id="rId98" Type="http://schemas.openxmlformats.org/officeDocument/2006/relationships/hyperlink" Target="consultantplus://offline/ref=7C02EF130E05B5A82E57F85DB672ACD2BD6B5BDA3B92FF5789401D332DC3AB39B9DF3AC6580CF356FBAC92AB5729DA9BE94CD6208EE888F762j7I" TargetMode = "External"/>
	<Relationship Id="rId99" Type="http://schemas.openxmlformats.org/officeDocument/2006/relationships/hyperlink" Target="consultantplus://offline/ref=7C02EF130E05B5A82E57F85DB672ACD2BD6B5BDA3B92FF5789401D332DC3AB39B9DF3AC6580CF356F9AC92AB5729DA9BE94CD6208EE888F762j7I" TargetMode = "External"/>
	<Relationship Id="rId100" Type="http://schemas.openxmlformats.org/officeDocument/2006/relationships/hyperlink" Target="consultantplus://offline/ref=7C02EF130E05B5A82E57F85DB672ACD2BD6B5BDA3B92FF5789401D332DC3AB39B9DF3AC6580CF356F8AC92AB5729DA9BE94CD6208EE888F762j7I" TargetMode = "External"/>
	<Relationship Id="rId101" Type="http://schemas.openxmlformats.org/officeDocument/2006/relationships/hyperlink" Target="consultantplus://offline/ref=7C02EF130E05B5A82E57F85DB672ACD2BD6B5BDA3B92FF5789401D332DC3AB39B9DF3AC6580CF356FEAC92AB5729DA9BE94CD6208EE888F762j7I" TargetMode = "External"/>
	<Relationship Id="rId102" Type="http://schemas.openxmlformats.org/officeDocument/2006/relationships/hyperlink" Target="consultantplus://offline/ref=7C02EF130E05B5A82E57F85DB672ACD2BA6F53D13A9FFF5789401D332DC3AB39B9DF3AC6580CF350F9AC92AB5729DA9BE94CD6208EE888F762j7I" TargetMode = "External"/>
	<Relationship Id="rId103" Type="http://schemas.openxmlformats.org/officeDocument/2006/relationships/hyperlink" Target="consultantplus://offline/ref=7C02EF130E05B5A82E57F85DB672ACD2BD6B5BDA3B92FF5789401D332DC3AB39B9DF3AC6580CF356FDAC92AB5729DA9BE94CD6208EE888F762j7I" TargetMode = "External"/>
	<Relationship Id="rId104" Type="http://schemas.openxmlformats.org/officeDocument/2006/relationships/hyperlink" Target="consultantplus://offline/ref=7C02EF130E05B5A82E57F85DB672ACD2BA6F53D13A9FFF5789401D332DC3AB39B9DF3AC6580CF350FAAC92AB5729DA9BE94CD6208EE888F762j7I" TargetMode = "External"/>
	<Relationship Id="rId105" Type="http://schemas.openxmlformats.org/officeDocument/2006/relationships/hyperlink" Target="consultantplus://offline/ref=7C02EF130E05B5A82E57F85DB672ACD2BD6B5BDA3B92FF5789401D332DC3AB39B9DF3AC6580CF356F3AC92AB5729DA9BE94CD6208EE888F762j7I" TargetMode = "External"/>
	<Relationship Id="rId106" Type="http://schemas.openxmlformats.org/officeDocument/2006/relationships/hyperlink" Target="consultantplus://offline/ref=7C02EF130E05B5A82E57F85DB672ACD2BA6F53D13A9FFF5789401D332DC3AB39B9DF3AC6580CF350FAAC92AB5729DA9BE94CD6208EE888F762j7I" TargetMode = "External"/>
	<Relationship Id="rId107" Type="http://schemas.openxmlformats.org/officeDocument/2006/relationships/hyperlink" Target="consultantplus://offline/ref=7C02EF130E05B5A82E57F85DB672ACD2BD6B5BDA3B92FF5789401D332DC3AB39B9DF3AC6580CF355FBAC92AB5729DA9BE94CD6208EE888F762j7I" TargetMode = "External"/>
	<Relationship Id="rId108" Type="http://schemas.openxmlformats.org/officeDocument/2006/relationships/hyperlink" Target="consultantplus://offline/ref=7C02EF130E05B5A82E57F85DB672ACD2BA6F53D13A9FFF5789401D332DC3AB39B9DF3AC6580CF350FAAC92AB5729DA9BE94CD6208EE888F762j7I" TargetMode = "External"/>
	<Relationship Id="rId109" Type="http://schemas.openxmlformats.org/officeDocument/2006/relationships/hyperlink" Target="consultantplus://offline/ref=7C02EF130E05B5A82E57F85DB672ACD2BA6F53D13A9FFF5789401D332DC3AB39B9DF3AC6580CF350F8AC92AB5729DA9BE94CD6208EE888F762j7I" TargetMode = "External"/>
	<Relationship Id="rId110" Type="http://schemas.openxmlformats.org/officeDocument/2006/relationships/hyperlink" Target="consultantplus://offline/ref=7C02EF130E05B5A82E57F85DB672ACD2BD6B5BDA3B92FF5789401D332DC3AB39B9DF3AC6580CF355FDAC92AB5729DA9BE94CD6208EE888F762j7I" TargetMode = "External"/>
	<Relationship Id="rId111" Type="http://schemas.openxmlformats.org/officeDocument/2006/relationships/hyperlink" Target="consultantplus://offline/ref=7C02EF130E05B5A82E57F85DB672ACD2BF6B5FDA389EFF5789401D332DC3AB39B9DF3AC6580CF352FBAC92AB5729DA9BE94CD6208EE888F762j7I" TargetMode = "External"/>
	<Relationship Id="rId112" Type="http://schemas.openxmlformats.org/officeDocument/2006/relationships/hyperlink" Target="consultantplus://offline/ref=7C02EF130E05B5A82E57F85DB672ACD2BD6B5BDA3B92FF5789401D332DC3AB39B9DF3AC6580CF354FBAC92AB5729DA9BE94CD6208EE888F762j7I" TargetMode = "External"/>
	<Relationship Id="rId113" Type="http://schemas.openxmlformats.org/officeDocument/2006/relationships/hyperlink" Target="consultantplus://offline/ref=7C02EF130E05B5A82E57F85DB672ACD2BA6F53D13A9FFF5789401D332DC3AB39B9DF3AC6580CF350FFAC92AB5729DA9BE94CD6208EE888F762j7I" TargetMode = "External"/>
	<Relationship Id="rId114" Type="http://schemas.openxmlformats.org/officeDocument/2006/relationships/hyperlink" Target="consultantplus://offline/ref=7C02EF130E05B5A82E57F85DB672ACD2BC6F5FD93F9DFF5789401D332DC3AB39B9DF3AC6580CF352F9AC92AB5729DA9BE94CD6208EE888F762j7I" TargetMode = "External"/>
	<Relationship Id="rId115" Type="http://schemas.openxmlformats.org/officeDocument/2006/relationships/hyperlink" Target="consultantplus://offline/ref=7C02EF130E05B5A82E57F85DB672ACD2BA6F53D13A9FFF5789401D332DC3AB39B9DF3AC6580CF350FEAC92AB5729DA9BE94CD6208EE888F762j7I" TargetMode = "External"/>
	<Relationship Id="rId116" Type="http://schemas.openxmlformats.org/officeDocument/2006/relationships/hyperlink" Target="consultantplus://offline/ref=7C02EF130E05B5A82E57F85DB672ACD2BD6B5BDA3B92FF5789401D332DC3AB39B9DF3AC6580CF354F3AC92AB5729DA9BE94CD6208EE888F762j7I" TargetMode = "External"/>
	<Relationship Id="rId117" Type="http://schemas.openxmlformats.org/officeDocument/2006/relationships/hyperlink" Target="consultantplus://offline/ref=7C02EF130E05B5A82E57F85DB672ACD2BD6B5BDA3B92FF5789401D332DC3AB39B9DF3AC6580CF35BFFAC92AB5729DA9BE94CD6208EE888F762j7I" TargetMode = "External"/>
	<Relationship Id="rId118" Type="http://schemas.openxmlformats.org/officeDocument/2006/relationships/hyperlink" Target="consultantplus://offline/ref=7C02EF130E05B5A82E57F85DB672ACD2BD6B5BDA3B92FF5789401D332DC3AB39B9DF3AC6580CF35BFDAC92AB5729DA9BE94CD6208EE888F762j7I" TargetMode = "External"/>
	<Relationship Id="rId119" Type="http://schemas.openxmlformats.org/officeDocument/2006/relationships/hyperlink" Target="consultantplus://offline/ref=7C02EF130E05B5A82E57F85DB672ACD2BA6F53D13A9FFF5789401D332DC3AB39B9DF3AC6580CF350FCAC92AB5729DA9BE94CD6208EE888F762j7I" TargetMode = "External"/>
	<Relationship Id="rId120" Type="http://schemas.openxmlformats.org/officeDocument/2006/relationships/hyperlink" Target="consultantplus://offline/ref=7C02EF130E05B5A82E57F85DB672ACD2BA6F53D13A9FFF5789401D332DC3AB39B9DF3AC6580CF350F3AC92AB5729DA9BE94CD6208EE888F762j7I" TargetMode = "External"/>
	<Relationship Id="rId121" Type="http://schemas.openxmlformats.org/officeDocument/2006/relationships/hyperlink" Target="consultantplus://offline/ref=7C02EF130E05B5A82E57F85DB672ACD2BA6F53D13A9FFF5789401D332DC3AB39B9DF3AC6580CF357FBAC92AB5729DA9BE94CD6208EE888F762j7I" TargetMode = "External"/>
	<Relationship Id="rId122" Type="http://schemas.openxmlformats.org/officeDocument/2006/relationships/hyperlink" Target="consultantplus://offline/ref=7C02EF130E05B5A82E57F85DB672ACD2BD6B5BDA3B92FF5789401D332DC3AB39B9DF3AC6580CF35BF3AC92AB5729DA9BE94CD6208EE888F762j7I" TargetMode = "External"/>
	<Relationship Id="rId123" Type="http://schemas.openxmlformats.org/officeDocument/2006/relationships/hyperlink" Target="consultantplus://offline/ref=7C02EF130E05B5A82E57F85DB672ACD2BF6B5FDA389EFF5789401D332DC3AB39B9DF3AC6580CF352FBAC92AB5729DA9BE94CD6208EE888F762j7I" TargetMode = "External"/>
	<Relationship Id="rId124" Type="http://schemas.openxmlformats.org/officeDocument/2006/relationships/hyperlink" Target="consultantplus://offline/ref=7C02EF130E05B5A82E57F85DB672ACD2BD6B5BDA3B92FF5789401D332DC3AB39B9DF3AC6580CF35AFBAC92AB5729DA9BE94CD6208EE888F762j7I" TargetMode = "External"/>
	<Relationship Id="rId125" Type="http://schemas.openxmlformats.org/officeDocument/2006/relationships/hyperlink" Target="consultantplus://offline/ref=7C02EF130E05B5A82E57F85DB672ACD2BF6B5FDA389EFF5789401D332DC3AB39B9DF3AC6580CF352FBAC92AB5729DA9BE94CD6208EE888F762j7I" TargetMode = "External"/>
	<Relationship Id="rId126" Type="http://schemas.openxmlformats.org/officeDocument/2006/relationships/hyperlink" Target="consultantplus://offline/ref=7C02EF130E05B5A82E57F85DB672ACD2BD6B5BDA3B92FF5789401D332DC3AB39B9DF3AC6580CF35AF9AC92AB5729DA9BE94CD6208EE888F762j7I" TargetMode = "External"/>
	<Relationship Id="rId127" Type="http://schemas.openxmlformats.org/officeDocument/2006/relationships/hyperlink" Target="consultantplus://offline/ref=7C02EF130E05B5A82E57F85DB672ACD2BA6F53D13A9FFF5789401D332DC3AB39B9DF3AC6580CF357FAAC92AB5729DA9BE94CD6208EE888F762j7I" TargetMode = "External"/>
	<Relationship Id="rId128" Type="http://schemas.openxmlformats.org/officeDocument/2006/relationships/hyperlink" Target="consultantplus://offline/ref=7C02EF130E05B5A82E57F85DB672ACD2BF6B5FDA389EFF5789401D332DC3AB39B9DF3AC6580CF352FBAC92AB5729DA9BE94CD6208EE888F762j7I" TargetMode = "External"/>
	<Relationship Id="rId129" Type="http://schemas.openxmlformats.org/officeDocument/2006/relationships/hyperlink" Target="consultantplus://offline/ref=7C02EF130E05B5A82E57F85DB672ACD2BD6B5BDA3B92FF5789401D332DC3AB39B9DF3AC6580CF35AF8AC92AB5729DA9BE94CD6208EE888F762j7I" TargetMode = "External"/>
	<Relationship Id="rId130" Type="http://schemas.openxmlformats.org/officeDocument/2006/relationships/hyperlink" Target="consultantplus://offline/ref=7C02EF130E05B5A82E57F85DB672ACD2BA6F53D13A9FFF5789401D332DC3AB39B9DF3AC6580CF357FFAC92AB5729DA9BE94CD6208EE888F762j7I" TargetMode = "External"/>
	<Relationship Id="rId131" Type="http://schemas.openxmlformats.org/officeDocument/2006/relationships/hyperlink" Target="consultantplus://offline/ref=7C02EF130E05B5A82E57F85DB672ACD2BC6F5FD93F9DFF5789401D332DC3AB39B9DF3AC6580CF352F9AC92AB5729DA9BE94CD6208EE888F762j7I" TargetMode = "External"/>
	<Relationship Id="rId132" Type="http://schemas.openxmlformats.org/officeDocument/2006/relationships/hyperlink" Target="consultantplus://offline/ref=7C02EF130E05B5A82E57F85DB672ACD2BA6F53D13A9FFF5789401D332DC3AB39B9DF3AC6580CF357FDAC92AB5729DA9BE94CD6208EE888F762j7I" TargetMode = "External"/>
	<Relationship Id="rId133" Type="http://schemas.openxmlformats.org/officeDocument/2006/relationships/hyperlink" Target="consultantplus://offline/ref=7C02EF130E05B5A82E57F85DB672ACD2BA6F53D13A9FFF5789401D332DC3AB39B9DF3AC6580CF357F3AC92AB5729DA9BE94CD6208EE888F762j7I" TargetMode = "External"/>
	<Relationship Id="rId134" Type="http://schemas.openxmlformats.org/officeDocument/2006/relationships/hyperlink" Target="consultantplus://offline/ref=7C02EF130E05B5A82E57F85DB672ACD2BA6F53D13A9FFF5789401D332DC3AB39B9DF3AC6580CF357F2AC92AB5729DA9BE94CD6208EE888F762j7I" TargetMode = "External"/>
	<Relationship Id="rId135" Type="http://schemas.openxmlformats.org/officeDocument/2006/relationships/hyperlink" Target="consultantplus://offline/ref=7C02EF130E05B5A82E57F85DB672ACD2BD6B5BDA3B92FF5789401D332DC3AB39B9DF3AC6580CF253F9AC92AB5729DA9BE94CD6208EE888F762j7I" TargetMode = "External"/>
	<Relationship Id="rId136" Type="http://schemas.openxmlformats.org/officeDocument/2006/relationships/hyperlink" Target="consultantplus://offline/ref=7C02EF130E05B5A82E57F85DB672ACD2BA6F53D13A9FFF5789401D332DC3AB39B9DF3AC6580CF356FBAC92AB5729DA9BE94CD6208EE888F762j7I" TargetMode = "External"/>
	<Relationship Id="rId137" Type="http://schemas.openxmlformats.org/officeDocument/2006/relationships/hyperlink" Target="consultantplus://offline/ref=7C02EF130E05B5A82E57F85DB672ACD2BA6F53D13A9FFF5789401D332DC3AB39B9DF3AC6580CF356F9AC92AB5729DA9BE94CD6208EE888F762j7I" TargetMode = "External"/>
	<Relationship Id="rId138" Type="http://schemas.openxmlformats.org/officeDocument/2006/relationships/hyperlink" Target="consultantplus://offline/ref=7C02EF130E05B5A82E57F85DB672ACD2BD6B5BDA3B92FF5789401D332DC3AB39B9DF3AC6580CF253F2AC92AB5729DA9BE94CD6208EE888F762j7I" TargetMode = "External"/>
	<Relationship Id="rId139" Type="http://schemas.openxmlformats.org/officeDocument/2006/relationships/hyperlink" Target="consultantplus://offline/ref=7C02EF130E05B5A82E57F85DB672ACD2BD6B5BDA3B92FF5789401D332DC3AB39B9DF3AC6580CF252FFAC92AB5729DA9BE94CD6208EE888F762j7I" TargetMode = "External"/>
	<Relationship Id="rId140" Type="http://schemas.openxmlformats.org/officeDocument/2006/relationships/hyperlink" Target="consultantplus://offline/ref=7C02EF130E05B5A82E57F85DB672ACD2BA6F53D13A9FFF5789401D332DC3AB39B9DF3AC6580CF356F8AC92AB5729DA9BE94CD6208EE888F762j7I" TargetMode = "External"/>
	<Relationship Id="rId141" Type="http://schemas.openxmlformats.org/officeDocument/2006/relationships/hyperlink" Target="consultantplus://offline/ref=7C02EF130E05B5A82E57F85DB672ACD2BD6B5BDA3B92FF5789401D332DC3AB39B9DF3AC6580CF252FDAC92AB5729DA9BE94CD6208EE888F762j7I" TargetMode = "External"/>
	<Relationship Id="rId142" Type="http://schemas.openxmlformats.org/officeDocument/2006/relationships/hyperlink" Target="consultantplus://offline/ref=7C02EF130E05B5A82E57F85DB672ACD2BF6E53D0369FFF5789401D332DC3AB39ABDF62CA590FED52F9B9C4FA1167jEI" TargetMode = "External"/>
	<Relationship Id="rId143" Type="http://schemas.openxmlformats.org/officeDocument/2006/relationships/hyperlink" Target="consultantplus://offline/ref=7C02EF130E05B5A82E57F85DB672ACD2BD6B5BDA3B92FF5789401D332DC3AB39B9DF3AC6580CF252FCAC92AB5729DA9BE94CD6208EE888F762j7I" TargetMode = "External"/>
	<Relationship Id="rId144" Type="http://schemas.openxmlformats.org/officeDocument/2006/relationships/hyperlink" Target="consultantplus://offline/ref=7C02EF130E05B5A82E57F85DB672ACD2BA6F53D13A9FFF5789401D332DC3AB39B9DF3AC6580CF356FFAC92AB5729DA9BE94CD6208EE888F762j7I" TargetMode = "External"/>
	<Relationship Id="rId145" Type="http://schemas.openxmlformats.org/officeDocument/2006/relationships/hyperlink" Target="consultantplus://offline/ref=7C02EF130E05B5A82E57F85DB672ACD2BF6B5FDA389EFF5789401D332DC3AB39B9DF3AC6580CF25AF8AC92AB5729DA9BE94CD6208EE888F762j7I" TargetMode = "External"/>
	<Relationship Id="rId146" Type="http://schemas.openxmlformats.org/officeDocument/2006/relationships/hyperlink" Target="consultantplus://offline/ref=7C02EF130E05B5A82E57F85DB672ACD2BF6B5FDA389EFF5789401D332DC3AB39B9DF3AC6580CF353F2AC92AB5729DA9BE94CD6208EE888F762j7I" TargetMode = "External"/>
	<Relationship Id="rId147" Type="http://schemas.openxmlformats.org/officeDocument/2006/relationships/hyperlink" Target="consultantplus://offline/ref=7C02EF130E05B5A82E57F85DB672ACD2BF6E53D0369FFF5789401D332DC3AB39ABDF62CA590FED52F9B9C4FA1167jEI" TargetMode = "External"/>
	<Relationship Id="rId148" Type="http://schemas.openxmlformats.org/officeDocument/2006/relationships/hyperlink" Target="consultantplus://offline/ref=7C02EF130E05B5A82E57F85DB672ACD2BD6B5BDA3B92FF5789401D332DC3AB39B9DF3AC6580CF251FEAC92AB5729DA9BE94CD6208EE888F762j7I" TargetMode = "External"/>
	<Relationship Id="rId149" Type="http://schemas.openxmlformats.org/officeDocument/2006/relationships/hyperlink" Target="consultantplus://offline/ref=7C02EF130E05B5A82E57F85DB672ACD2BF6B5FDA389EFF5789401D332DC3AB39B9DF3AC6580CF352FBAC92AB5729DA9BE94CD6208EE888F762j7I" TargetMode = "External"/>
	<Relationship Id="rId150" Type="http://schemas.openxmlformats.org/officeDocument/2006/relationships/hyperlink" Target="consultantplus://offline/ref=7C02EF130E05B5A82E57E748B372ACD2BC675BDB3B90A25D811911312ACCF43CBECE3AC65B12F251E5A5C6F861j1I" TargetMode = "External"/>
	<Relationship Id="rId151" Type="http://schemas.openxmlformats.org/officeDocument/2006/relationships/hyperlink" Target="consultantplus://offline/ref=7C02EF130E05B5A82E57F85DB672ACD2BD6B5BDA3B92FF5789401D332DC3AB39B9DF3AC6580CF251F2AC92AB5729DA9BE94CD6208EE888F762j7I" TargetMode = "External"/>
	<Relationship Id="rId152" Type="http://schemas.openxmlformats.org/officeDocument/2006/relationships/hyperlink" Target="consultantplus://offline/ref=7C02EF130E05B5A82E57F85DB672ACD2BF6E53D03C99FF5789401D332DC3AB39B9DF3AC6580CF353F8AC92AB5729DA9BE94CD6208EE888F762j7I" TargetMode = "External"/>
	<Relationship Id="rId153" Type="http://schemas.openxmlformats.org/officeDocument/2006/relationships/hyperlink" Target="consultantplus://offline/ref=7C02EF130E05B5A82E57F85DB672ACD2BA6F53D13A9FFF5789401D332DC3AB39B9DF3AC6580CF356FEAC92AB5729DA9BE94CD6208EE888F762j7I" TargetMode = "External"/>
	<Relationship Id="rId154" Type="http://schemas.openxmlformats.org/officeDocument/2006/relationships/hyperlink" Target="consultantplus://offline/ref=7C02EF130E05B5A82E57F85DB672ACD2BA6F53D13A9FFF5789401D332DC3AB39B9DF3AC6580CF356FCAC92AB5729DA9BE94CD6208EE888F762j7I" TargetMode = "External"/>
	<Relationship Id="rId155" Type="http://schemas.openxmlformats.org/officeDocument/2006/relationships/hyperlink" Target="consultantplus://offline/ref=7C02EF130E05B5A82E57F85DB672ACD2BA6F53D13A9FFF5789401D332DC3AB39B9DF3AC6580CF356F2AC92AB5729DA9BE94CD6208EE888F762j7I" TargetMode = "External"/>
	<Relationship Id="rId156" Type="http://schemas.openxmlformats.org/officeDocument/2006/relationships/hyperlink" Target="consultantplus://offline/ref=7C02EF130E05B5A82E57F85DB672ACD2BD6B5BDA3B92FF5789401D332DC3AB39B9DF3AC6580CF250F9AC92AB5729DA9BE94CD6208EE888F762j7I" TargetMode = "External"/>
	<Relationship Id="rId157" Type="http://schemas.openxmlformats.org/officeDocument/2006/relationships/hyperlink" Target="consultantplus://offline/ref=7C02EF130E05B5A82E57F85DB672ACD2BD6B5BDA3B92FF5789401D332DC3AB39B9DF3AC6580CF257FBAC92AB5729DA9BE94CD6208EE888F762j7I" TargetMode = "External"/>
	<Relationship Id="rId158" Type="http://schemas.openxmlformats.org/officeDocument/2006/relationships/hyperlink" Target="consultantplus://offline/ref=7C02EF130E05B5A82E57F85DB672ACD2BA6F53D13A9FFF5789401D332DC3AB39B9DF3AC6580CF355FAAC92AB5729DA9BE94CD6208EE888F762j7I" TargetMode = "External"/>
	<Relationship Id="rId159" Type="http://schemas.openxmlformats.org/officeDocument/2006/relationships/hyperlink" Target="consultantplus://offline/ref=7C02EF130E05B5A82E57F85DB672ACD2BA6F53D13A9FFF5789401D332DC3AB39B9DF3AC6580CF355FBAC92AB5729DA9BE94CD6208EE888F762j7I" TargetMode = "External"/>
	<Relationship Id="rId160" Type="http://schemas.openxmlformats.org/officeDocument/2006/relationships/hyperlink" Target="consultantplus://offline/ref=7C02EF130E05B5A82E57F85DB672ACD2BA6F53D13A9FFF5789401D332DC3AB39B9DF3AC6580CF355F9AC92AB5729DA9BE94CD6208EE888F762j7I" TargetMode = "External"/>
	<Relationship Id="rId161" Type="http://schemas.openxmlformats.org/officeDocument/2006/relationships/hyperlink" Target="consultantplus://offline/ref=7C02EF130E05B5A82E57F85DB672ACD2BA6F53D13A9FFF5789401D332DC3AB39B9DF3AC6580CF355F8AC92AB5729DA9BE94CD6208EE888F762j7I" TargetMode = "External"/>
	<Relationship Id="rId162" Type="http://schemas.openxmlformats.org/officeDocument/2006/relationships/hyperlink" Target="consultantplus://offline/ref=7C02EF130E05B5A82E57F85DB672ACD2BD6B5BDA3B92FF5789401D332DC3AB39B9DF3AC6580CF257FEAC92AB5729DA9BE94CD6208EE888F762j7I" TargetMode = "External"/>
	<Relationship Id="rId163" Type="http://schemas.openxmlformats.org/officeDocument/2006/relationships/hyperlink" Target="consultantplus://offline/ref=7C02EF130E05B5A82E57F85DB672ACD2BD6B5BDA3B92FF5789401D332DC3AB39B9DF3AC6580CF256FAAC92AB5729DA9BE94CD6208EE888F762j7I" TargetMode = "External"/>
	<Relationship Id="rId164" Type="http://schemas.openxmlformats.org/officeDocument/2006/relationships/hyperlink" Target="consultantplus://offline/ref=7C02EF130E05B5A82E57F85DB672ACD2BD6B5BDA3B92FF5789401D332DC3AB39B9DF3AC6580CF256FDAC92AB5729DA9BE94CD6208EE888F762j7I" TargetMode = "External"/>
	<Relationship Id="rId165" Type="http://schemas.openxmlformats.org/officeDocument/2006/relationships/hyperlink" Target="consultantplus://offline/ref=7C02EF130E05B5A82E57F85DB672ACD2BA6F53D13A9FFF5789401D332DC3AB39B9DF3AC6580CF355FFAC92AB5729DA9BE94CD6208EE888F762j7I" TargetMode = "External"/>
	<Relationship Id="rId166" Type="http://schemas.openxmlformats.org/officeDocument/2006/relationships/hyperlink" Target="consultantplus://offline/ref=7C02EF130E05B5A82E57F85DB672ACD2BD6B5BDA3B92FF5789401D332DC3AB39B9DF3AC6580CF256FCAC92AB5729DA9BE94CD6208EE888F762j7I" TargetMode = "External"/>
	<Relationship Id="rId167" Type="http://schemas.openxmlformats.org/officeDocument/2006/relationships/hyperlink" Target="consultantplus://offline/ref=7C02EF130E05B5A82E57F85DB672ACD2BD6B5BDA3B92FF5789401D332DC3AB39B9DF3AC6580CF255FAAC92AB5729DA9BE94CD6208EE888F762j7I" TargetMode = "External"/>
	<Relationship Id="rId168" Type="http://schemas.openxmlformats.org/officeDocument/2006/relationships/hyperlink" Target="consultantplus://offline/ref=7C02EF130E05B5A82E57F85DB672ACD2BD6B5BDA3B92FF5789401D332DC3AB39B9DF3AC6580CF255FEAC92AB5729DA9BE94CD6208EE888F762j7I" TargetMode = "External"/>
	<Relationship Id="rId169" Type="http://schemas.openxmlformats.org/officeDocument/2006/relationships/hyperlink" Target="consultantplus://offline/ref=7C02EF130E05B5A82E57F85DB672ACD2BD6B5BDA3B92FF5789401D332DC3AB39B9DF3AC6580CF255FCAC92AB5729DA9BE94CD6208EE888F762j7I" TargetMode = "External"/>
	<Relationship Id="rId170" Type="http://schemas.openxmlformats.org/officeDocument/2006/relationships/hyperlink" Target="consultantplus://offline/ref=7C02EF130E05B5A82E57F85DB672ACD2BD6B5BDA3B92FF5789401D332DC3AB39B9DF3AC6580CF255F3AC92AB5729DA9BE94CD6208EE888F762j7I" TargetMode = "External"/>
	<Relationship Id="rId171" Type="http://schemas.openxmlformats.org/officeDocument/2006/relationships/hyperlink" Target="consultantplus://offline/ref=7C02EF130E05B5A82E57E748B372ACD2BF6A5ADE3F90A25D811911312ACCF43CBECE3AC65B12F251E5A5C6F861j1I" TargetMode = "External"/>
	<Relationship Id="rId172" Type="http://schemas.openxmlformats.org/officeDocument/2006/relationships/hyperlink" Target="consultantplus://offline/ref=7C02EF130E05B5A82E57F85DB672ACD2BA6F53D13A9FFF5789401D332DC3AB39B9DF3AC6580CF355FDAC92AB5729DA9BE94CD6208EE888F762j7I" TargetMode = "External"/>
	<Relationship Id="rId173" Type="http://schemas.openxmlformats.org/officeDocument/2006/relationships/hyperlink" Target="consultantplus://offline/ref=7C02EF130E05B5A82E57F85DB672ACD2BA6F53D13A9FFF5789401D332DC3AB39B9DF3AC6580CF354FCAC92AB5729DA9BE94CD6208EE888F762j7I" TargetMode = "External"/>
	<Relationship Id="rId174" Type="http://schemas.openxmlformats.org/officeDocument/2006/relationships/hyperlink" Target="consultantplus://offline/ref=7C02EF130E05B5A82E57F85DB672ACD2BA6F53D13A9FFF5789401D332DC3AB39B9DF3AC6580CF354F3AC92AB5729DA9BE94CD6208EE888F762j7I" TargetMode = "External"/>
	<Relationship Id="rId175" Type="http://schemas.openxmlformats.org/officeDocument/2006/relationships/hyperlink" Target="consultantplus://offline/ref=7C02EF130E05B5A82E57E748B372ACD2BC6B5ADA3C90A25D811911312ACCF43CBECE3AC65B12F251E5A5C6F861j1I" TargetMode = "External"/>
	<Relationship Id="rId176" Type="http://schemas.openxmlformats.org/officeDocument/2006/relationships/hyperlink" Target="consultantplus://offline/ref=7C02EF130E05B5A82E57F85DB672ACD2BA6F53D13A9FFF5789401D332DC3AB39B9DF3AC6580CF354F2AC92AB5729DA9BE94CD6208EE888F762j7I" TargetMode = "External"/>
	<Relationship Id="rId177" Type="http://schemas.openxmlformats.org/officeDocument/2006/relationships/hyperlink" Target="consultantplus://offline/ref=7C02EF130E05B5A82E57F85DB672ACD2BD6B5BDA3B92FF5789401D332DC3AB39B9DF3AC6580CF254FAAC92AB5729DA9BE94CD6208EE888F762j7I" TargetMode = "External"/>
	<Relationship Id="rId178" Type="http://schemas.openxmlformats.org/officeDocument/2006/relationships/hyperlink" Target="consultantplus://offline/ref=7C02EF130E05B5A82E57F85DB672ACD2BA6F53D13A9FFF5789401D332DC3AB39B9DF3AC6580CF35BF9AC92AB5729DA9BE94CD6208EE888F762j7I" TargetMode = "External"/>
	<Relationship Id="rId179" Type="http://schemas.openxmlformats.org/officeDocument/2006/relationships/hyperlink" Target="consultantplus://offline/ref=7C02EF130E05B5A82E57F85DB672ACD2BA6F53D13A9FFF5789401D332DC3AB39B9DF3AC6580CF35BFFAC92AB5729DA9BE94CD6208EE888F762j7I" TargetMode = "External"/>
	<Relationship Id="rId180" Type="http://schemas.openxmlformats.org/officeDocument/2006/relationships/hyperlink" Target="consultantplus://offline/ref=7C02EF130E05B5A82E57F85DB672ACD2BA6F53D13A9FFF5789401D332DC3AB39B9DF3AC6580CF35BFDAC92AB5729DA9BE94CD6208EE888F762j7I" TargetMode = "External"/>
	<Relationship Id="rId181" Type="http://schemas.openxmlformats.org/officeDocument/2006/relationships/hyperlink" Target="consultantplus://offline/ref=7C02EF130E05B5A82E57F85DB672ACD2BD6B5BDA3B92FF5789401D332DC3AB39B9DF3AC6580CF254F2AC92AB5729DA9BE94CD6208EE888F762j7I" TargetMode = "External"/>
	<Relationship Id="rId182" Type="http://schemas.openxmlformats.org/officeDocument/2006/relationships/hyperlink" Target="consultantplus://offline/ref=7C02EF130E05B5A82E57F85DB672ACD2BF6E53D03698FF5789401D332DC3AB39ABDF62CA590FED52F9B9C4FA1167jEI" TargetMode = "External"/>
	<Relationship Id="rId183" Type="http://schemas.openxmlformats.org/officeDocument/2006/relationships/hyperlink" Target="consultantplus://offline/ref=7C02EF130E05B5A82E57F85DB672ACD2BD6B5BDA3B92FF5789401D332DC3AB39B9DF3AC6580CF25BF8AC92AB5729DA9BE94CD6208EE888F762j7I" TargetMode = "External"/>
	<Relationship Id="rId184" Type="http://schemas.openxmlformats.org/officeDocument/2006/relationships/hyperlink" Target="consultantplus://offline/ref=7C02EF130E05B5A82E57F85DB672ACD2BF6E53D03698FF5789401D332DC3AB39ABDF62CA590FED52F9B9C4FA1167jEI" TargetMode = "External"/>
	<Relationship Id="rId185" Type="http://schemas.openxmlformats.org/officeDocument/2006/relationships/hyperlink" Target="consultantplus://offline/ref=7C02EF130E05B5A82E57F85DB672ACD2BD6B5BDA3B92FF5789401D332DC3AB39B9DF3AC6580CF25BFFAC92AB5729DA9BE94CD6208EE888F762j7I" TargetMode = "External"/>
	<Relationship Id="rId186" Type="http://schemas.openxmlformats.org/officeDocument/2006/relationships/hyperlink" Target="consultantplus://offline/ref=7C02EF130E05B5A82E57F85DB672ACD2BD6B5BDA3B92FF5789401D332DC3AB39B9DF3AC6580CF25BFEAC92AB5729DA9BE94CD6208EE888F762j7I" TargetMode = "External"/>
	<Relationship Id="rId187" Type="http://schemas.openxmlformats.org/officeDocument/2006/relationships/hyperlink" Target="consultantplus://offline/ref=7C02EF130E05B5A82E57F85DB672ACD2BD6B5BDA3B92FF5789401D332DC3AB39B9DF3AC6580CF25BFCAC92AB5729DA9BE94CD6208EE888F762j7I" TargetMode = "External"/>
	<Relationship Id="rId188" Type="http://schemas.openxmlformats.org/officeDocument/2006/relationships/hyperlink" Target="consultantplus://offline/ref=7C02EF130E05B5A82E57F85DB672ACD2BA6F53D13A9FFF5789401D332DC3AB39B9DF3AC6580CF35BFCAC92AB5729DA9BE94CD6208EE888F762j7I" TargetMode = "External"/>
	<Relationship Id="rId189" Type="http://schemas.openxmlformats.org/officeDocument/2006/relationships/hyperlink" Target="consultantplus://offline/ref=7C02EF130E05B5A82E57F85DB672ACD2BD6B5BDA3B92FF5789401D332DC3AB39B9DF3AC6580CF25AFBAC92AB5729DA9BE94CD6208EE888F762j7I" TargetMode = "External"/>
	<Relationship Id="rId190" Type="http://schemas.openxmlformats.org/officeDocument/2006/relationships/hyperlink" Target="consultantplus://offline/ref=7C02EF130E05B5A82E57F85DB672ACD2BD6B5BDA3B92FF5789401D332DC3AB39B9DF3AC6580CF25AFAAC92AB5729DA9BE94CD6208EE888F762j7I" TargetMode = "External"/>
	<Relationship Id="rId191" Type="http://schemas.openxmlformats.org/officeDocument/2006/relationships/hyperlink" Target="consultantplus://offline/ref=7C02EF130E05B5A82E57F85DB672ACD2BD6B5BDA3B92FF5789401D332DC3AB39B9DF3AC6580CF25AF8AC92AB5729DA9BE94CD6208EE888F762j7I" TargetMode = "External"/>
	<Relationship Id="rId192" Type="http://schemas.openxmlformats.org/officeDocument/2006/relationships/hyperlink" Target="consultantplus://offline/ref=7C02EF130E05B5A82E57F85DB672ACD2BD6B5BDA3B92FF5789401D332DC3AB39B9DF3AC6580CF25AFEAC92AB5729DA9BE94CD6208EE888F762j7I" TargetMode = "External"/>
	<Relationship Id="rId193" Type="http://schemas.openxmlformats.org/officeDocument/2006/relationships/hyperlink" Target="consultantplus://offline/ref=7C02EF130E05B5A82E57F85DB672ACD2BD6B5BDA3B92FF5789401D332DC3AB39B9DF3AC6580CF25AFCAC92AB5729DA9BE94CD6208EE888F762j7I" TargetMode = "External"/>
	<Relationship Id="rId194" Type="http://schemas.openxmlformats.org/officeDocument/2006/relationships/hyperlink" Target="consultantplus://offline/ref=7C02EF130E05B5A82E57F85DB672ACD2BD6B5BDA3B92FF5789401D332DC3AB39B9DF3AC6580CF153FBAC92AB5729DA9BE94CD6208EE888F762j7I" TargetMode = "External"/>
	<Relationship Id="rId195" Type="http://schemas.openxmlformats.org/officeDocument/2006/relationships/hyperlink" Target="consultantplus://offline/ref=7C02EF130E05B5A82E57F85DB672ACD2BD6B5BDA3B92FF5789401D332DC3AB39B9DF3AC6580CF153FAAC92AB5729DA9BE94CD6208EE888F762j7I" TargetMode = "External"/>
	<Relationship Id="rId196" Type="http://schemas.openxmlformats.org/officeDocument/2006/relationships/hyperlink" Target="consultantplus://offline/ref=7C02EF130E05B5A82E57F85DB672ACD2BD6B5BDA3B92FF5789401D332DC3AB39B9DF3AC6580CF153F9AC92AB5729DA9BE94CD6208EE888F762j7I" TargetMode = "External"/>
	<Relationship Id="rId197" Type="http://schemas.openxmlformats.org/officeDocument/2006/relationships/hyperlink" Target="consultantplus://offline/ref=7C02EF130E05B5A82E57F85DB672ACD2BA6F53D13A9FFF5789401D332DC3AB39B9DF3AC6580CF35AFBAC92AB5729DA9BE94CD6208EE888F762j7I" TargetMode = "External"/>
	<Relationship Id="rId198" Type="http://schemas.openxmlformats.org/officeDocument/2006/relationships/hyperlink" Target="consultantplus://offline/ref=7C02EF130E05B5A82E57F85DB672ACD2BA6F53D13A9FFF5789401D332DC3AB39B9DF3AC6580CF35AFAAC92AB5729DA9BE94CD6208EE888F762j7I" TargetMode = "External"/>
	<Relationship Id="rId199" Type="http://schemas.openxmlformats.org/officeDocument/2006/relationships/hyperlink" Target="consultantplus://offline/ref=7C02EF130E05B5A82E57F85DB672ACD2BA6F53D13A9FFF5789401D332DC3AB39B9DF3AC6580CF35AF9AC92AB5729DA9BE94CD6208EE888F762j7I" TargetMode = "External"/>
	<Relationship Id="rId200" Type="http://schemas.openxmlformats.org/officeDocument/2006/relationships/hyperlink" Target="consultantplus://offline/ref=7C02EF130E05B5A82E57F85DB672ACD2BA6F53D13A9FFF5789401D332DC3AB39B9DF3AC6580CF35AFFAC92AB5729DA9BE94CD6208EE888F762j7I" TargetMode = "External"/>
	<Relationship Id="rId201" Type="http://schemas.openxmlformats.org/officeDocument/2006/relationships/hyperlink" Target="consultantplus://offline/ref=7C02EF130E05B5A82E57F85DB672ACD2BD6B5BDA3B92FF5789401D332DC3AB39B9DF3AC6580CF153F8AC92AB5729DA9BE94CD6208EE888F762j7I" TargetMode = "External"/>
	<Relationship Id="rId202" Type="http://schemas.openxmlformats.org/officeDocument/2006/relationships/hyperlink" Target="consultantplus://offline/ref=7C02EF130E05B5A82E57F85DB672ACD2BC6F58D83D9BFF5789401D332DC3AB39B9DF3AC6580CF352FAAC92AB5729DA9BE94CD6208EE888F762j7I" TargetMode = "External"/>
	<Relationship Id="rId203" Type="http://schemas.openxmlformats.org/officeDocument/2006/relationships/hyperlink" Target="consultantplus://offline/ref=7C02EF130E05B5A82E57F85DB672ACD2BD6B5BDA3B92FF5789401D332DC3AB39B9DF3AC6580CF153F3AC92AB5729DA9BE94CD6208EE888F762j7I" TargetMode = "External"/>
	<Relationship Id="rId204" Type="http://schemas.openxmlformats.org/officeDocument/2006/relationships/hyperlink" Target="consultantplus://offline/ref=7C02EF130E05B5A82E57F85DB672ACD2BA6F53D13A9FFF5789401D332DC3AB39B9DF3AC6580CF35AFEAC92AB5729DA9BE94CD6208EE888F762j7I" TargetMode = "External"/>
	<Relationship Id="rId205" Type="http://schemas.openxmlformats.org/officeDocument/2006/relationships/hyperlink" Target="consultantplus://offline/ref=7C02EF130E05B5A82E57F85DB672ACD2BD6B5BDA3B92FF5789401D332DC3AB39B9DF3AC6580CF152FBAC92AB5729DA9BE94CD6208EE888F762j7I" TargetMode = "External"/>
	<Relationship Id="rId206" Type="http://schemas.openxmlformats.org/officeDocument/2006/relationships/hyperlink" Target="consultantplus://offline/ref=7C02EF130E05B5A82E57F85DB672ACD2BD6B5BDA3B92FF5789401D332DC3AB39B9DF3AC6580CF152F9AC92AB5729DA9BE94CD6208EE888F762j7I" TargetMode = "External"/>
	<Relationship Id="rId207" Type="http://schemas.openxmlformats.org/officeDocument/2006/relationships/hyperlink" Target="consultantplus://offline/ref=7C02EF130E05B5A82E57F85DB672ACD2BD6B5BDA3B92FF5789401D332DC3AB39B9DF3AC6580CF152F8AC92AB5729DA9BE94CD6208EE888F762j7I" TargetMode = "External"/>
	<Relationship Id="rId208" Type="http://schemas.openxmlformats.org/officeDocument/2006/relationships/hyperlink" Target="consultantplus://offline/ref=7C02EF130E05B5A82E57F85DB672ACD2BD6B5BDA3B92FF5789401D332DC3AB39B9DF3AC6580CF152FCAC92AB5729DA9BE94CD6208EE888F762j7I" TargetMode = "External"/>
	<Relationship Id="rId209" Type="http://schemas.openxmlformats.org/officeDocument/2006/relationships/hyperlink" Target="consultantplus://offline/ref=7C02EF130E05B5A82E57F85DB672ACD2BD6B5BDA3B92FF5789401D332DC3AB39B9DF3AC6580CF152F3AC92AB5729DA9BE94CD6208EE888F762j7I" TargetMode = "External"/>
	<Relationship Id="rId210" Type="http://schemas.openxmlformats.org/officeDocument/2006/relationships/hyperlink" Target="consultantplus://offline/ref=7C02EF130E05B5A82E57F85DB672ACD2BA6F53D13A9FFF5789401D332DC3AB39B9DF3AC6580CF35AFDAC92AB5729DA9BE94CD6208EE888F762j7I" TargetMode = "External"/>
	<Relationship Id="rId211" Type="http://schemas.openxmlformats.org/officeDocument/2006/relationships/hyperlink" Target="consultantplus://offline/ref=7C02EF130E05B5A82E57F85DB672ACD2BA6F53D13A9FFF5789401D332DC3AB39B9DF3AC6580CF35AFCAC92AB5729DA9BE94CD6208EE888F762j7I" TargetMode = "External"/>
	<Relationship Id="rId212" Type="http://schemas.openxmlformats.org/officeDocument/2006/relationships/header" Target="header2.xml"/>
	<Relationship Id="rId213" Type="http://schemas.openxmlformats.org/officeDocument/2006/relationships/footer" Target="footer2.xml"/>
	<Relationship Id="rId214" Type="http://schemas.openxmlformats.org/officeDocument/2006/relationships/hyperlink" Target="consultantplus://offline/ref=7C02EF130E05B5A82E57F85DB672ACD2BD6B5BDA3B92FF5789401D332DC3AB39B9DF3AC6580CF151F9AC92AB5729DA9BE94CD6208EE888F762j7I" TargetMode = "External"/>
	<Relationship Id="rId215" Type="http://schemas.openxmlformats.org/officeDocument/2006/relationships/hyperlink" Target="consultantplus://offline/ref=7C02EF130E05B5A82E57F85DB672ACD2BF6B5FDA389EFF5789401D332DC3AB39B9DF3AC6580CF352FBAC92AB5729DA9BE94CD6208EE888F762j7I" TargetMode = "External"/>
	<Relationship Id="rId216" Type="http://schemas.openxmlformats.org/officeDocument/2006/relationships/hyperlink" Target="consultantplus://offline/ref=7C02EF130E05B5A82E57F85DB672ACD2BD6B5BDA3B92FF5789401D332DC3AB39B9DF3AC6580CF151FFAC92AB5729DA9BE94CD6208EE888F762j7I" TargetMode = "External"/>
	<Relationship Id="rId217" Type="http://schemas.openxmlformats.org/officeDocument/2006/relationships/hyperlink" Target="consultantplus://offline/ref=7C02EF130E05B5A82E57F85DB672ACD2BD6B5BDA3B92FF5789401D332DC3AB39B9DF3AC6580CF151FDAC92AB5729DA9BE94CD6208EE888F762j7I" TargetMode = "External"/>
	<Relationship Id="rId218" Type="http://schemas.openxmlformats.org/officeDocument/2006/relationships/hyperlink" Target="consultantplus://offline/ref=7C02EF130E05B5A82E57F85DB672ACD2BA6F53D13A9FFF5789401D332DC3AB39B9DF3AC6580CF35AF3AC92AB5729DA9BE94CD6208EE888F762j7I" TargetMode = "External"/>
	<Relationship Id="rId219" Type="http://schemas.openxmlformats.org/officeDocument/2006/relationships/hyperlink" Target="consultantplus://offline/ref=7C02EF130E05B5A82E57F85DB672ACD2BA6F53D13A9FFF5789401D332DC3AB39B9DF3AC6580CF35AF2AC92AB5729DA9BE94CD6208EE888F762j7I" TargetMode = "External"/>
	<Relationship Id="rId220" Type="http://schemas.openxmlformats.org/officeDocument/2006/relationships/hyperlink" Target="consultantplus://offline/ref=7C02EF130E05B5A82E57F85DB672ACD2BC6F5FD93F9DFF5789401D332DC3AB39B9DF3AC6580CF352F9AC92AB5729DA9BE94CD6208EE888F762j7I" TargetMode = "External"/>
	<Relationship Id="rId221" Type="http://schemas.openxmlformats.org/officeDocument/2006/relationships/hyperlink" Target="consultantplus://offline/ref=7C02EF130E05B5A82E57F85DB672ACD2BD6B5BDA3B92FF5789401D332DC3AB39B9DF3AC6580CF151F3AC92AB5729DA9BE94CD6208EE888F762j7I" TargetMode = "External"/>
	<Relationship Id="rId222" Type="http://schemas.openxmlformats.org/officeDocument/2006/relationships/hyperlink" Target="consultantplus://offline/ref=7C02EF130E05B5A82E57F85DB672ACD2BD6B5BDA3B92FF5789401D332DC3AB39B9DF3AC6580CF150FBAC92AB5729DA9BE94CD6208EE888F762j7I" TargetMode = "External"/>
	<Relationship Id="rId223" Type="http://schemas.openxmlformats.org/officeDocument/2006/relationships/hyperlink" Target="consultantplus://offline/ref=7C02EF130E05B5A82E57F85DB672ACD2BD6B5BDA3B92FF5789401D332DC3AB39B9DF3AC6580CF150FAAC92AB5729DA9BE94CD6208EE888F762j7I" TargetMode = "External"/>
	<Relationship Id="rId224" Type="http://schemas.openxmlformats.org/officeDocument/2006/relationships/hyperlink" Target="consultantplus://offline/ref=7C02EF130E05B5A82E57F85DB672ACD2BD6B5BDA3B92FF5789401D332DC3AB39B9DF3AC6580CF150FAAC92AB5729DA9BE94CD6208EE888F762j7I" TargetMode = "External"/>
	<Relationship Id="rId225" Type="http://schemas.openxmlformats.org/officeDocument/2006/relationships/hyperlink" Target="consultantplus://offline/ref=7C02EF130E05B5A82E57F85DB672ACD2BD6B5BDA3B92FF5789401D332DC3AB39B9DF3AC6580CF150F9AC92AB5729DA9BE94CD6208EE888F762j7I" TargetMode = "External"/>
	<Relationship Id="rId226" Type="http://schemas.openxmlformats.org/officeDocument/2006/relationships/hyperlink" Target="consultantplus://offline/ref=7C02EF130E05B5A82E57F85DB672ACD2BD6B5BDA3B92FF5789401D332DC3AB39B9DF3AC6580CF150F9AC92AB5729DA9BE94CD6208EE888F762j7I" TargetMode = "External"/>
	<Relationship Id="rId227" Type="http://schemas.openxmlformats.org/officeDocument/2006/relationships/hyperlink" Target="consultantplus://offline/ref=7C02EF130E05B5A82E57F85DB672ACD2BD6B5BDA3B92FF5789401D332DC3AB39B9DF3AC6580CF150F8AC92AB5729DA9BE94CD6208EE888F762j7I" TargetMode = "External"/>
	<Relationship Id="rId228" Type="http://schemas.openxmlformats.org/officeDocument/2006/relationships/hyperlink" Target="consultantplus://offline/ref=7C02EF130E05B5A82E57F85DB672ACD2BD6B5BDA3B92FF5789401D332DC3AB39B9DF3AC6580CF150FEAC92AB5729DA9BE94CD6208EE888F762j7I" TargetMode = "External"/>
	<Relationship Id="rId229" Type="http://schemas.openxmlformats.org/officeDocument/2006/relationships/hyperlink" Target="consultantplus://offline/ref=7C02EF130E05B5A82E57F85DB672ACD2BA6F53D13A9FFF5789401D332DC3AB39B9DF3AC6580CF25BF9AC92AB5729DA9BE94CD6208EE888F762j7I" TargetMode = "External"/>
	<Relationship Id="rId230" Type="http://schemas.openxmlformats.org/officeDocument/2006/relationships/hyperlink" Target="consultantplus://offline/ref=7C02EF130E05B5A82E57F85DB672ACD2BD6B5BDA3B92FF5789401D332DC3AB39B9DF3AC6580CF150FCAC92AB5729DA9BE94CD6208EE888F762j7I" TargetMode = "External"/>
	<Relationship Id="rId231" Type="http://schemas.openxmlformats.org/officeDocument/2006/relationships/hyperlink" Target="consultantplus://offline/ref=7C02EF130E05B5A82E57F85DB672ACD2BD6B5BDA3B92FF5789401D332DC3AB39B9DF3AC6580CF150FCAC92AB5729DA9BE94CD6208EE888F762j7I" TargetMode = "External"/>
	<Relationship Id="rId232" Type="http://schemas.openxmlformats.org/officeDocument/2006/relationships/hyperlink" Target="consultantplus://offline/ref=7C02EF130E05B5A82E57E748B372ACD2BF6F5CD93690A25D811911312ACCF43CBECE3AC65B12F251E5A5C6F861j1I" TargetMode = "External"/>
	<Relationship Id="rId233" Type="http://schemas.openxmlformats.org/officeDocument/2006/relationships/hyperlink" Target="consultantplus://offline/ref=7C02EF130E05B5A82E57F85DB672ACD2BD6B5BDA3B92FF5789401D332DC3AB39B9DF3AC6580CF150F3AC92AB5729DA9BE94CD6208EE888F762j7I" TargetMode = "External"/>
	<Relationship Id="rId234" Type="http://schemas.openxmlformats.org/officeDocument/2006/relationships/hyperlink" Target="consultantplus://offline/ref=7C02EF130E05B5A82E57F85DB672ACD2BD6B5BDA3B92FF5789401D332DC3AB39B9DF3AC6580CF157FBAC92AB5729DA9BE94CD6208EE888F762j7I" TargetMode = "External"/>
	<Relationship Id="rId235" Type="http://schemas.openxmlformats.org/officeDocument/2006/relationships/hyperlink" Target="consultantplus://offline/ref=7C02EF130E05B5A82E57F85DB672ACD2BD6B5BDA3B92FF5789401D332DC3AB39B9DF3AC6580CF157FAAC92AB5729DA9BE94CD6208EE888F762j7I" TargetMode = "External"/>
	<Relationship Id="rId236" Type="http://schemas.openxmlformats.org/officeDocument/2006/relationships/hyperlink" Target="consultantplus://offline/ref=7C02EF130E05B5A82E57F85DB672ACD2BD6B5BDA3B92FF5789401D332DC3AB39B9DF3AC6580CF157FDAC92AB5729DA9BE94CD6208EE888F762j7I" TargetMode = "External"/>
	<Relationship Id="rId237" Type="http://schemas.openxmlformats.org/officeDocument/2006/relationships/hyperlink" Target="consultantplus://offline/ref=7C02EF130E05B5A82E57F85DB672ACD2BD6B5BDA3B92FF5789401D332DC3AB39B9DF3AC6580CF157FCAC92AB5729DA9BE94CD6208EE888F762j7I" TargetMode = "External"/>
	<Relationship Id="rId238" Type="http://schemas.openxmlformats.org/officeDocument/2006/relationships/hyperlink" Target="consultantplus://offline/ref=7C02EF130E05B5A82E57F85DB672ACD2BA6F53D13A9FFF5789401D332DC3AB39B9DF3AC6580CF25BF8AC92AB5729DA9BE94CD6208EE888F762j7I" TargetMode = "External"/>
	<Relationship Id="rId239" Type="http://schemas.openxmlformats.org/officeDocument/2006/relationships/hyperlink" Target="consultantplus://offline/ref=7C02EF130E05B5A82E57F85DB672ACD2BD6B5BDA3B92FF5789401D332DC3AB39B9DF3AC6580CF157F2AC92AB5729DA9BE94CD6208EE888F762j7I" TargetMode = "External"/>
	<Relationship Id="rId240" Type="http://schemas.openxmlformats.org/officeDocument/2006/relationships/hyperlink" Target="consultantplus://offline/ref=7C02EF130E05B5A82E57F85DB672ACD2BA6F53D13A9FFF5789401D332DC3AB39B9DF3AC6580CF25BFFAC92AB5729DA9BE94CD6208EE888F762j7I" TargetMode = "External"/>
	<Relationship Id="rId241" Type="http://schemas.openxmlformats.org/officeDocument/2006/relationships/hyperlink" Target="consultantplus://offline/ref=7C02EF130E05B5A82E57F85DB672ACD2B76F5FD13A90A25D811911312ACCF43CBECE3AC65B12F251E5A5C6F861j1I" TargetMode = "External"/>
	<Relationship Id="rId242" Type="http://schemas.openxmlformats.org/officeDocument/2006/relationships/hyperlink" Target="consultantplus://offline/ref=7C02EF130E05B5A82E57F85DB672ACD2BD6859D93A9BFF5789401D332DC3AB39B9DF3AC6580CF352FFAC92AB5729DA9BE94CD6208EE888F762j7I" TargetMode = "External"/>
	<Relationship Id="rId243" Type="http://schemas.openxmlformats.org/officeDocument/2006/relationships/hyperlink" Target="consultantplus://offline/ref=7C02EF130E05B5A82E57F85DB672ACD2BA6F53D13A9FFF5789401D332DC3AB39B9DF3AC6580CF25BFEAC92AB5729DA9BE94CD6208EE888F762j7I" TargetMode = "External"/>
	<Relationship Id="rId244" Type="http://schemas.openxmlformats.org/officeDocument/2006/relationships/hyperlink" Target="consultantplus://offline/ref=7C02EF130E05B5A82E57F85DB672ACD2BD6B5BDA3B92FF5789401D332DC3AB39B9DF3AC6580CF156FBAC92AB5729DA9BE94CD6208EE888F762j7I" TargetMode = "External"/>
	<Relationship Id="rId245" Type="http://schemas.openxmlformats.org/officeDocument/2006/relationships/hyperlink" Target="consultantplus://offline/ref=7C02EF130E05B5A82E57F85DB672ACD2BA6F53D13A9FFF5789401D332DC3AB39B9DF3AC6580CF25BFCAC92AB5729DA9BE94CD6208EE888F762j7I" TargetMode = "External"/>
	<Relationship Id="rId246" Type="http://schemas.openxmlformats.org/officeDocument/2006/relationships/hyperlink" Target="consultantplus://offline/ref=7C02EF130E05B5A82E57F85DB672ACD2B76F5CDA3790A25D811911312ACCF43CBECE3AC65B12F251E5A5C6F861j1I" TargetMode = "External"/>
	<Relationship Id="rId247" Type="http://schemas.openxmlformats.org/officeDocument/2006/relationships/hyperlink" Target="consultantplus://offline/ref=7C02EF130E05B5A82E57F85DB672ACD2BA6F53D13A9FFF5789401D332DC3AB39B9DF3AC6580CF25AFAAC92AB5729DA9BE94CD6208EE888F762j7I" TargetMode = "External"/>
	<Relationship Id="rId248" Type="http://schemas.openxmlformats.org/officeDocument/2006/relationships/hyperlink" Target="consultantplus://offline/ref=7C02EF130E05B5A82E57F85DB672ACD2BD6B5BDA3B92FF5789401D332DC3AB39B9DF3AC6580CF156F8AC92AB5729DA9BE94CD6208EE888F762j7I" TargetMode = "External"/>
	<Relationship Id="rId249" Type="http://schemas.openxmlformats.org/officeDocument/2006/relationships/hyperlink" Target="consultantplus://offline/ref=7C02EF130E05B5A82E57F85DB672ACD2BA6F53D13A9FFF5789401D332DC3AB39B9DF3AC6580CF25AF8AC92AB5729DA9BE94CD6208EE888F762j7I" TargetMode = "External"/>
	<Relationship Id="rId250" Type="http://schemas.openxmlformats.org/officeDocument/2006/relationships/hyperlink" Target="consultantplus://offline/ref=7C02EF130E05B5A82E57F85DB672ACD2BA6F53D13A9FFF5789401D332DC3AB39B9DF3AC6580CF25AF2AC92AB5729DA9BE94CD6208EE888F762j7I" TargetMode = "External"/>
	<Relationship Id="rId251" Type="http://schemas.openxmlformats.org/officeDocument/2006/relationships/hyperlink" Target="consultantplus://offline/ref=7C02EF130E05B5A82E57F85DB672ACD2BA6F53D13A9FFF5789401D332DC3AB39B9DF3AC6580CF152FBAC92AB5729DA9BE94CD6208EE888F762j7I" TargetMode = "External"/>
	<Relationship Id="rId252" Type="http://schemas.openxmlformats.org/officeDocument/2006/relationships/hyperlink" Target="consultantplus://offline/ref=7C02EF130E05B5A82E57F85DB672ACD2BD6B5BDA3B92FF5789401D332DC3AB39B9DF3AC6580CF156FFAC92AB5729DA9BE94CD6208EE888F762j7I" TargetMode = "External"/>
	<Relationship Id="rId253" Type="http://schemas.openxmlformats.org/officeDocument/2006/relationships/hyperlink" Target="consultantplus://offline/ref=7C02EF130E05B5A82E57F85DB672ACD2B76F5CDA3790A25D811911312ACCF43CBECE3AC65B12F251E5A5C6F861j1I" TargetMode = "External"/>
	<Relationship Id="rId254" Type="http://schemas.openxmlformats.org/officeDocument/2006/relationships/hyperlink" Target="consultantplus://offline/ref=7C02EF130E05B5A82E57F85DB672ACD2B76F5CDA3790A25D811911312ACCF43CBECE3AC65B12F251E5A5C6F861j1I" TargetMode = "External"/>
	<Relationship Id="rId255" Type="http://schemas.openxmlformats.org/officeDocument/2006/relationships/hyperlink" Target="consultantplus://offline/ref=7C02EF130E05B5A82E57F85DB672ACD2B76F5CDA3790A25D811911312ACCF43CBECE3AC65B12F251E5A5C6F861j1I" TargetMode = "External"/>
	<Relationship Id="rId256" Type="http://schemas.openxmlformats.org/officeDocument/2006/relationships/hyperlink" Target="consultantplus://offline/ref=7C02EF130E05B5A82E57F85DB672ACD2BA6F53D13A9FFF5789401D332DC3AB39B9DF3AC6580CF152F8AC92AB5729DA9BE94CD6208EE888F762j7I" TargetMode = "External"/>
	<Relationship Id="rId257" Type="http://schemas.openxmlformats.org/officeDocument/2006/relationships/hyperlink" Target="consultantplus://offline/ref=7C02EF130E05B5A82E57E748B372ACD2BC6B5BDB3790A25D811911312ACCF43CBECE3AC65B12F251E5A5C6F861j1I" TargetMode = "External"/>
	<Relationship Id="rId258" Type="http://schemas.openxmlformats.org/officeDocument/2006/relationships/hyperlink" Target="consultantplus://offline/ref=7C02EF130E05B5A82E57F85DB672ACD2BA6F53D13A9FFF5789401D332DC3AB39B9DF3AC6580CF152FFAC92AB5729DA9BE94CD6208EE888F762j7I" TargetMode = "External"/>
	<Relationship Id="rId259" Type="http://schemas.openxmlformats.org/officeDocument/2006/relationships/hyperlink" Target="consultantplus://offline/ref=7C02EF130E05B5A82E57F85DB672ACD2BA6F53D13A9FFF5789401D332DC3AB39B9DF3AC6580CF152FDAC92AB5729DA9BE94CD6208EE888F762j7I" TargetMode = "External"/>
	<Relationship Id="rId260" Type="http://schemas.openxmlformats.org/officeDocument/2006/relationships/hyperlink" Target="consultantplus://offline/ref=7C02EF130E05B5A82E57F85DB672ACD2BD6B5BDA3B92FF5789401D332DC3AB39B9DF3AC6580CF155FAAC92AB5729DA9BE94CD6208EE888F762j7I" TargetMode = "External"/>
	<Relationship Id="rId261" Type="http://schemas.openxmlformats.org/officeDocument/2006/relationships/hyperlink" Target="consultantplus://offline/ref=7C02EF130E05B5A82E57F85DB672ACD2BA6F53D13A9FFF5789401D332DC3AB39B9DF3AC6580CF152FDAC92AB5729DA9BE94CD6208EE888F762j7I" TargetMode = "External"/>
	<Relationship Id="rId262" Type="http://schemas.openxmlformats.org/officeDocument/2006/relationships/hyperlink" Target="consultantplus://offline/ref=7C02EF130E05B5A82E57F85DB672ACD2B76F5FD13A90A25D811911312ACCF43CBECE3AC65B12F251E5A5C6F861j1I" TargetMode = "External"/>
	<Relationship Id="rId263" Type="http://schemas.openxmlformats.org/officeDocument/2006/relationships/hyperlink" Target="consultantplus://offline/ref=7C02EF130E05B5A82E57F85DB672ACD2BD6B5BDA3B92FF5789401D332DC3AB39B9DF3AC6580CF155F2AC92AB5729DA9BE94CD6208EE888F762j7I" TargetMode = "External"/>
	<Relationship Id="rId264" Type="http://schemas.openxmlformats.org/officeDocument/2006/relationships/hyperlink" Target="consultantplus://offline/ref=7C02EF130E05B5A82E57F85DB672ACD2BD6B5BDA3B92FF5789401D332DC3AB39B9DF3AC6580CF154FBAC92AB5729DA9BE94CD6208EE888F762j7I" TargetMode = "External"/>
	<Relationship Id="rId265" Type="http://schemas.openxmlformats.org/officeDocument/2006/relationships/hyperlink" Target="consultantplus://offline/ref=7C02EF130E05B5A82E57F85DB672ACD2BA6F53D13A9FFF5789401D332DC3AB39B9DF3AC6580CF152FCAC92AB5729DA9BE94CD6208EE888F762j7I" TargetMode = "External"/>
	<Relationship Id="rId266" Type="http://schemas.openxmlformats.org/officeDocument/2006/relationships/hyperlink" Target="consultantplus://offline/ref=7C02EF130E05B5A82E57F85DB672ACD2BA6F53D13A9FFF5789401D332DC3AB39B9DF3AC6580CF152F3AC92AB5729DA9BE94CD6208EE888F762j7I" TargetMode = "External"/>
	<Relationship Id="rId267" Type="http://schemas.openxmlformats.org/officeDocument/2006/relationships/hyperlink" Target="consultantplus://offline/ref=7C02EF130E05B5A82E57E748B372ACD2BF6D53DB3C90A25D811911312ACCF43CBECE3AC65B12F251E5A5C6F861j1I" TargetMode = "External"/>
	<Relationship Id="rId268" Type="http://schemas.openxmlformats.org/officeDocument/2006/relationships/hyperlink" Target="consultantplus://offline/ref=7C02EF130E05B5A82E57F85DB672ACD2BA6F53D13A9FFF5789401D332DC3AB39B9DF3AC6580CF152F2AC92AB5729DA9BE94CD6208EE888F762j7I" TargetMode = "External"/>
	<Relationship Id="rId269" Type="http://schemas.openxmlformats.org/officeDocument/2006/relationships/hyperlink" Target="consultantplus://offline/ref=7C02EF130E05B5A82E57E748B372ACD2BF6D53DB3C90A25D811911312ACCF43CBECE3AC65B12F251E5A5C6F861j1I" TargetMode = "External"/>
	<Relationship Id="rId270" Type="http://schemas.openxmlformats.org/officeDocument/2006/relationships/hyperlink" Target="consultantplus://offline/ref=7C02EF130E05B5A82E57F85DB672ACD2BA6F53D13A9FFF5789401D332DC3AB39B9DF3AC6580CF151FAAC92AB5729DA9BE94CD6208EE888F762j7I" TargetMode = "External"/>
	<Relationship Id="rId271" Type="http://schemas.openxmlformats.org/officeDocument/2006/relationships/hyperlink" Target="consultantplus://offline/ref=7C02EF130E05B5A82E57F85DB672ACD2BD6B5BDA3B92FF5789401D332DC3AB39B9DF3AC6580CF154F8AC92AB5729DA9BE94CD6208EE888F762j7I" TargetMode = "External"/>
	<Relationship Id="rId272" Type="http://schemas.openxmlformats.org/officeDocument/2006/relationships/hyperlink" Target="consultantplus://offline/ref=7C02EF130E05B5A82E57F85DB672ACD2BA6F53D13A9FFF5789401D332DC3AB39B9DF3AC6580CF151F8AC92AB5729DA9BE94CD6208EE888F762j7I" TargetMode = "External"/>
	<Relationship Id="rId273" Type="http://schemas.openxmlformats.org/officeDocument/2006/relationships/hyperlink" Target="consultantplus://offline/ref=7C02EF130E05B5A82E57F85DB672ACD2B76F5CDA3790A25D811911312ACCF43CBECE3AC65B12F251E5A5C6F861j1I" TargetMode = "External"/>
	<Relationship Id="rId274" Type="http://schemas.openxmlformats.org/officeDocument/2006/relationships/hyperlink" Target="consultantplus://offline/ref=7C02EF130E05B5A82E57F85DB672ACD2BA6F53D13A9FFF5789401D332DC3AB39B9DF3AC6580CF151FEAC92AB5729DA9BE94CD6208EE888F762j7I" TargetMode = "External"/>
	<Relationship Id="rId275" Type="http://schemas.openxmlformats.org/officeDocument/2006/relationships/hyperlink" Target="consultantplus://offline/ref=7C02EF130E05B5A82E57F85DB672ACD2BA6F53D13A9FFF5789401D332DC3AB39B9DF3AC6580CF151FDAC92AB5729DA9BE94CD6208EE888F762j7I" TargetMode = "External"/>
	<Relationship Id="rId276" Type="http://schemas.openxmlformats.org/officeDocument/2006/relationships/hyperlink" Target="consultantplus://offline/ref=7C02EF130E05B5A82E57F85DB672ACD2B76F5CDA3790A25D811911312ACCF43CBECE3AC65B12F251E5A5C6F861j1I" TargetMode = "External"/>
	<Relationship Id="rId277" Type="http://schemas.openxmlformats.org/officeDocument/2006/relationships/hyperlink" Target="consultantplus://offline/ref=7C02EF130E05B5A82E57F85DB672ACD2BA6F53D13A9FFF5789401D332DC3AB39B9DF3AC6580CF151FCAC92AB5729DA9BE94CD6208EE888F762j7I" TargetMode = "External"/>
	<Relationship Id="rId278" Type="http://schemas.openxmlformats.org/officeDocument/2006/relationships/hyperlink" Target="consultantplus://offline/ref=7C02EF130E05B5A82E57F85DB672ACD2BD6B5BDA3B92FF5789401D332DC3AB39B9DF3AC6580CF154FDAC92AB5729DA9BE94CD6208EE888F762j7I" TargetMode = "External"/>
	<Relationship Id="rId279" Type="http://schemas.openxmlformats.org/officeDocument/2006/relationships/hyperlink" Target="consultantplus://offline/ref=7C02EF130E05B5A82E57F85DB672ACD2BD6B5BDA3B92FF5789401D332DC3AB39B9DF3AC6580CF050FDAC92AB5729DA9BE94CD6208EE888F762j7I" TargetMode = "External"/>
	<Relationship Id="rId280" Type="http://schemas.openxmlformats.org/officeDocument/2006/relationships/hyperlink" Target="consultantplus://offline/ref=7C02EF130E05B5A82E57FB48AF72ACD2BD6C5DDD3790A25D811911312ACCF43CBECE3AC65B12F251E5A5C6F861j1I" TargetMode = "External"/>
	<Relationship Id="rId281" Type="http://schemas.openxmlformats.org/officeDocument/2006/relationships/hyperlink" Target="consultantplus://offline/ref=7C02EF130E05B5A82E57E748B372ACD2BF675CD13B90A25D811911312ACCF43CBECE3AC65B12F251E5A5C6F861j1I" TargetMode = "External"/>
	<Relationship Id="rId282" Type="http://schemas.openxmlformats.org/officeDocument/2006/relationships/hyperlink" Target="consultantplus://offline/ref=7C02EF130E05B5A82E57F85DB672ACD2BA6F5DDB3A9CFF5789401D332DC3AB39B9DF3AC6580CF353FDAC92AB5729DA9BE94CD6208EE888F762j7I" TargetMode = "External"/>
	<Relationship Id="rId283" Type="http://schemas.openxmlformats.org/officeDocument/2006/relationships/hyperlink" Target="consultantplus://offline/ref=7C02EF130E05B5A82E57F85DB672ACD2BA6F5DDB3A9CFF5789401D332DC3AB39B9DF3AC6580CF352FBAC92AB5729DA9BE94CD6208EE888F762j7I" TargetMode = "External"/>
	<Relationship Id="rId284" Type="http://schemas.openxmlformats.org/officeDocument/2006/relationships/hyperlink" Target="consultantplus://offline/ref=7C02EF130E05B5A82E57F85DB672ACD2BA6F53D13A9FFF5789401D332DC3AB39B9DF3AC6580CF151F3AC92AB5729DA9BE94CD6208EE888F762j7I" TargetMode = "External"/>
	<Relationship Id="rId285" Type="http://schemas.openxmlformats.org/officeDocument/2006/relationships/hyperlink" Target="consultantplus://offline/ref=7C02EF130E05B5A82E57F85DB672ACD2BD6B5BDA3B92FF5789401D332DC3AB39B9DF3AC6580CF050F2AC92AB5729DA9BE94CD6208EE888F762j7I" TargetMode = "External"/>
	<Relationship Id="rId286" Type="http://schemas.openxmlformats.org/officeDocument/2006/relationships/hyperlink" Target="consultantplus://offline/ref=7C02EF130E05B5A82E57F85DB672ACD2BD6B5AD13F93FF5789401D332DC3AB39B9DF3AC6580CF353F3AC92AB5729DA9BE94CD6208EE888F762j7I" TargetMode = "External"/>
	<Relationship Id="rId287" Type="http://schemas.openxmlformats.org/officeDocument/2006/relationships/hyperlink" Target="consultantplus://offline/ref=7C02EF130E05B5A82E57F85DB672ACD2BD6B5BDA3B92FF5789401D332DC3AB39B9DF3AC6580CF057FBAC92AB5729DA9BE94CD6208EE888F762j7I" TargetMode = "External"/>
	<Relationship Id="rId288" Type="http://schemas.openxmlformats.org/officeDocument/2006/relationships/hyperlink" Target="consultantplus://offline/ref=7C02EF130E05B5A82E57F85DB672ACD2BD6B5BDA3B92FF5789401D332DC3AB39B9DF3AC6580CF057F9AC92AB5729DA9BE94CD6208EE888F762j7I" TargetMode = "External"/>
	<Relationship Id="rId289" Type="http://schemas.openxmlformats.org/officeDocument/2006/relationships/hyperlink" Target="consultantplus://offline/ref=7C02EF130E05B5A82E57F85DB672ACD2BD6B5BDA3B92FF5789401D332DC3AB39B9DF3AC6580CF057FFAC92AB5729DA9BE94CD6208EE888F762j7I" TargetMode = "External"/>
	<Relationship Id="rId290" Type="http://schemas.openxmlformats.org/officeDocument/2006/relationships/image" Target="media/image2.wmf"/>
	<Relationship Id="rId291" Type="http://schemas.openxmlformats.org/officeDocument/2006/relationships/hyperlink" Target="consultantplus://offline/ref=7C02EF130E05B5A82E57F85DB672ACD2BD6B5BDA3B92FF5789401D332DC3AB39B9DF3AC6580CF057FDAC92AB5729DA9BE94CD6208EE888F762j7I" TargetMode = "External"/>
	<Relationship Id="rId292" Type="http://schemas.openxmlformats.org/officeDocument/2006/relationships/hyperlink" Target="consultantplus://offline/ref=7C02EF130E05B5A82E57F85DB672ACD2BD6B5BDA3B92FF5789401D332DC3AB39B9DF3AC6580CF057F3AC92AB5729DA9BE94CD6208EE888F762j7I" TargetMode = "External"/>
	<Relationship Id="rId293" Type="http://schemas.openxmlformats.org/officeDocument/2006/relationships/hyperlink" Target="consultantplus://offline/ref=7C02EF130E05B5A82E57F85DB672ACD2BD6B5BDA3B92FF5789401D332DC3AB39B9DF3AC6580CF056FAAC92AB5729DA9BE94CD6208EE888F762j7I" TargetMode = "External"/>
	<Relationship Id="rId294" Type="http://schemas.openxmlformats.org/officeDocument/2006/relationships/hyperlink" Target="consultantplus://offline/ref=7C02EF130E05B5A82E57F85DB672ACD2BD6B5BDA3B92FF5789401D332DC3AB39B9DF3AC6580CF056F8AC92AB5729DA9BE94CD6208EE888F762j7I" TargetMode = "External"/>
	<Relationship Id="rId295" Type="http://schemas.openxmlformats.org/officeDocument/2006/relationships/hyperlink" Target="consultantplus://offline/ref=7C02EF130E05B5A82E57F85DB672ACD2BD6B5BDA3B92FF5789401D332DC3AB39B9DF3AC6580CF056FFAC92AB5729DA9BE94CD6208EE888F762j7I" TargetMode = "External"/>
	<Relationship Id="rId296" Type="http://schemas.openxmlformats.org/officeDocument/2006/relationships/hyperlink" Target="consultantplus://offline/ref=7C02EF130E05B5A82E57F85DB672ACD2BD6B5BDA3B92FF5789401D332DC3AB39B9DF3AC6580CF056FEAC92AB5729DA9BE94CD6208EE888F762j7I" TargetMode = "External"/>
	<Relationship Id="rId297" Type="http://schemas.openxmlformats.org/officeDocument/2006/relationships/hyperlink" Target="consultantplus://offline/ref=7C02EF130E05B5A82E57F85DB672ACD2BD6B5BDA3B92FF5789401D332DC3AB39B9DF3AC6580CF056F3AC92AB5729DA9BE94CD6208EE888F762j7I" TargetMode = "External"/>
	<Relationship Id="rId298" Type="http://schemas.openxmlformats.org/officeDocument/2006/relationships/hyperlink" Target="consultantplus://offline/ref=7C02EF130E05B5A82E57F85DB672ACD2BD6B5BDA3B92FF5789401D332DC3AB39B9DF3AC6580CF056F2AC92AB5729DA9BE94CD6208EE888F762j7I" TargetMode = "External"/>
	<Relationship Id="rId299" Type="http://schemas.openxmlformats.org/officeDocument/2006/relationships/hyperlink" Target="consultantplus://offline/ref=7C02EF130E05B5A82E57E748B372ACD2BF695EDE3690A25D811911312ACCF43CBECE3AC65B12F251E5A5C6F861j1I" TargetMode = "External"/>
	<Relationship Id="rId300" Type="http://schemas.openxmlformats.org/officeDocument/2006/relationships/hyperlink" Target="consultantplus://offline/ref=7C02EF130E05B5A82E57FB48AF72ACD2B86E59D934CDA855D81513362593F129AF9636C4460DF14DF9A7C46Fj8I" TargetMode = "External"/>
	<Relationship Id="rId301" Type="http://schemas.openxmlformats.org/officeDocument/2006/relationships/hyperlink" Target="consultantplus://offline/ref=7C02EF130E05B5A82E57F85DB672ACD2BA6F53D13A9FFF5789401D332DC3AB39B9DF3AC6580CF151F2AC92AB5729DA9BE94CD6208EE888F762j7I" TargetMode = "External"/>
	<Relationship Id="rId302" Type="http://schemas.openxmlformats.org/officeDocument/2006/relationships/hyperlink" Target="consultantplus://offline/ref=7C02EF130E05B5A82E57F85DB672ACD2BD6B5BDA3B92FF5789401D332DC3AB39B9DF3AC6580CF055F9AC92AB5729DA9BE94CD6208EE888F762j7I" TargetMode = "External"/>
	<Relationship Id="rId303" Type="http://schemas.openxmlformats.org/officeDocument/2006/relationships/hyperlink" Target="consultantplus://offline/ref=7C02EF130E05B5A82E57F85DB672ACD2BA6F53D13A9FFF5789401D332DC3AB39B9DF3AC6580CF157F2AC92AB5729DA9BE94CD6208EE888F762j7I" TargetMode = "External"/>
	<Relationship Id="rId304" Type="http://schemas.openxmlformats.org/officeDocument/2006/relationships/hyperlink" Target="consultantplus://offline/ref=7C02EF130E05B5A82E57F85DB672ACD2BA6F53D13A9FFF5789401D332DC3AB39B9DF3AC6580CF156FBAC92AB5729DA9BE94CD6208EE888F762j7I" TargetMode = "External"/>
	<Relationship Id="rId305" Type="http://schemas.openxmlformats.org/officeDocument/2006/relationships/hyperlink" Target="consultantplus://offline/ref=7C02EF130E05B5A82E57F85DB672ACD2BD6B5BDA3B92FF5789401D332DC3AB39B9DF3AC6580CF055F8AC92AB5729DA9BE94CD6208EE888F762j7I" TargetMode = "External"/>
	<Relationship Id="rId306" Type="http://schemas.openxmlformats.org/officeDocument/2006/relationships/hyperlink" Target="consultantplus://offline/ref=7C02EF130E05B5A82E57F85DB672ACD2BD6859D93A9BFF5789401D332DC3AB39B9DF3AC6580CF352FFAC92AB5729DA9BE94CD6208EE888F762j7I" TargetMode = "External"/>
	<Relationship Id="rId307" Type="http://schemas.openxmlformats.org/officeDocument/2006/relationships/hyperlink" Target="consultantplus://offline/ref=7C02EF130E05B5A82E57F85DB672ACD2BA6F53D13A9FFF5789401D332DC3AB39B9DF3AC6580CF156FAAC92AB5729DA9BE94CD6208EE888F762j7I" TargetMode = "External"/>
	<Relationship Id="rId308" Type="http://schemas.openxmlformats.org/officeDocument/2006/relationships/hyperlink" Target="consultantplus://offline/ref=7C02EF130E05B5A82E57F85DB672ACD2BD6B5BDA3B92FF5789401D332DC3AB39B9DF3AC6580CF055F2AC92AB5729DA9BE94CD6208EE888F762j7I" TargetMode = "External"/>
	<Relationship Id="rId309" Type="http://schemas.openxmlformats.org/officeDocument/2006/relationships/hyperlink" Target="consultantplus://offline/ref=7C02EF130E05B5A82E57F85DB672ACD2BD6B5BDA3B92FF5789401D332DC3AB39B9DF3AC6580CF054F9AC92AB5729DA9BE94CD6208EE888F762j7I" TargetMode = "External"/>
	<Relationship Id="rId310" Type="http://schemas.openxmlformats.org/officeDocument/2006/relationships/hyperlink" Target="consultantplus://offline/ref=7C02EF130E05B5A82E57F85DB672ACD2BA6F53D13A9FFF5789401D332DC3AB39B9DF3AC6580CF156F9AC92AB5729DA9BE94CD6208EE888F762j7I" TargetMode = "External"/>
	<Relationship Id="rId311" Type="http://schemas.openxmlformats.org/officeDocument/2006/relationships/hyperlink" Target="consultantplus://offline/ref=7C02EF130E05B5A82E57F85DB672ACD2BA6F53D13A9FFF5789401D332DC3AB39B9DF3AC6580CF156FCAC92AB5729DA9BE94CD6208EE888F762j7I" TargetMode = "External"/>
	<Relationship Id="rId312" Type="http://schemas.openxmlformats.org/officeDocument/2006/relationships/hyperlink" Target="consultantplus://offline/ref=7C02EF130E05B5A82E57F85DB672ACD2BA6F53D13A9FFF5789401D332DC3AB39B9DF3AC6580CF156F2AC92AB5729DA9BE94CD6208EE888F762j7I" TargetMode = "External"/>
	<Relationship Id="rId313" Type="http://schemas.openxmlformats.org/officeDocument/2006/relationships/hyperlink" Target="consultantplus://offline/ref=7C02EF130E05B5A82E57F85DB672ACD2BD6B5BDA3B92FF5789401D332DC3AB39B9DF3AC6580CF054FDAC92AB5729DA9BE94CD6208EE888F762j7I" TargetMode = "External"/>
	<Relationship Id="rId314" Type="http://schemas.openxmlformats.org/officeDocument/2006/relationships/hyperlink" Target="consultantplus://offline/ref=7C02EF130E05B5A82E57F85DB672ACD2BD6B5BDA3B92FF5789401D332DC3AB39B9DF3AC6580CF05BFAAC92AB5729DA9BE94CD6208EE888F762j7I" TargetMode = "External"/>
	<Relationship Id="rId315" Type="http://schemas.openxmlformats.org/officeDocument/2006/relationships/hyperlink" Target="consultantplus://offline/ref=7C02EF130E05B5A82E57F85DB672ACD2BD6B5BDA3B92FF5789401D332DC3AB39B9DF3AC6580CF05BF8AC92AB5729DA9BE94CD6208EE888F762j7I" TargetMode = "External"/>
	<Relationship Id="rId316" Type="http://schemas.openxmlformats.org/officeDocument/2006/relationships/hyperlink" Target="consultantplus://offline/ref=7C02EF130E05B5A82E57F85DB672ACD2BD6B5BDA3B92FF5789401D332DC3AB39B9DF3AC6580CF05BF3AC92AB5729DA9BE94CD6208EE888F762j7I" TargetMode = "External"/>
	<Relationship Id="rId317" Type="http://schemas.openxmlformats.org/officeDocument/2006/relationships/hyperlink" Target="consultantplus://offline/ref=7C02EF130E05B5A82E57F85DB672ACD2BD6B5BDA3B92FF5789401D332DC3AB39B9DF3AC6580CF05BF2AC92AB5729DA9BE94CD6208EE888F762j7I" TargetMode = "External"/>
	<Relationship Id="rId318" Type="http://schemas.openxmlformats.org/officeDocument/2006/relationships/hyperlink" Target="consultantplus://offline/ref=7C02EF130E05B5A82E57F85DB672ACD2BD6B5BDA3B92FF5789401D332DC3AB39B9DF3AC6580CF05AFAAC92AB5729DA9BE94CD6208EE888F762j7I" TargetMode = "External"/>
	<Relationship Id="rId319" Type="http://schemas.openxmlformats.org/officeDocument/2006/relationships/hyperlink" Target="consultantplus://offline/ref=7C02EF130E05B5A82E57F85DB672ACD2BD6B5BDA3B92FF5789401D332DC3AB39B9DF3AC6580CF05AF9AC92AB5729DA9BE94CD6208EE888F762j7I" TargetMode = "External"/>
	<Relationship Id="rId320" Type="http://schemas.openxmlformats.org/officeDocument/2006/relationships/hyperlink" Target="consultantplus://offline/ref=7C02EF130E05B5A82E57F85DB672ACD2BD6B5BDA3B92FF5789401D332DC3AB39B9DF3AC6580CF05AFEAC92AB5729DA9BE94CD6208EE888F762j7I" TargetMode = "External"/>
	<Relationship Id="rId321" Type="http://schemas.openxmlformats.org/officeDocument/2006/relationships/hyperlink" Target="consultantplus://offline/ref=7C02EF130E05B5A82E57F85DB672ACD2BD6B5BDA3B92FF5789401D332DC3AB39B9DF3AC6580CF05AFDAC92AB5729DA9BE94CD6208EE888F762j7I" TargetMode = "External"/>
	<Relationship Id="rId322" Type="http://schemas.openxmlformats.org/officeDocument/2006/relationships/hyperlink" Target="consultantplus://offline/ref=7C02EF130E05B5A82E57F85DB672ACD2BD6B5BDA3B92FF5789401D332DC3AB39B9DF3AC6580CF05AF3AC92AB5729DA9BE94CD6208EE888F762j7I" TargetMode = "External"/>
	<Relationship Id="rId323" Type="http://schemas.openxmlformats.org/officeDocument/2006/relationships/hyperlink" Target="consultantplus://offline/ref=7C02EF130E05B5A82E57F85DB672ACD2BC6F5FD93F9DFF5789401D332DC3AB39B9DF3AC6580CF352F9AC92AB5729DA9BE94CD6208EE888F762j7I" TargetMode = "External"/>
	<Relationship Id="rId324" Type="http://schemas.openxmlformats.org/officeDocument/2006/relationships/hyperlink" Target="consultantplus://offline/ref=7C02EF130E05B5A82E57F85DB672ACD2BD6B5BDA3B92FF5789401D332DC3AB39B9DF3AC6580CF05AF2AC92AB5729DA9BE94CD6208EE888F762j7I" TargetMode = "External"/>
	<Relationship Id="rId325" Type="http://schemas.openxmlformats.org/officeDocument/2006/relationships/hyperlink" Target="consultantplus://offline/ref=7C02EF130E05B5A82E57F85DB672ACD2BA6F53D13A9FFF5789401D332DC3AB39B9DF3AC6580CF155FAAC92AB5729DA9BE94CD6208EE888F762j7I" TargetMode = "External"/>
	<Relationship Id="rId326" Type="http://schemas.openxmlformats.org/officeDocument/2006/relationships/hyperlink" Target="consultantplus://offline/ref=7C02EF130E05B5A82E57F85DB672ACD2BA6F53D13A9FFF5789401D332DC3AB39B9DF3AC6580CF155F9AC92AB5729DA9BE94CD6208EE888F762j7I" TargetMode = "External"/>
	<Relationship Id="rId327" Type="http://schemas.openxmlformats.org/officeDocument/2006/relationships/hyperlink" Target="consultantplus://offline/ref=7C02EF130E05B5A82E57F85DB672ACD2BD6B5BDA3B92FF5789401D332DC3AB39B9DF3AC6580CF753FBAC92AB5729DA9BE94CD6208EE888F762j7I" TargetMode = "External"/>
	<Relationship Id="rId328" Type="http://schemas.openxmlformats.org/officeDocument/2006/relationships/hyperlink" Target="consultantplus://offline/ref=7C02EF130E05B5A82E57F85DB672ACD2B76F5CDA3790A25D811911312ACCF43CBECE3AC65B12F251E5A5C6F861j1I" TargetMode = "External"/>
	<Relationship Id="rId329" Type="http://schemas.openxmlformats.org/officeDocument/2006/relationships/hyperlink" Target="consultantplus://offline/ref=7C02EF130E05B5A82E57F85DB672ACD2BA6F53D13A9FFF5789401D332DC3AB39B9DF3AC6580CF155F8AC92AB5729DA9BE94CD6208EE888F762j7I" TargetMode = "External"/>
	<Relationship Id="rId330" Type="http://schemas.openxmlformats.org/officeDocument/2006/relationships/hyperlink" Target="consultantplus://offline/ref=7C02EF130E05B5A82E57F85DB672ACD2BD6B5BDA3B92FF5789401D332DC3AB39B9DF3AC6580CF753F9AC92AB5729DA9BE94CD6208EE888F762j7I" TargetMode = "External"/>
	<Relationship Id="rId331" Type="http://schemas.openxmlformats.org/officeDocument/2006/relationships/hyperlink" Target="consultantplus://offline/ref=7C02EF130E05B5A82E57F85DB672ACD2BD6B5BDA3B92FF5789401D332DC3AB39B9DF3AC6580CF753FFAC92AB5729DA9BE94CD6208EE888F762j7I" TargetMode = "External"/>
	<Relationship Id="rId332" Type="http://schemas.openxmlformats.org/officeDocument/2006/relationships/hyperlink" Target="consultantplus://offline/ref=7C02EF130E05B5A82E57F85DB672ACD2BD6B5BDA3B92FF5789401D332DC3AB39B9DF3AC6580CF753F3AC92AB5729DA9BE94CD6208EE888F762j7I" TargetMode = "External"/>
	<Relationship Id="rId333" Type="http://schemas.openxmlformats.org/officeDocument/2006/relationships/hyperlink" Target="consultantplus://offline/ref=7C02EF130E05B5A82E57F85DB672ACD2BD6B5BDA3B92FF5789401D332DC3AB39B9DF3AC6580CF753F2AC92AB5729DA9BE94CD6208EE888F762j7I" TargetMode = "External"/>
	<Relationship Id="rId334" Type="http://schemas.openxmlformats.org/officeDocument/2006/relationships/hyperlink" Target="consultantplus://offline/ref=7C02EF130E05B5A82E57F85DB672ACD2BD6B5BDA3B92FF5789401D332DC3AB39B9DF3AC6580CF752FBAC92AB5729DA9BE94CD6208EE888F762j7I" TargetMode = "External"/>
	<Relationship Id="rId335" Type="http://schemas.openxmlformats.org/officeDocument/2006/relationships/hyperlink" Target="consultantplus://offline/ref=7C02EF130E05B5A82E57F85DB672ACD2BD6B5BDA3B92FF5789401D332DC3AB39B9DF3AC6580CF752FAAC92AB5729DA9BE94CD6208EE888F762j7I" TargetMode = "External"/>
	<Relationship Id="rId336" Type="http://schemas.openxmlformats.org/officeDocument/2006/relationships/hyperlink" Target="consultantplus://offline/ref=7C02EF130E05B5A82E57F85DB672ACD2BD6B5BDA3B92FF5789401D332DC3AB39B9DF3AC6580CF752F9AC92AB5729DA9BE94CD6208EE888F762j7I" TargetMode = "External"/>
	<Relationship Id="rId337" Type="http://schemas.openxmlformats.org/officeDocument/2006/relationships/hyperlink" Target="consultantplus://offline/ref=7C02EF130E05B5A82E57F85DB672ACD2BD6B5BDA3B92FF5789401D332DC3AB39B9DF3AC6580CF752F8AC92AB5729DA9BE94CD6208EE888F762j7I" TargetMode = "External"/>
	<Relationship Id="rId338" Type="http://schemas.openxmlformats.org/officeDocument/2006/relationships/hyperlink" Target="consultantplus://offline/ref=7C02EF130E05B5A82E57F85DB672ACD2BD6B5BDA3B92FF5789401D332DC3AB39B9DF3AC6580CF752FDAC92AB5729DA9BE94CD6208EE888F762j7I" TargetMode = "External"/>
	<Relationship Id="rId339" Type="http://schemas.openxmlformats.org/officeDocument/2006/relationships/hyperlink" Target="consultantplus://offline/ref=7C02EF130E05B5A82E57F85DB672ACD2BD6B5BDA3B92FF5789401D332DC3AB39B9DF3AC6580CF752FDAC92AB5729DA9BE94CD6208EE888F762j7I" TargetMode = "External"/>
	<Relationship Id="rId340" Type="http://schemas.openxmlformats.org/officeDocument/2006/relationships/hyperlink" Target="consultantplus://offline/ref=7C02EF130E05B5A82E57F85DB672ACD2BD6B5BDA3B92FF5789401D332DC3AB39B9DF3AC6580CF752FCAC92AB5729DA9BE94CD6208EE888F762j7I" TargetMode = "External"/>
	<Relationship Id="rId341" Type="http://schemas.openxmlformats.org/officeDocument/2006/relationships/hyperlink" Target="consultantplus://offline/ref=7C02EF130E05B5A82E57F85DB672ACD2BD6B5BDA3B92FF5789401D332DC3AB39B9DF3AC6580CF752F3AC92AB5729DA9BE94CD6208EE888F762j7I" TargetMode = "External"/>
	<Relationship Id="rId342" Type="http://schemas.openxmlformats.org/officeDocument/2006/relationships/hyperlink" Target="consultantplus://offline/ref=7C02EF130E05B5A82E57F85DB672ACD2BF6E53D03698FF5789401D332DC3AB39ABDF62CA590FED52F9B9C4FA1167jEI" TargetMode = "External"/>
	<Relationship Id="rId343" Type="http://schemas.openxmlformats.org/officeDocument/2006/relationships/hyperlink" Target="consultantplus://offline/ref=7C02EF130E05B5A82E57E748B372ACD2BF6F5CD93690A25D811911312ACCF43CBECE3AC65B12F251E5A5C6F861j1I" TargetMode = "External"/>
	<Relationship Id="rId344" Type="http://schemas.openxmlformats.org/officeDocument/2006/relationships/hyperlink" Target="consultantplus://offline/ref=7C02EF130E05B5A82E57F85DB672ACD2BF6E53D03698FF5789401D332DC3AB39ABDF62CA590FED52F9B9C4FA1167jEI" TargetMode = "External"/>
	<Relationship Id="rId345" Type="http://schemas.openxmlformats.org/officeDocument/2006/relationships/hyperlink" Target="consultantplus://offline/ref=7C02EF130E05B5A82E57F85DB672ACD2BF6E53D03698FF5789401D332DC3AB39ABDF62CA590FED52F9B9C4FA1167jEI" TargetMode = "External"/>
	<Relationship Id="rId346" Type="http://schemas.openxmlformats.org/officeDocument/2006/relationships/hyperlink" Target="consultantplus://offline/ref=7C02EF130E05B5A82E57F85DB672ACD2BD6B5BDA3B92FF5789401D332DC3AB39B9DF3AC6580CF752F3AC92AB5729DA9BE94CD6208EE888F762j7I" TargetMode = "External"/>
	<Relationship Id="rId347" Type="http://schemas.openxmlformats.org/officeDocument/2006/relationships/hyperlink" Target="consultantplus://offline/ref=7C02EF130E05B5A82E57F85DB672ACD2BF6E53D03C9FFF5789401D332DC3AB39ABDF62CA590FED52F9B9C4FA1167jEI" TargetMode = "External"/>
	<Relationship Id="rId348" Type="http://schemas.openxmlformats.org/officeDocument/2006/relationships/hyperlink" Target="consultantplus://offline/ref=7C02EF130E05B5A82E57F85DB672ACD2BD6B5BDA3B92FF5789401D332DC3AB39B9DF3AC6580CF752F3AC92AB5729DA9BE94CD6208EE888F762j7I" TargetMode = "External"/>
	<Relationship Id="rId349" Type="http://schemas.openxmlformats.org/officeDocument/2006/relationships/hyperlink" Target="consultantplus://offline/ref=7C02EF130E05B5A82E57F85DB672ACD2BD6B5BDA3B92FF5789401D332DC3AB39B9DF3AC6580CF752F2AC92AB5729DA9BE94CD6208EE888F762j7I" TargetMode = "External"/>
	<Relationship Id="rId350" Type="http://schemas.openxmlformats.org/officeDocument/2006/relationships/hyperlink" Target="consultantplus://offline/ref=7C02EF130E05B5A82E57F85DB672ACD2BF6E53D03C99FF5789401D332DC3AB39B9DF3AC6580CF353F9AC92AB5729DA9BE94CD6208EE888F762j7I" TargetMode = "External"/>
	<Relationship Id="rId351" Type="http://schemas.openxmlformats.org/officeDocument/2006/relationships/hyperlink" Target="consultantplus://offline/ref=7C02EF130E05B5A82E57F85DB672ACD2BD695CD83B98FF5789401D332DC3AB39B9DF3AC6580CF352F9AC92AB5729DA9BE94CD6208EE888F762j7I" TargetMode = "External"/>
	<Relationship Id="rId352" Type="http://schemas.openxmlformats.org/officeDocument/2006/relationships/hyperlink" Target="consultantplus://offline/ref=7C02EF130E05B5A82E57F85DB672ACD2BD6859D93A9BFF5789401D332DC3AB39B9DF3AC6580CF352FFAC92AB5729DA9BE94CD6208EE888F762j7I" TargetMode = "External"/>
	<Relationship Id="rId353" Type="http://schemas.openxmlformats.org/officeDocument/2006/relationships/hyperlink" Target="consultantplus://offline/ref=7C02EF130E05B5A82E57F85DB672ACD2BA6F53D13A9FFF5789401D332DC3AB39B9DF3AC6580CF155FEAC92AB5729DA9BE94CD6208EE888F762j7I" TargetMode = "External"/>
	<Relationship Id="rId354" Type="http://schemas.openxmlformats.org/officeDocument/2006/relationships/hyperlink" Target="consultantplus://offline/ref=7C02EF130E05B5A82E57F85DB672ACD2BD6B5AD13F93FF5789401D332DC3AB39B9DF3AC6580CF353F3AC92AB5729DA9BE94CD6208EE888F762j7I" TargetMode = "External"/>
	<Relationship Id="rId355" Type="http://schemas.openxmlformats.org/officeDocument/2006/relationships/hyperlink" Target="consultantplus://offline/ref=7C02EF130E05B5A82E57F85DB672ACD2BD6B5BDA3B92FF5789401D332DC3AB39B9DF3AC6580CF751FAAC92AB5729DA9BE94CD6208EE888F762j7I" TargetMode = "External"/>
	<Relationship Id="rId356" Type="http://schemas.openxmlformats.org/officeDocument/2006/relationships/hyperlink" Target="consultantplus://offline/ref=7C02EF130E05B5A82E57F85DB672ACD2B66658DD3D90A25D811911312ACCF43CBECE3AC65B12F251E5A5C6F861j1I" TargetMode = "External"/>
	<Relationship Id="rId357" Type="http://schemas.openxmlformats.org/officeDocument/2006/relationships/hyperlink" Target="consultantplus://offline/ref=7C02EF130E05B5A82E57F85DB672ACD2BA6F53D13A9FFF5789401D332DC3AB39B9DF3AC6580CF155FDAC92AB5729DA9BE94CD6208EE888F762j7I" TargetMode = "External"/>
	<Relationship Id="rId358" Type="http://schemas.openxmlformats.org/officeDocument/2006/relationships/hyperlink" Target="consultantplus://offline/ref=7C02EF130E05B5A82E57E748B372ACD2BC6952DF3F90A25D811911312ACCF43CBECE3AC65B12F251E5A5C6F861j1I" TargetMode = "External"/>
	<Relationship Id="rId359" Type="http://schemas.openxmlformats.org/officeDocument/2006/relationships/hyperlink" Target="consultantplus://offline/ref=7C02EF130E05B5A82E57E748B372ACD2BF695EDE3690A25D811911312ACCF43CBECE3AC65B12F251E5A5C6F861j1I" TargetMode = "External"/>
	<Relationship Id="rId360" Type="http://schemas.openxmlformats.org/officeDocument/2006/relationships/hyperlink" Target="consultantplus://offline/ref=7C02EF130E05B5A82E57F85DB672ACD2BA6F53D13A9FFF5789401D332DC3AB39B9DF3AC6580CF155F3AC92AB5729DA9BE94CD6208EE888F762j7I" TargetMode = "External"/>
	<Relationship Id="rId361" Type="http://schemas.openxmlformats.org/officeDocument/2006/relationships/hyperlink" Target="consultantplus://offline/ref=7C02EF130E05B5A82E57E748B372ACD2BF665AD13C90A25D811911312ACCF43CBECE3AC65B12F251E5A5C6F861j1I" TargetMode = "External"/>
	<Relationship Id="rId362" Type="http://schemas.openxmlformats.org/officeDocument/2006/relationships/hyperlink" Target="consultantplus://offline/ref=7C02EF130E05B5A82E57F85DB672ACD2BA6F53D13A9FFF5789401D332DC3AB39B9DF3AC6580CF154FBAC92AB5729DA9BE94CD6208EE888F762j7I" TargetMode = "External"/>
	<Relationship Id="rId363" Type="http://schemas.openxmlformats.org/officeDocument/2006/relationships/hyperlink" Target="consultantplus://offline/ref=7C02EF130E05B5A82E57F85DB672ACD2BA6F53D13A9FFF5789401D332DC3AB39B9DF3AC6580CF154FAAC92AB5729DA9BE94CD6208EE888F762j7I" TargetMode = "External"/>
	<Relationship Id="rId364" Type="http://schemas.openxmlformats.org/officeDocument/2006/relationships/hyperlink" Target="consultantplus://offline/ref=7C02EF130E05B5A82E57E748B372ACD2BC6B58D13790A25D811911312ACCF42EBE9636C7580DF255F0F397BE4671D699F453D53C92EA8A6Fj7I" TargetMode = "External"/>
	<Relationship Id="rId365" Type="http://schemas.openxmlformats.org/officeDocument/2006/relationships/hyperlink" Target="consultantplus://offline/ref=7C02EF130E05B5A82E57F85DB672ACD2BA6F53D13A9FFF5789401D332DC3AB39B9DF3AC6580CF154F8AC92AB5729DA9BE94CD6208EE888F762j7I" TargetMode = "External"/>
	<Relationship Id="rId366" Type="http://schemas.openxmlformats.org/officeDocument/2006/relationships/hyperlink" Target="consultantplus://offline/ref=7C02EF130E05B5A82E57F85DB672ACD2BD6B5BDA3B92FF5789401D332DC3AB39B9DF3AC6580CF751F2AC92AB5729DA9BE94CD6208EE888F762j7I" TargetMode = "External"/>
	<Relationship Id="rId367" Type="http://schemas.openxmlformats.org/officeDocument/2006/relationships/hyperlink" Target="consultantplus://offline/ref=7C02EF130E05B5A82E57F85DB672ACD2BD6B5BDA3B92FF5789401D332DC3AB39B9DF3AC6580CF750FAAC92AB5729DA9BE94CD6208EE888F762j7I" TargetMode = "External"/>
	<Relationship Id="rId368" Type="http://schemas.openxmlformats.org/officeDocument/2006/relationships/hyperlink" Target="consultantplus://offline/ref=7C02EF130E05B5A82E57F85DB672ACD2BD6B5BDA3B92FF5789401D332DC3AB39B9DF3AC6580CF750F8AC92AB5729DA9BE94CD6208EE888F762j7I" TargetMode = "External"/>
	<Relationship Id="rId369" Type="http://schemas.openxmlformats.org/officeDocument/2006/relationships/hyperlink" Target="consultantplus://offline/ref=7C02EF130E05B5A82E57F85DB672ACD2BD6B5BDA3B92FF5789401D332DC3AB39B9DF3AC6580CF750FFAC92AB5729DA9BE94CD6208EE888F762j7I" TargetMode = "External"/>
	<Relationship Id="rId370" Type="http://schemas.openxmlformats.org/officeDocument/2006/relationships/hyperlink" Target="consultantplus://offline/ref=7C02EF130E05B5A82E57F85DB672ACD2BD6B5BDA3B92FF5789401D332DC3AB39B9DF3AC6580CF750FCAC92AB5729DA9BE94CD6208EE888F762j7I" TargetMode = "External"/>
	<Relationship Id="rId371" Type="http://schemas.openxmlformats.org/officeDocument/2006/relationships/hyperlink" Target="consultantplus://offline/ref=7C02EF130E05B5A82E57F85DB672ACD2BD6B5BDA3B92FF5789401D332DC3AB39B9DF3AC6580CF750F2AC92AB5729DA9BE94CD6208EE888F762j7I" TargetMode = "External"/>
	<Relationship Id="rId372" Type="http://schemas.openxmlformats.org/officeDocument/2006/relationships/hyperlink" Target="consultantplus://offline/ref=7C02EF130E05B5A82E57F85DB672ACD2BF6B5FDA389EFF5789401D332DC3AB39ABDF62CA590FED52F9B9C4FA1167jEI" TargetMode = "External"/>
	<Relationship Id="rId373" Type="http://schemas.openxmlformats.org/officeDocument/2006/relationships/hyperlink" Target="consultantplus://offline/ref=7C02EF130E05B5A82E57F85DB672ACD2BD6B5BDA3B92FF5789401D332DC3AB39B9DF3AC6580CF757FAAC92AB5729DA9BE94CD6208EE888F762j7I" TargetMode = "External"/>
	<Relationship Id="rId374" Type="http://schemas.openxmlformats.org/officeDocument/2006/relationships/hyperlink" Target="consultantplus://offline/ref=7C02EF130E05B5A82E57F85DB672ACD2BD6B5BDA3B92FF5789401D332DC3AB39B9DF3AC6580CF757FFAC92AB5729DA9BE94CD6208EE888F762j7I" TargetMode = "External"/>
	<Relationship Id="rId375" Type="http://schemas.openxmlformats.org/officeDocument/2006/relationships/hyperlink" Target="consultantplus://offline/ref=7C02EF130E05B5A82E57F85DB672ACD2BD6B5BDA3B92FF5789401D332DC3AB39B9DF3AC6580CF757FEAC92AB5729DA9BE94CD6208EE888F762j7I" TargetMode = "External"/>
	<Relationship Id="rId376" Type="http://schemas.openxmlformats.org/officeDocument/2006/relationships/hyperlink" Target="consultantplus://offline/ref=7C02EF130E05B5A82E57F85DB672ACD2BD6B5BDA3B92FF5789401D332DC3AB39B9DF3AC6580CF757F3AC92AB5729DA9BE94CD6208EE888F762j7I" TargetMode = "External"/>
	<Relationship Id="rId377" Type="http://schemas.openxmlformats.org/officeDocument/2006/relationships/hyperlink" Target="consultantplus://offline/ref=7C02EF130E05B5A82E57F85DB672ACD2BD6B5BDA3B92FF5789401D332DC3AB39B9DF3AC6580CF756FBAC92AB5729DA9BE94CD6208EE888F762j7I" TargetMode = "External"/>
	<Relationship Id="rId378" Type="http://schemas.openxmlformats.org/officeDocument/2006/relationships/hyperlink" Target="consultantplus://offline/ref=7C02EF130E05B5A82E57F85DB672ACD2BD6B5BDA3B92FF5789401D332DC3AB39B9DF3AC6580CF756FAAC92AB5729DA9BE94CD6208EE888F762j7I" TargetMode = "External"/>
	<Relationship Id="rId379" Type="http://schemas.openxmlformats.org/officeDocument/2006/relationships/hyperlink" Target="consultantplus://offline/ref=7C02EF130E05B5A82E57F85DB672ACD2BD6B5BDA3B92FF5789401D332DC3AB39B9DF3AC6580CF756F8AC92AB5729DA9BE94CD6208EE888F762j7I" TargetMode = "External"/>
	<Relationship Id="rId380" Type="http://schemas.openxmlformats.org/officeDocument/2006/relationships/hyperlink" Target="consultantplus://offline/ref=7C02EF130E05B5A82E57F85DB672ACD2BD6B5BDA3B92FF5789401D332DC3AB39B9DF3AC6580CF756FFAC92AB5729DA9BE94CD6208EE888F762j7I" TargetMode = "External"/>
	<Relationship Id="rId381" Type="http://schemas.openxmlformats.org/officeDocument/2006/relationships/hyperlink" Target="consultantplus://offline/ref=7C02EF130E05B5A82E57F85DB672ACD2BD6B5BDA3B92FF5789401D332DC3AB39B9DF3AC6580CF756FEAC92AB5729DA9BE94CD6208EE888F762j7I" TargetMode = "External"/>
	<Relationship Id="rId382" Type="http://schemas.openxmlformats.org/officeDocument/2006/relationships/hyperlink" Target="consultantplus://offline/ref=7C02EF130E05B5A82E57F85DB672ACD2BD6B5BDA3B92FF5789401D332DC3AB39B9DF3AC6580CF756FDAC92AB5729DA9BE94CD6208EE888F762j7I" TargetMode = "External"/>
	<Relationship Id="rId383" Type="http://schemas.openxmlformats.org/officeDocument/2006/relationships/hyperlink" Target="consultantplus://offline/ref=7C02EF130E05B5A82E57F85DB672ACD2BA6F53D13A9FFF5789401D332DC3AB39B9DF3AC6580CF154FCAC92AB5729DA9BE94CD6208EE888F762j7I" TargetMode = "External"/>
	<Relationship Id="rId384" Type="http://schemas.openxmlformats.org/officeDocument/2006/relationships/hyperlink" Target="consultantplus://offline/ref=7C02EF130E05B5A82E57F85DB672ACD2BD6B5BDA3B92FF5789401D332DC3AB39B9DF3AC6580CF756FCAC92AB5729DA9BE94CD6208EE888F762j7I" TargetMode = "External"/>
	<Relationship Id="rId385" Type="http://schemas.openxmlformats.org/officeDocument/2006/relationships/hyperlink" Target="consultantplus://offline/ref=7C02EF130E05B5A82E57F85DB672ACD2BF6E53D03C99FF5789401D332DC3AB39B9DF3AC6580CF353F9AC92AB5729DA9BE94CD6208EE888F762j7I" TargetMode = "External"/>
	<Relationship Id="rId386" Type="http://schemas.openxmlformats.org/officeDocument/2006/relationships/hyperlink" Target="consultantplus://offline/ref=7C02EF130E05B5A82E57F85DB672ACD2BD6B5AD13F93FF5789401D332DC3AB39B9DF3AC6580CF752FBAC92AB5729DA9BE94CD6208EE888F762j7I" TargetMode = "External"/>
	<Relationship Id="rId387" Type="http://schemas.openxmlformats.org/officeDocument/2006/relationships/hyperlink" Target="consultantplus://offline/ref=7C02EF130E05B5A82E57F85DB672ACD2BA6F53D13A9FFF5789401D332DC3AB39B9DF3AC6580CF154F3AC92AB5729DA9BE94CD6208EE888F762j7I" TargetMode = "External"/>
	<Relationship Id="rId388" Type="http://schemas.openxmlformats.org/officeDocument/2006/relationships/hyperlink" Target="consultantplus://offline/ref=7C02EF130E05B5A82E57F85DB672ACD2BA6F53D13A9FFF5789401D332DC3AB39B9DF3AC6580CF15BFAAC92AB5729DA9BE94CD6208EE888F762j7I" TargetMode = "External"/>
	<Relationship Id="rId389" Type="http://schemas.openxmlformats.org/officeDocument/2006/relationships/hyperlink" Target="consultantplus://offline/ref=7C02EF130E05B5A82E57F85DB672ACD2BD6B5BDA3B92FF5789401D332DC3AB39B9DF3AC6580CF755FFAC92AB5729DA9BE94CD6208EE888F762j7I" TargetMode = "External"/>
	<Relationship Id="rId390" Type="http://schemas.openxmlformats.org/officeDocument/2006/relationships/hyperlink" Target="consultantplus://offline/ref=7C02EF130E05B5A82E57F85DB672ACD2BA6F53D13A9FFF5789401D332DC3AB39B9DF3AC6580CF15BF8AC92AB5729DA9BE94CD6208EE888F762j7I" TargetMode = "External"/>
	<Relationship Id="rId391" Type="http://schemas.openxmlformats.org/officeDocument/2006/relationships/hyperlink" Target="consultantplus://offline/ref=7C02EF130E05B5A82E57F85DB672ACD2BD6859D93A9BFF5789401D332DC3AB39B9DF3AC6580CF352FFAC92AB5729DA9BE94CD6208EE888F762j7I" TargetMode = "External"/>
	<Relationship Id="rId392" Type="http://schemas.openxmlformats.org/officeDocument/2006/relationships/hyperlink" Target="consultantplus://offline/ref=7C02EF130E05B5A82E57F85DB672ACD2BA6F53D13A9FFF5789401D332DC3AB39B9DF3AC6580CF15BFEAC92AB5729DA9BE94CD6208EE888F762j7I" TargetMode = "External"/>
	<Relationship Id="rId393" Type="http://schemas.openxmlformats.org/officeDocument/2006/relationships/hyperlink" Target="consultantplus://offline/ref=7C02EF130E05B5A82E57F85DB672ACD2BD6B5BDA3B92FF5789401D332DC3AB39B9DF3AC6580CF755FDAC92AB5729DA9BE94CD6208EE888F762j7I" TargetMode = "External"/>
	<Relationship Id="rId394" Type="http://schemas.openxmlformats.org/officeDocument/2006/relationships/hyperlink" Target="consultantplus://offline/ref=7C02EF130E05B5A82E57F85DB672ACD2BD6B5BDA3B92FF5789401D332DC3AB39B9DF3AC6580CF754FEAC92AB5729DA9BE94CD6208EE888F762j7I" TargetMode = "External"/>
	<Relationship Id="rId395" Type="http://schemas.openxmlformats.org/officeDocument/2006/relationships/hyperlink" Target="consultantplus://offline/ref=7C02EF130E05B5A82E57F85DB672ACD2BD6B5BDA3B92FF5789401D332DC3AB39B9DF3AC6580CF754FDAC92AB5729DA9BE94CD6208EE888F762j7I" TargetMode = "External"/>
	<Relationship Id="rId396" Type="http://schemas.openxmlformats.org/officeDocument/2006/relationships/hyperlink" Target="consultantplus://offline/ref=7C02EF130E05B5A82E57F85DB672ACD2BA6F53D13A9FFF5789401D332DC3AB39B9DF3AC6580CF15BFDAC92AB5729DA9BE94CD6208EE888F762j7I" TargetMode = "External"/>
	<Relationship Id="rId397" Type="http://schemas.openxmlformats.org/officeDocument/2006/relationships/hyperlink" Target="consultantplus://offline/ref=7C02EF130E05B5A82E57F85DB672ACD2BC6F5FD93F9DFF5789401D332DC3AB39B9DF3AC6580CF352F9AC92AB5729DA9BE94CD6208EE888F762j7I" TargetMode = "External"/>
	<Relationship Id="rId398" Type="http://schemas.openxmlformats.org/officeDocument/2006/relationships/hyperlink" Target="consultantplus://offline/ref=7C02EF130E05B5A82E57F85DB672ACD2BD6B5BDA3B92FF5789401D332DC3AB39B9DF3AC6580CF754F2AC92AB5729DA9BE94CD6208EE888F762j7I" TargetMode = "External"/>
	<Relationship Id="rId399" Type="http://schemas.openxmlformats.org/officeDocument/2006/relationships/hyperlink" Target="consultantplus://offline/ref=688B66482F8CEB332461EE3D878A088E7B6EE352552A2C28804E0CA3084FE225A96B7C665B4635F1E05764BE7DjEI" TargetMode = "External"/>
	<Relationship Id="rId400" Type="http://schemas.openxmlformats.org/officeDocument/2006/relationships/hyperlink" Target="consultantplus://offline/ref=688B66482F8CEB332461F128828A088E7E6EEC5A59257122881700A10F40BD20AE7A7C66585836FBF65E30ED98250C0EC929503C3A7CDDD579jEI" TargetMode = "External"/>
	<Relationship Id="rId401" Type="http://schemas.openxmlformats.org/officeDocument/2006/relationships/hyperlink" Target="consultantplus://offline/ref=688B66482F8CEB332461EE3D878A088E7B6EE3515A2A2C28804E0CA3084FE225A96B7C665B4635F1E05764BE7DjEI" TargetMode = "External"/>
	<Relationship Id="rId402" Type="http://schemas.openxmlformats.org/officeDocument/2006/relationships/hyperlink" Target="consultantplus://offline/ref=688B66482F8CEB332461F128828A088E796AE45158287122881700A10F40BD20AE7A7C66585830FBFE5E30ED98250C0EC929503C3A7CDDD579jEI" TargetMode = "External"/>
	<Relationship Id="rId403" Type="http://schemas.openxmlformats.org/officeDocument/2006/relationships/hyperlink" Target="consultantplus://offline/ref=688B66482F8CEB332461F128828A088E796AE45158287122881700A10F40BD20AE7A7C66585830FBFD5E30ED98250C0EC929503C3A7CDDD579jEI" TargetMode = "External"/>
	<Relationship Id="rId404" Type="http://schemas.openxmlformats.org/officeDocument/2006/relationships/hyperlink" Target="consultantplus://offline/ref=688B66482F8CEB332461F128828A088E796AE45158287122881700A10F40BD20AE7A7C66585830FBFB5E30ED98250C0EC929503C3A7CDDD579jEI" TargetMode = "External"/>
	<Relationship Id="rId405" Type="http://schemas.openxmlformats.org/officeDocument/2006/relationships/hyperlink" Target="consultantplus://offline/ref=688B66482F8CEB332461EE3D878A088E7B68E155552A2C28804E0CA3084FE225A96B7C665B4635F1E05764BE7DjEI" TargetMode = "External"/>
	<Relationship Id="rId406" Type="http://schemas.openxmlformats.org/officeDocument/2006/relationships/hyperlink" Target="consultantplus://offline/ref=688B66482F8CEB332461F23D9B8A088E7C6FE65257772620D9420EA40710E730B8337064465936EDFC55667BjEI" TargetMode = "External"/>
	<Relationship Id="rId407" Type="http://schemas.openxmlformats.org/officeDocument/2006/relationships/hyperlink" Target="consultantplus://offline/ref=688B66482F8CEB332461F128828A088E7E6EEC5A59257122881700A10F40BD20AE7A7C66585836FAFE5E30ED98250C0EC929503C3A7CDDD579jEI" TargetMode = "External"/>
	<Relationship Id="rId408" Type="http://schemas.openxmlformats.org/officeDocument/2006/relationships/hyperlink" Target="consultantplus://offline/ref=688B66482F8CEB332461F128828A088E7E6FE65A5A267122881700A10F40BD20AE7A7C66585834F2FF5E30ED98250C0EC929503C3A7CDDD579jEI" TargetMode = "External"/>
	<Relationship Id="rId409" Type="http://schemas.openxmlformats.org/officeDocument/2006/relationships/hyperlink" Target="consultantplus://offline/ref=688B66482F8CEB332461F128828A088E796AE45158287122881700A10F40BD20AE7A7C66585831F2F75E30ED98250C0EC929503C3A7CDDD579jEI" TargetMode = "External"/>
	<Relationship Id="rId410" Type="http://schemas.openxmlformats.org/officeDocument/2006/relationships/hyperlink" Target="consultantplus://offline/ref=688B66482F8CEB332461F128828A088E796AE45158287122881700A10F40BD20AE7A7C66585831F1FF5E30ED98250C0EC929503C3A7CDDD579jEI" TargetMode = "External"/>
	<Relationship Id="rId411" Type="http://schemas.openxmlformats.org/officeDocument/2006/relationships/hyperlink" Target="consultantplus://offline/ref=688B66482F8CEB332461F128828A088E7E6EEC5A59257122881700A10F40BD20AE7A7C66585837F3FA5E30ED98250C0EC929503C3A7CDDD579jEI" TargetMode = "External"/>
	<Relationship Id="rId412" Type="http://schemas.openxmlformats.org/officeDocument/2006/relationships/hyperlink" Target="consultantplus://offline/ref=688B66482F8CEB332461F128828A088E796AE45158287122881700A10F40BD20AE7A7C66585831F1FD5E30ED98250C0EC929503C3A7CDDD579jEI" TargetMode = "External"/>
	<Relationship Id="rId413" Type="http://schemas.openxmlformats.org/officeDocument/2006/relationships/hyperlink" Target="consultantplus://offline/ref=688B66482F8CEB332461F128828A088E796AE45158287122881700A10F40BD20AE7A7C66585831F1FB5E30ED98250C0EC929503C3A7CDDD579jEI" TargetMode = "External"/>
	<Relationship Id="rId414" Type="http://schemas.openxmlformats.org/officeDocument/2006/relationships/hyperlink" Target="consultantplus://offline/ref=688B66482F8CEB332461F128828A088E7E6EEC5A59257122881700A10F40BD20AE7A7C66585837F3FB5E30ED98250C0EC929503C3A7CDDD579jEI" TargetMode = "External"/>
	<Relationship Id="rId415" Type="http://schemas.openxmlformats.org/officeDocument/2006/relationships/hyperlink" Target="consultantplus://offline/ref=688B66482F8CEB332461F128828A088E796AE45158287122881700A10F40BD20AE7A7C66585831F1F95E30ED98250C0EC929503C3A7CDDD579jEI" TargetMode = "External"/>
	<Relationship Id="rId416" Type="http://schemas.openxmlformats.org/officeDocument/2006/relationships/hyperlink" Target="consultantplus://offline/ref=688B66482F8CEB332461F128828A088E796AE45158287122881700A10F40BD20AE7A7C66585831F0FC5E30ED98250C0EC929503C3A7CDDD579jEI" TargetMode = "External"/>
	<Relationship Id="rId417" Type="http://schemas.openxmlformats.org/officeDocument/2006/relationships/hyperlink" Target="consultantplus://offline/ref=688B66482F8CEB332461F128828A088E796AE45158287122881700A10F40BD20AE7A7C66585831F0FA5E30ED98250C0EC929503C3A7CDDD579jEI" TargetMode = "External"/>
	<Relationship Id="rId418" Type="http://schemas.openxmlformats.org/officeDocument/2006/relationships/hyperlink" Target="consultantplus://offline/ref=688B66482F8CEB332461EE3D878A088E7B6CE354552A2C28804E0CA3084FE225A96B7C665B4635F1E05764BE7DjEI" TargetMode = "External"/>
	<Relationship Id="rId419" Type="http://schemas.openxmlformats.org/officeDocument/2006/relationships/hyperlink" Target="consultantplus://offline/ref=688B66482F8CEB332461F128828A088E796AE45158287122881700A10F40BD20AE7A7C66585831F0FB5E30ED98250C0EC929503C3A7CDDD579jEI" TargetMode = "External"/>
	<Relationship Id="rId420" Type="http://schemas.openxmlformats.org/officeDocument/2006/relationships/hyperlink" Target="consultantplus://offline/ref=688B66482F8CEB332461F128828A088E796AE45158287122881700A10F40BD20AE7A7C66585831F0F95E30ED98250C0EC929503C3A7CDDD579jEI" TargetMode = "External"/>
	<Relationship Id="rId421" Type="http://schemas.openxmlformats.org/officeDocument/2006/relationships/hyperlink" Target="consultantplus://offline/ref=688B66482F8CEB332461F128828A088E7E6EEC5A59257122881700A10F40BD20AE7A7C66585837F3F85E30ED98250C0EC929503C3A7CDDD579jEI" TargetMode = "External"/>
	<Relationship Id="rId422" Type="http://schemas.openxmlformats.org/officeDocument/2006/relationships/hyperlink" Target="consultantplus://offline/ref=688B66482F8CEB332461F128828A088E796AE45158287122881700A10F40BD20AE7A7C66585831F0F75E30ED98250C0EC929503C3A7CDDD579jEI" TargetMode = "External"/>
	<Relationship Id="rId423" Type="http://schemas.openxmlformats.org/officeDocument/2006/relationships/hyperlink" Target="consultantplus://offline/ref=688B66482F8CEB332461F128828A088E796AE45158287122881700A10F40BD20AE7A7C66585831F7FE5E30ED98250C0EC929503C3A7CDDD579jEI" TargetMode = "External"/>
	<Relationship Id="rId424" Type="http://schemas.openxmlformats.org/officeDocument/2006/relationships/hyperlink" Target="consultantplus://offline/ref=688B66482F8CEB332461F128828A088E796AE45158287122881700A10F40BD20AE7A7C66585831F7FC5E30ED98250C0EC929503C3A7CDDD579jEI" TargetMode = "External"/>
	<Relationship Id="rId425" Type="http://schemas.openxmlformats.org/officeDocument/2006/relationships/hyperlink" Target="consultantplus://offline/ref=688B66482F8CEB332461F128828A088E796AE45158287122881700A10F40BD20AE7A7C66585831F7FA5E30ED98250C0EC929503C3A7CDDD579jEI" TargetMode = "External"/>
	<Relationship Id="rId426" Type="http://schemas.openxmlformats.org/officeDocument/2006/relationships/hyperlink" Target="consultantplus://offline/ref=688B66482F8CEB332461F128828A088E796AE45158287122881700A10F40BD20AE7A7C66585831F6FE5E30ED98250C0EC929503C3A7CDDD579jEI" TargetMode = "External"/>
	<Relationship Id="rId427" Type="http://schemas.openxmlformats.org/officeDocument/2006/relationships/hyperlink" Target="consultantplus://offline/ref=688B66482F8CEB332461F128828A088E7E6EEC5A59257122881700A10F40BD20AE7A7C66585837F3F95E30ED98250C0EC929503C3A7CDDD579jEI" TargetMode = "External"/>
	<Relationship Id="rId428" Type="http://schemas.openxmlformats.org/officeDocument/2006/relationships/hyperlink" Target="consultantplus://offline/ref=688B66482F8CEB332461EE3D878A088E7B6EE7565F2A2C28804E0CA3084FE225A96B7C665B4635F1E05764BE7DjEI" TargetMode = "External"/>
	<Relationship Id="rId429" Type="http://schemas.openxmlformats.org/officeDocument/2006/relationships/hyperlink" Target="consultantplus://offline/ref=688B66482F8CEB332461F128828A088E796AE45158287122881700A10F40BD20AE7A7C66585831F6FB5E30ED98250C0EC929503C3A7CDDD579jEI" TargetMode = "External"/>
	<Relationship Id="rId430" Type="http://schemas.openxmlformats.org/officeDocument/2006/relationships/hyperlink" Target="consultantplus://offline/ref=688B66482F8CEB332461F128828A088E796AE45158287122881700A10F40BD20AE7A7C66585831F6F85E30ED98250C0EC929503C3A7CDDD579jEI" TargetMode = "External"/>
	<Relationship Id="rId431" Type="http://schemas.openxmlformats.org/officeDocument/2006/relationships/hyperlink" Target="consultantplus://offline/ref=688B66482F8CEB332461F128828A088E7E6EEC5A59257122881700A10F40BD20AE7A7C66585837F2FD5E30ED98250C0EC929503C3A7CDDD579jEI" TargetMode = "External"/>
	<Relationship Id="rId432" Type="http://schemas.openxmlformats.org/officeDocument/2006/relationships/hyperlink" Target="consultantplus://offline/ref=688B66482F8CEB332461F128828A088E7E6EEC5A59257122881700A10F40BD20AE7A7C66585837F2FB5E30ED98250C0EC929503C3A7CDDD579jEI" TargetMode = "External"/>
	<Relationship Id="rId433" Type="http://schemas.openxmlformats.org/officeDocument/2006/relationships/hyperlink" Target="consultantplus://offline/ref=688B66482F8CEB332461F128828A088E7E6EEC5A59257122881700A10F40BD20AE7A7C66585837F2F85E30ED98250C0EC929503C3A7CDDD579jEI" TargetMode = "External"/>
	<Relationship Id="rId434" Type="http://schemas.openxmlformats.org/officeDocument/2006/relationships/hyperlink" Target="consultantplus://offline/ref=688B66482F8CEB332461F128828A088E796AE4505D237122881700A10F40BD20AE7A7C66585834F2FA5E30ED98250C0EC929503C3A7CDDD579jEI" TargetMode = "External"/>
	<Relationship Id="rId435" Type="http://schemas.openxmlformats.org/officeDocument/2006/relationships/hyperlink" Target="consultantplus://offline/ref=688B66482F8CEB332461F128828A088E7E6DE7535A277122881700A10F40BD20BC7A246A595B2AF2FC4B66BCDE77j2I" TargetMode = "External"/>
	<Relationship Id="rId436" Type="http://schemas.openxmlformats.org/officeDocument/2006/relationships/hyperlink" Target="consultantplus://offline/ref=688B66482F8CEB332461F128828A088E796AE45158287122881700A10F40BD20AE7A7C66585833F3FA5E30ED98250C0EC929503C3A7CDDD579jEI" TargetMode = "External"/>
	<Relationship Id="rId437" Type="http://schemas.openxmlformats.org/officeDocument/2006/relationships/hyperlink" Target="consultantplus://offline/ref=688B66482F8CEB332461F128828A088E796AE45158287122881700A10F40BD20AE7A7C66585831FAFE5E30ED98250C0EC929503C3A7CDDD579jEI" TargetMode = "External"/>
	<Relationship Id="rId438" Type="http://schemas.openxmlformats.org/officeDocument/2006/relationships/hyperlink" Target="consultantplus://offline/ref=688B66482F8CEB332461F128828A088E7E6EEC5A59257122881700A10F40BD20AE7A7C66585837F5FB5E30ED98250C0EC929503C3A7CDDD579jEI" TargetMode = "External"/>
	<Relationship Id="rId439" Type="http://schemas.openxmlformats.org/officeDocument/2006/relationships/hyperlink" Target="consultantplus://offline/ref=688B66482F8CEB332461F128828A088E7E6EEC5A59257122881700A10F40BD20AE7A7C66585837F5F85E30ED98250C0EC929503C3A7CDDD579jEI" TargetMode = "External"/>
	<Relationship Id="rId440" Type="http://schemas.openxmlformats.org/officeDocument/2006/relationships/hyperlink" Target="consultantplus://offline/ref=688B66482F8CEB332461F128828A088E7E6EEC5A59257122881700A10F40BD20AE7A7C66585837F5F95E30ED98250C0EC929503C3A7CDDD579jEI" TargetMode = "External"/>
	<Relationship Id="rId441" Type="http://schemas.openxmlformats.org/officeDocument/2006/relationships/hyperlink" Target="consultantplus://offline/ref=688B66482F8CEB332461F128828A088E7969E65259217122881700A10F40BD20AE7A7C66585834F2FA5E30ED98250C0EC929503C3A7CDDD579jEI" TargetMode = "External"/>
	<Relationship Id="rId442" Type="http://schemas.openxmlformats.org/officeDocument/2006/relationships/hyperlink" Target="consultantplus://offline/ref=688B66482F8CEB332461F128828A088E7E6EEC5A59257122881700A10F40BD20AE7A7C66585837F5F65E30ED98250C0EC929503C3A7CDDD579jEI" TargetMode = "External"/>
	<Relationship Id="rId443" Type="http://schemas.openxmlformats.org/officeDocument/2006/relationships/image" Target="media/image3.png"/>
	<Relationship Id="rId444" Type="http://schemas.openxmlformats.org/officeDocument/2006/relationships/image" Target="media/image4.png"/>
	<Relationship Id="rId445" Type="http://schemas.openxmlformats.org/officeDocument/2006/relationships/image" Target="media/image5.wmf"/>
	<Relationship Id="rId446" Type="http://schemas.openxmlformats.org/officeDocument/2006/relationships/image" Target="media/image6.wmf"/>
	<Relationship Id="rId447" Type="http://schemas.openxmlformats.org/officeDocument/2006/relationships/hyperlink" Target="consultantplus://offline/ref=688B66482F8CEB332461F128828A088E7E6FE1565D257122881700A10F40BD20AE7A7C66585836FBFA5E30ED98250C0EC929503C3A7CDDD579jE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4022.00.50</Application>
  <Company>КонсультантПлюс Версия 4022.00.50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МЧС России от 24.04.2013 N 288
(ред. от 15.06.2022)
"Об утверждении свода правил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(вместе с "СП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dc:title>
  <dcterms:created xsi:type="dcterms:W3CDTF">2022-12-13T08:35:58Z</dcterms:created>
</cp:coreProperties>
</file>