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30.03.2020 N 225</w:t>
              <w:br/>
              <w:t xml:space="preserve">"Об утверждении свода правил СП 8.13130 "Системы противопожарной защиты. Наружное противопожарное водоснабжение. Требования пожарной безопасности"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30 марта 2020 г. N 225</w:t>
      </w:r>
    </w:p>
    <w:p>
      <w:pPr>
        <w:pStyle w:val="2"/>
        <w:jc w:val="center"/>
      </w:pPr>
      <w:r>
        <w:rPr>
          <w:sz w:val="20"/>
        </w:rPr>
      </w:r>
    </w:p>
    <w:p>
      <w:pPr>
        <w:pStyle w:val="2"/>
        <w:jc w:val="center"/>
      </w:pPr>
      <w:r>
        <w:rPr>
          <w:sz w:val="20"/>
        </w:rPr>
        <w:t xml:space="preserve">ОБ УТВЕРЖДЕНИИ СВОДА ПРАВИЛ</w:t>
      </w:r>
    </w:p>
    <w:p>
      <w:pPr>
        <w:pStyle w:val="2"/>
        <w:jc w:val="center"/>
      </w:pPr>
      <w:r>
        <w:rPr>
          <w:sz w:val="20"/>
        </w:rPr>
        <w:t xml:space="preserve">СП 8.13130 "СИСТЕМЫ ПРОТИВОПОЖАРНОЙ ЗАЩИТЫ. НАРУЖНОЕ</w:t>
      </w:r>
    </w:p>
    <w:p>
      <w:pPr>
        <w:pStyle w:val="2"/>
        <w:jc w:val="center"/>
      </w:pPr>
      <w:r>
        <w:rPr>
          <w:sz w:val="20"/>
        </w:rPr>
        <w:t xml:space="preserve">ПРОТИВОПОЖАРНОЕ ВОДОСНАБЖЕНИЕ. ТРЕБОВАНИЯ</w:t>
      </w:r>
    </w:p>
    <w:p>
      <w:pPr>
        <w:pStyle w:val="2"/>
        <w:jc w:val="center"/>
      </w:pPr>
      <w:r>
        <w:rPr>
          <w:sz w:val="20"/>
        </w:rPr>
        <w:t xml:space="preserve">ПОЖАРНОЙ БЕЗОПАСНОСТИ"</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 &lt;1&gt;, </w:t>
      </w:r>
      <w:hyperlink w:history="0" r:id="rId8" w:tooltip="Указ Президента РФ от 11.07.2004 N 868 (ред. от 04.11.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w:t>
      </w:r>
      <w:hyperlink w:history="0" r:id="rId9" w:tooltip="Постановление Правительства РФ от 01.07.2016 N 624 (ред. от 14.12.2021) &quot;Об утверждении Правил разработки, утверждения, опубликования, изменения и отмены сводов правил&quot; {КонсультантПлюс}">
        <w:r>
          <w:rPr>
            <w:sz w:val="20"/>
            <w:color w:val="0000ff"/>
          </w:rPr>
          <w:t xml:space="preserve">постановлением</w:t>
        </w:r>
      </w:hyperlink>
      <w:r>
        <w:rPr>
          <w:sz w:val="20"/>
        </w:rP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 &lt;3&gt;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2008, N 30, ст. 3579; 2018, N 53, ст. 8464.</w:t>
      </w:r>
    </w:p>
    <w:p>
      <w:pPr>
        <w:pStyle w:val="0"/>
        <w:spacing w:before="200" w:line-rule="auto"/>
        <w:ind w:firstLine="540"/>
        <w:jc w:val="both"/>
      </w:pPr>
      <w:r>
        <w:rPr>
          <w:sz w:val="20"/>
        </w:rPr>
        <w:t xml:space="preserve">&lt;2&gt; Собрание законодательства Российской Федерации, 2004, N 28, ст. 2882; 2019, N 42, ст. 5891.</w:t>
      </w:r>
    </w:p>
    <w:p>
      <w:pPr>
        <w:pStyle w:val="0"/>
        <w:spacing w:before="200" w:line-rule="auto"/>
        <w:ind w:firstLine="540"/>
        <w:jc w:val="both"/>
      </w:pPr>
      <w:r>
        <w:rPr>
          <w:sz w:val="20"/>
        </w:rPr>
        <w:t xml:space="preserve">&lt;3&gt; Собрание законодательства Российской Федерации, 2016, N 28, ст. 4749; 2019, N 23, ст. 2942.</w:t>
      </w:r>
    </w:p>
    <w:p>
      <w:pPr>
        <w:pStyle w:val="0"/>
        <w:jc w:val="both"/>
      </w:pPr>
      <w:r>
        <w:rPr>
          <w:sz w:val="20"/>
        </w:rPr>
      </w:r>
    </w:p>
    <w:p>
      <w:pPr>
        <w:pStyle w:val="0"/>
        <w:ind w:firstLine="540"/>
        <w:jc w:val="both"/>
      </w:pPr>
      <w:r>
        <w:rPr>
          <w:sz w:val="20"/>
        </w:rPr>
        <w:t xml:space="preserve">1. Утвердить и ввести в действие через 6 месяцев со дня издания настоящего приказа прилагаемый </w:t>
      </w:r>
      <w:hyperlink w:history="0" w:anchor="P37" w:tooltip="СВОД ПРАВИЛ">
        <w:r>
          <w:rPr>
            <w:sz w:val="20"/>
            <w:color w:val="0000ff"/>
          </w:rPr>
          <w:t xml:space="preserve">свод правил</w:t>
        </w:r>
      </w:hyperlink>
      <w:r>
        <w:rPr>
          <w:sz w:val="20"/>
        </w:rPr>
        <w:t xml:space="preserve"> "Системы противопожарной защиты. Наружное противопожарное водоснабжение. Требования пожарной безопасности".</w:t>
      </w:r>
    </w:p>
    <w:p>
      <w:pPr>
        <w:pStyle w:val="0"/>
        <w:spacing w:before="200" w:line-rule="auto"/>
        <w:ind w:firstLine="540"/>
        <w:jc w:val="both"/>
      </w:pPr>
      <w:r>
        <w:rPr>
          <w:sz w:val="20"/>
        </w:rPr>
        <w:t xml:space="preserve">2. Признать утратившими силу со дня введения в действие свода правил </w:t>
      </w:r>
      <w:hyperlink w:history="0" w:anchor="P37" w:tooltip="СВОД ПРАВИЛ">
        <w:r>
          <w:rPr>
            <w:sz w:val="20"/>
            <w:color w:val="0000ff"/>
          </w:rPr>
          <w:t xml:space="preserve">СП 8.13130</w:t>
        </w:r>
      </w:hyperlink>
      <w:r>
        <w:rPr>
          <w:sz w:val="20"/>
        </w:rPr>
        <w:t xml:space="preserve"> "Системы противопожарной защиты. Наружное противопожарное водоснабжение. Требования пожарной безопасности" приказы МЧС России от 25.03.2009 </w:t>
      </w:r>
      <w:hyperlink w:history="0" r:id="rId10"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N 178</w:t>
        </w:r>
      </w:hyperlink>
      <w:r>
        <w:rPr>
          <w:sz w:val="20"/>
        </w:rPr>
        <w:t xml:space="preserve"> "Об утверждении свода правил "Системы противопожарной защиты. Источники наружного противопожарного водоснабжения. Требования пожарной безопасности" и от 09.12.2010 </w:t>
      </w:r>
      <w:hyperlink w:history="0" r:id="rId11" w:tooltip="Приказ МЧС РФ от 09.12.2010 N 640 &quot;Об утверждении изменения N 1 к своду правил СП 8.13130.2009 &quot;Системы противопожарной защиты. Источники наружного противопожарного водоснабжения. Требования пожарной безопасности&quot;, утвержденному Приказом МЧС России от 25.03.2009 N 178&quot; ------------ Утратил силу или отменен {КонсультантПлюс}">
        <w:r>
          <w:rPr>
            <w:sz w:val="20"/>
            <w:color w:val="0000ff"/>
          </w:rPr>
          <w:t xml:space="preserve">N 640</w:t>
        </w:r>
      </w:hyperlink>
      <w:r>
        <w:rPr>
          <w:sz w:val="20"/>
        </w:rPr>
        <w:t xml:space="preserve"> "Об утверждении изменения N 1 к своду правил СП 8.13130.2009 "Системы противопожарной защиты. Источники наружного противопожарного водоснабжения. Требования пожарной безопасности", утвержденному приказом МЧС России от 25.03.2009 N 178".</w:t>
      </w:r>
    </w:p>
    <w:p>
      <w:pPr>
        <w:pStyle w:val="0"/>
        <w:jc w:val="both"/>
      </w:pPr>
      <w:r>
        <w:rPr>
          <w:sz w:val="20"/>
        </w:rPr>
      </w:r>
    </w:p>
    <w:p>
      <w:pPr>
        <w:pStyle w:val="0"/>
        <w:jc w:val="right"/>
      </w:pPr>
      <w:r>
        <w:rPr>
          <w:sz w:val="20"/>
        </w:rPr>
        <w:t xml:space="preserve">Министр</w:t>
      </w:r>
    </w:p>
    <w:p>
      <w:pPr>
        <w:pStyle w:val="0"/>
        <w:jc w:val="right"/>
      </w:pPr>
      <w:r>
        <w:rPr>
          <w:sz w:val="20"/>
        </w:rPr>
        <w:t xml:space="preserve">Е.Н.ЗИНИЧЕВ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МЧС России</w:t>
      </w:r>
    </w:p>
    <w:p>
      <w:pPr>
        <w:pStyle w:val="0"/>
        <w:jc w:val="right"/>
      </w:pPr>
      <w:r>
        <w:rPr>
          <w:sz w:val="20"/>
        </w:rPr>
        <w:t xml:space="preserve">от 30.03.2020 N 225</w:t>
      </w:r>
    </w:p>
    <w:p>
      <w:pPr>
        <w:pStyle w:val="0"/>
        <w:jc w:val="both"/>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bookmarkStart w:id="37" w:name="P37"/>
    <w:bookmarkEnd w:id="37"/>
    <w:p>
      <w:pPr>
        <w:pStyle w:val="2"/>
        <w:jc w:val="center"/>
      </w:pPr>
      <w:r>
        <w:rPr>
          <w:sz w:val="20"/>
        </w:rPr>
        <w:t xml:space="preserve">СВОД ПРАВИЛ</w:t>
      </w:r>
    </w:p>
    <w:p>
      <w:pPr>
        <w:pStyle w:val="2"/>
        <w:jc w:val="center"/>
      </w:pPr>
      <w:r>
        <w:rPr>
          <w:sz w:val="20"/>
        </w:rPr>
        <w:t xml:space="preserve">СП 8.13130</w:t>
      </w:r>
    </w:p>
    <w:p>
      <w:pPr>
        <w:pStyle w:val="2"/>
        <w:jc w:val="center"/>
      </w:pPr>
      <w:r>
        <w:rPr>
          <w:sz w:val="20"/>
        </w:rPr>
      </w:r>
    </w:p>
    <w:p>
      <w:pPr>
        <w:pStyle w:val="2"/>
        <w:jc w:val="center"/>
      </w:pPr>
      <w:r>
        <w:rPr>
          <w:sz w:val="20"/>
        </w:rPr>
        <w:t xml:space="preserve">СИСТЕМЫ ПРОТИВОПОЖАРНОЙ ЗАЩИТЫ</w:t>
      </w:r>
    </w:p>
    <w:p>
      <w:pPr>
        <w:pStyle w:val="2"/>
        <w:jc w:val="center"/>
      </w:pPr>
      <w:r>
        <w:rPr>
          <w:sz w:val="20"/>
        </w:rPr>
      </w:r>
    </w:p>
    <w:p>
      <w:pPr>
        <w:pStyle w:val="2"/>
        <w:jc w:val="center"/>
      </w:pPr>
      <w:r>
        <w:rPr>
          <w:sz w:val="20"/>
        </w:rPr>
        <w:t xml:space="preserve">НАРУЖНОЕ ПРОТИВОПОЖАРНОЕ ВОДОСНАБЖЕНИЕ</w:t>
      </w:r>
    </w:p>
    <w:p>
      <w:pPr>
        <w:pStyle w:val="2"/>
        <w:jc w:val="center"/>
      </w:pPr>
      <w:r>
        <w:rPr>
          <w:sz w:val="20"/>
        </w:rPr>
      </w:r>
    </w:p>
    <w:p>
      <w:pPr>
        <w:pStyle w:val="2"/>
        <w:jc w:val="center"/>
      </w:pPr>
      <w:r>
        <w:rPr>
          <w:sz w:val="20"/>
        </w:rPr>
        <w:t xml:space="preserve">ТРЕБОВАНИЯ ПОЖАРНОЙ БЕЗОПАСНОСТИ</w:t>
      </w:r>
    </w:p>
    <w:p>
      <w:pPr>
        <w:pStyle w:val="0"/>
        <w:jc w:val="both"/>
      </w:pPr>
      <w:r>
        <w:rPr>
          <w:sz w:val="20"/>
        </w:rPr>
      </w:r>
    </w:p>
    <w:p>
      <w:pPr>
        <w:pStyle w:val="0"/>
        <w:jc w:val="right"/>
      </w:pPr>
      <w:r>
        <w:rPr>
          <w:sz w:val="20"/>
        </w:rPr>
        <w:t xml:space="preserve">Дата введения _____________</w:t>
      </w:r>
    </w:p>
    <w:p>
      <w:pPr>
        <w:pStyle w:val="0"/>
        <w:jc w:val="both"/>
      </w:pPr>
      <w:r>
        <w:rPr>
          <w:sz w:val="20"/>
        </w:rPr>
      </w:r>
    </w:p>
    <w:p>
      <w:pPr>
        <w:pStyle w:val="2"/>
        <w:outlineLvl w:val="1"/>
        <w:jc w:val="center"/>
      </w:pPr>
      <w:r>
        <w:rPr>
          <w:sz w:val="20"/>
        </w:rPr>
        <w:t xml:space="preserve">Предисловие</w:t>
      </w:r>
    </w:p>
    <w:p>
      <w:pPr>
        <w:pStyle w:val="0"/>
        <w:jc w:val="both"/>
      </w:pPr>
      <w:r>
        <w:rPr>
          <w:sz w:val="20"/>
        </w:rPr>
      </w:r>
    </w:p>
    <w:p>
      <w:pPr>
        <w:pStyle w:val="0"/>
        <w:ind w:firstLine="540"/>
        <w:jc w:val="both"/>
      </w:pPr>
      <w:r>
        <w:rPr>
          <w:sz w:val="20"/>
        </w:rPr>
        <w:t xml:space="preserve">Цели и принципы стандартизации в Российской Федерации установлены Федеральным </w:t>
      </w:r>
      <w:hyperlink w:history="0" r:id="rId12" w:tooltip="Федеральный закон от 29.06.2015 N 162-ФЗ (ред. от 30.12.2020) &quot;О стандартизации в Российской Федерации&quot; {КонсультантПлюс}">
        <w:r>
          <w:rPr>
            <w:sz w:val="20"/>
            <w:color w:val="0000ff"/>
          </w:rPr>
          <w:t xml:space="preserve">законом</w:t>
        </w:r>
      </w:hyperlink>
      <w:r>
        <w:rPr>
          <w:sz w:val="20"/>
        </w:rPr>
        <w:t xml:space="preserve"> от 29 июня 2015 г. N 162-ФЗ "О стандартизации в Российской Федерации", а правила разработки сводов правил - </w:t>
      </w:r>
      <w:hyperlink w:history="0" r:id="rId13" w:tooltip="Постановление Правительства РФ от 01.07.2016 N 624 (ред. от 14.12.2021) &quot;Об утверждении Правил разработки, утверждения, опубликования, изменения и отмены сводов правил&quot; {КонсультантПлюс}">
        <w:r>
          <w:rPr>
            <w:sz w:val="20"/>
            <w:color w:val="0000ff"/>
          </w:rPr>
          <w:t xml:space="preserve">постановлением</w:t>
        </w:r>
      </w:hyperlink>
      <w:r>
        <w:rPr>
          <w:sz w:val="20"/>
        </w:rP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w:t>
      </w:r>
    </w:p>
    <w:p>
      <w:pPr>
        <w:pStyle w:val="0"/>
        <w:jc w:val="both"/>
      </w:pPr>
      <w:r>
        <w:rPr>
          <w:sz w:val="20"/>
        </w:rPr>
      </w:r>
    </w:p>
    <w:p>
      <w:pPr>
        <w:pStyle w:val="2"/>
        <w:outlineLvl w:val="1"/>
        <w:jc w:val="center"/>
      </w:pPr>
      <w:r>
        <w:rPr>
          <w:sz w:val="20"/>
        </w:rPr>
        <w:t xml:space="preserve">Сведения о своде правил</w:t>
      </w:r>
    </w:p>
    <w:p>
      <w:pPr>
        <w:pStyle w:val="0"/>
        <w:jc w:val="both"/>
      </w:pPr>
      <w:r>
        <w:rPr>
          <w:sz w:val="20"/>
        </w:rPr>
      </w:r>
    </w:p>
    <w:p>
      <w:pPr>
        <w:pStyle w:val="0"/>
        <w:ind w:firstLine="540"/>
        <w:jc w:val="both"/>
      </w:pPr>
      <w:r>
        <w:rPr>
          <w:sz w:val="20"/>
        </w:rPr>
        <w:t xml:space="preserve">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(далее - ФГБУ ВНИИПО МЧС России).</w:t>
      </w:r>
    </w:p>
    <w:p>
      <w:pPr>
        <w:pStyle w:val="0"/>
        <w:spacing w:before="200" w:line-rule="auto"/>
        <w:ind w:firstLine="540"/>
        <w:jc w:val="both"/>
      </w:pPr>
      <w:r>
        <w:rPr>
          <w:sz w:val="20"/>
        </w:rPr>
        <w:t xml:space="preserve">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____________ N ____.</w:t>
      </w:r>
    </w:p>
    <w:p>
      <w:pPr>
        <w:pStyle w:val="0"/>
        <w:spacing w:before="200" w:line-rule="auto"/>
        <w:ind w:firstLine="540"/>
        <w:jc w:val="both"/>
      </w:pPr>
      <w:r>
        <w:rPr>
          <w:sz w:val="20"/>
        </w:rPr>
        <w:t xml:space="preserve">3. ЗАРЕГИСТРИРОВАН Федеральным агентством по техническому регулированию и метрологии __________.</w:t>
      </w:r>
    </w:p>
    <w:p>
      <w:pPr>
        <w:pStyle w:val="0"/>
        <w:spacing w:before="200" w:line-rule="auto"/>
        <w:ind w:firstLine="540"/>
        <w:jc w:val="both"/>
      </w:pPr>
      <w:r>
        <w:rPr>
          <w:sz w:val="20"/>
        </w:rPr>
        <w:t xml:space="preserve">4. ВВЕДЕН ВЗАМЕН </w:t>
      </w:r>
      <w:hyperlink w:history="0" r:id="rId14"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СП 8.13130.2009</w:t>
        </w:r>
      </w:hyperlink>
      <w:r>
        <w:rPr>
          <w:sz w:val="20"/>
        </w:rPr>
        <w:t xml:space="preserve">.</w:t>
      </w:r>
    </w:p>
    <w:p>
      <w:pPr>
        <w:pStyle w:val="0"/>
        <w:spacing w:before="200" w:line-rule="auto"/>
        <w:ind w:firstLine="540"/>
        <w:jc w:val="both"/>
      </w:pPr>
      <w:r>
        <w:rPr>
          <w:sz w:val="20"/>
        </w:rPr>
        <w:t xml:space="preserve">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сети Интернет (</w:t>
      </w:r>
      <w:r>
        <w:rPr>
          <w:sz w:val="20"/>
        </w:rPr>
        <w:t xml:space="preserve">www.gost.ru</w:t>
      </w:r>
      <w:r>
        <w:rPr>
          <w:sz w:val="20"/>
        </w:rPr>
        <w:t xml:space="preserve">).</w:t>
      </w:r>
    </w:p>
    <w:p>
      <w:pPr>
        <w:pStyle w:val="0"/>
        <w:spacing w:before="200" w:line-rule="auto"/>
        <w:ind w:firstLine="540"/>
        <w:jc w:val="both"/>
      </w:pPr>
      <w:r>
        <w:rPr>
          <w:sz w:val="20"/>
        </w:rPr>
        <w:t xml:space="preserve">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pPr>
        <w:pStyle w:val="0"/>
        <w:jc w:val="both"/>
      </w:pPr>
      <w:r>
        <w:rPr>
          <w:sz w:val="20"/>
        </w:rPr>
      </w:r>
    </w:p>
    <w:p>
      <w:pPr>
        <w:pStyle w:val="2"/>
        <w:outlineLvl w:val="1"/>
        <w:jc w:val="center"/>
      </w:pPr>
      <w:r>
        <w:rPr>
          <w:sz w:val="20"/>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в развитие положений </w:t>
      </w:r>
      <w:hyperlink w:history="0" r:id="rId1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статей 62</w:t>
        </w:r>
      </w:hyperlink>
      <w:r>
        <w:rPr>
          <w:sz w:val="20"/>
        </w:rPr>
        <w:t xml:space="preserve">, </w:t>
      </w:r>
      <w:hyperlink w:history="0" r:id="rId16"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68</w:t>
        </w:r>
      </w:hyperlink>
      <w:r>
        <w:rPr>
          <w:sz w:val="20"/>
        </w:rPr>
        <w:t xml:space="preserve"> и </w:t>
      </w:r>
      <w:hyperlink w:history="0" r:id="rId1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99</w:t>
        </w:r>
      </w:hyperlink>
      <w:r>
        <w:rPr>
          <w:sz w:val="20"/>
        </w:rPr>
        <w:t xml:space="preserve"> Федерального закона от 22 июля 2008 г. N 123-ФЗ "Технический регламент о требованиях пожарной безопасности" </w:t>
      </w:r>
      <w:hyperlink w:history="0" w:anchor="P815" w:tooltip="[1] Федеральный закон от 22 июля 2008 г. N 123-ФЗ &quot;Технический регламент о требованиях пожарной безопасности&quot;.">
        <w:r>
          <w:rPr>
            <w:sz w:val="20"/>
            <w:color w:val="0000ff"/>
          </w:rPr>
          <w:t xml:space="preserve">[1]</w:t>
        </w:r>
      </w:hyperlink>
      <w:r>
        <w:rPr>
          <w:sz w:val="20"/>
        </w:rPr>
        <w:t xml:space="preserve"> (далее - Технический регламент) и является нормативным документом добровольного применения.</w:t>
      </w:r>
    </w:p>
    <w:p>
      <w:pPr>
        <w:pStyle w:val="0"/>
        <w:spacing w:before="200" w:line-rule="auto"/>
        <w:ind w:firstLine="540"/>
        <w:jc w:val="both"/>
      </w:pPr>
      <w:r>
        <w:rPr>
          <w:sz w:val="20"/>
        </w:rPr>
        <w:t xml:space="preserve">Настоящий свод правил устанавливает нормы расхода воды на наружное пожаротушение, требования к расчетному количеству одновременных пожаров, свободным напорам в наружной водопроводной сети, размещению пожарных гидрантов и другие требования пожарной безопасности, необходимые для проектирования систем водоснабжения, обеспечивающих противопожарные нужды, а также требования к пожарным резервуарам и водоемам.</w:t>
      </w:r>
    </w:p>
    <w:p>
      <w:pPr>
        <w:pStyle w:val="0"/>
        <w:spacing w:before="200" w:line-rule="auto"/>
        <w:ind w:firstLine="540"/>
        <w:jc w:val="both"/>
      </w:pPr>
      <w:r>
        <w:rPr>
          <w:sz w:val="20"/>
        </w:rPr>
        <w:t xml:space="preserve">Требования настоящего свода правил не содержат данных, достаточных для проектирования противопожарного водоснабжения ряда производственных объектов, требования к которым установлены нормативными документами по пожарной безопасности для соответствующих отраслей промышленности и сельского хозяйства.</w:t>
      </w:r>
    </w:p>
    <w:p>
      <w:pPr>
        <w:pStyle w:val="0"/>
        <w:jc w:val="both"/>
      </w:pPr>
      <w:r>
        <w:rPr>
          <w:sz w:val="20"/>
        </w:rPr>
      </w:r>
    </w:p>
    <w:p>
      <w:pPr>
        <w:pStyle w:val="2"/>
        <w:outlineLvl w:val="1"/>
        <w:ind w:firstLine="540"/>
        <w:jc w:val="both"/>
      </w:pPr>
      <w:r>
        <w:rPr>
          <w:sz w:val="20"/>
        </w:rPr>
        <w:t xml:space="preserve">1. Область применения</w:t>
      </w:r>
    </w:p>
    <w:p>
      <w:pPr>
        <w:pStyle w:val="0"/>
        <w:jc w:val="both"/>
      </w:pPr>
      <w:r>
        <w:rPr>
          <w:sz w:val="20"/>
        </w:rPr>
      </w:r>
    </w:p>
    <w:p>
      <w:pPr>
        <w:pStyle w:val="0"/>
        <w:ind w:firstLine="540"/>
        <w:jc w:val="both"/>
      </w:pPr>
      <w:r>
        <w:rPr>
          <w:sz w:val="20"/>
        </w:rPr>
        <w:t xml:space="preserve">1.1. Настоящий свод правил устанавливает требования пожарной безопасности к наружному противопожарному водоснабжению населенных пунктов и производственных объектов.</w:t>
      </w:r>
    </w:p>
    <w:p>
      <w:pPr>
        <w:pStyle w:val="0"/>
        <w:spacing w:before="200" w:line-rule="auto"/>
        <w:ind w:firstLine="540"/>
        <w:jc w:val="both"/>
      </w:pPr>
      <w:r>
        <w:rPr>
          <w:sz w:val="20"/>
        </w:rPr>
        <w:t xml:space="preserve">1.2. Установленные настоящим сводом правил требования пожарной безопасности должны соблюдаться при проектировании, строительстве, реконструкции и капитальном ремонте систем противопожарного водоснабжения населенных пунктов и производственных объектов, а также пожарных резервуаров и водоемов.</w:t>
      </w:r>
    </w:p>
    <w:p>
      <w:pPr>
        <w:pStyle w:val="0"/>
        <w:spacing w:before="200" w:line-rule="auto"/>
        <w:ind w:firstLine="540"/>
        <w:jc w:val="both"/>
      </w:pPr>
      <w:r>
        <w:rPr>
          <w:sz w:val="20"/>
        </w:rPr>
        <w:t xml:space="preserve">1.3. Настоящий свод правил не распространяется на предприятия, производящие, применяющие или хранящие взрывчатые вещества.</w:t>
      </w:r>
    </w:p>
    <w:p>
      <w:pPr>
        <w:pStyle w:val="0"/>
        <w:spacing w:before="200" w:line-rule="auto"/>
        <w:ind w:firstLine="540"/>
        <w:jc w:val="both"/>
      </w:pPr>
      <w:r>
        <w:rPr>
          <w:sz w:val="20"/>
        </w:rPr>
        <w:t xml:space="preserve">1.4. Настоящий свод правил не распространяется на автоматические установки пожаротушения и внутренние противопожарные водопроводы, проектируемые по </w:t>
      </w:r>
      <w:hyperlink w:history="0" r:id="rId18"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с изм. от 31.08.2020)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 Утратил силу или отменен {КонсультантПлюс}">
        <w:r>
          <w:rPr>
            <w:sz w:val="20"/>
            <w:color w:val="0000ff"/>
          </w:rPr>
          <w:t xml:space="preserve">СП 5.13130.2009</w:t>
        </w:r>
      </w:hyperlink>
      <w:r>
        <w:rPr>
          <w:sz w:val="20"/>
        </w:rPr>
        <w:t xml:space="preserve"> "Системы противопожарной защиты. Установки пожарной сигнализации и пожаротушения автоматические. Нормы и правила проектирования" и </w:t>
      </w:r>
      <w:hyperlink w:history="0" r:id="rId19"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СП 10.13130.2009</w:t>
        </w:r>
      </w:hyperlink>
      <w:r>
        <w:rPr>
          <w:sz w:val="20"/>
        </w:rPr>
        <w:t xml:space="preserve"> "Системы противопожарной защиты. Внутренний противопожарный водопровод. Требования пожарной безопасности", а также временные системы противопожарного водоснабжения.</w:t>
      </w:r>
    </w:p>
    <w:p>
      <w:pPr>
        <w:pStyle w:val="0"/>
        <w:spacing w:before="200" w:line-rule="auto"/>
        <w:ind w:firstLine="540"/>
        <w:jc w:val="both"/>
      </w:pPr>
      <w:r>
        <w:rPr>
          <w:sz w:val="20"/>
        </w:rPr>
        <w:t xml:space="preserve">1.5. Настоящий свод правил используется при разработке специальных технических условий на проектирование и строительство источников наружного противопожарного водоснабжения.</w:t>
      </w:r>
    </w:p>
    <w:p>
      <w:pPr>
        <w:pStyle w:val="0"/>
        <w:jc w:val="both"/>
      </w:pPr>
      <w:r>
        <w:rPr>
          <w:sz w:val="20"/>
        </w:rPr>
      </w:r>
    </w:p>
    <w:p>
      <w:pPr>
        <w:pStyle w:val="2"/>
        <w:outlineLvl w:val="1"/>
        <w:ind w:firstLine="540"/>
        <w:jc w:val="both"/>
      </w:pPr>
      <w:r>
        <w:rPr>
          <w:sz w:val="20"/>
        </w:rPr>
        <w:t xml:space="preserve">2. Нормативные ссылки</w:t>
      </w:r>
    </w:p>
    <w:p>
      <w:pPr>
        <w:pStyle w:val="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стандарты и своды правил:</w:t>
      </w:r>
    </w:p>
    <w:p>
      <w:pPr>
        <w:pStyle w:val="0"/>
        <w:spacing w:before="200" w:line-rule="auto"/>
        <w:ind w:firstLine="540"/>
        <w:jc w:val="both"/>
      </w:pPr>
      <w:hyperlink w:history="0" r:id="rId20" w:tooltip="&quot;ГОСТ 19179-73. Государственный стандарт Союза ССР. Гидрология суши. Термины и определения&quot; (введен в действие Постановлением Госстандарта СССР от 29.10.1973 N 2394) {КонсультантПлюс}">
        <w:r>
          <w:rPr>
            <w:sz w:val="20"/>
            <w:color w:val="0000ff"/>
          </w:rPr>
          <w:t xml:space="preserve">ГОСТ 19179-73</w:t>
        </w:r>
      </w:hyperlink>
      <w:r>
        <w:rPr>
          <w:sz w:val="20"/>
        </w:rPr>
        <w:t xml:space="preserve"> Государственный стандарт Союза ССР. Гидрология суши. Термины и определения.</w:t>
      </w:r>
    </w:p>
    <w:p>
      <w:pPr>
        <w:pStyle w:val="0"/>
        <w:spacing w:before="200" w:line-rule="auto"/>
        <w:ind w:firstLine="540"/>
        <w:jc w:val="both"/>
      </w:pPr>
      <w:hyperlink w:history="0" r:id="rId21" w:tooltip="&quot;ГОСТ 25151-82 (СТ СЭВ 2084-80). Государственный стандарт Союза ССР. Водоснабжение. Термины и определения&quot; (утв. Постановлением Госстандарта СССР от 25.02.1982 N 830) {КонсультантПлюс}">
        <w:r>
          <w:rPr>
            <w:sz w:val="20"/>
            <w:color w:val="0000ff"/>
          </w:rPr>
          <w:t xml:space="preserve">ГОСТ 25151-82</w:t>
        </w:r>
      </w:hyperlink>
      <w:r>
        <w:rPr>
          <w:sz w:val="20"/>
        </w:rPr>
        <w:t xml:space="preserve"> (СТ СЭВ 2084-80) Государственный стандарт Союза ССР. Водоснабжение. Термины и определения.</w:t>
      </w:r>
    </w:p>
    <w:p>
      <w:pPr>
        <w:pStyle w:val="0"/>
        <w:spacing w:before="200" w:line-rule="auto"/>
        <w:ind w:firstLine="540"/>
        <w:jc w:val="both"/>
      </w:pPr>
      <w:hyperlink w:history="0" r:id="rId22" w:tooltip="&quot;ГОСТ 12.2.047-86 (СТ СЭВ 5236-85). Государственный стандарт Союза ССР. Система стандартов безопасности труда. Пожарная техника. Термины и определения&quot; (утв. и введен в действие Постановлением Госстандарта СССР от 30.06.1986 N 1982) {КонсультантПлюс}">
        <w:r>
          <w:rPr>
            <w:sz w:val="20"/>
            <w:color w:val="0000ff"/>
          </w:rPr>
          <w:t xml:space="preserve">ГОСТ 12.2.047-86</w:t>
        </w:r>
      </w:hyperlink>
      <w:r>
        <w:rPr>
          <w:sz w:val="20"/>
        </w:rPr>
        <w:t xml:space="preserve"> (СТ СЭВ 5236-85) Государственный стандарт Союза ССР. Система стандартов безопасности труда. Пожарная техника. Термины и определения.</w:t>
      </w:r>
    </w:p>
    <w:p>
      <w:pPr>
        <w:pStyle w:val="0"/>
        <w:spacing w:before="200" w:line-rule="auto"/>
        <w:ind w:firstLine="540"/>
        <w:jc w:val="both"/>
      </w:pPr>
      <w:hyperlink w:history="0" r:id="rId23" w:tooltip="&quot;ГОСТ 33666-2015. Межгосударственный стандарт. Автомобильные транспортные средства для транспортирования и заправки нефтепродуктов. Технические требования&quot; (введен в действие Приказом Росстандарта от 22.06.2016 N 657-ст) {КонсультантПлюс}">
        <w:r>
          <w:rPr>
            <w:sz w:val="20"/>
            <w:color w:val="0000ff"/>
          </w:rPr>
          <w:t xml:space="preserve">ГОСТ 33666-2015</w:t>
        </w:r>
      </w:hyperlink>
      <w:r>
        <w:rPr>
          <w:sz w:val="20"/>
        </w:rPr>
        <w:t xml:space="preserve"> Межгосударственный стандарт. Автомобильные транспортные средства для транспортирования и заправки нефтепродуктов. Технические требования.</w:t>
      </w:r>
    </w:p>
    <w:p>
      <w:pPr>
        <w:pStyle w:val="0"/>
        <w:spacing w:before="200" w:line-rule="auto"/>
        <w:ind w:firstLine="540"/>
        <w:jc w:val="both"/>
      </w:pPr>
      <w:hyperlink w:history="0" r:id="rId24"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с изм. от 31.08.2020)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 Утратил силу или отменен {КонсультантПлюс}">
        <w:r>
          <w:rPr>
            <w:sz w:val="20"/>
            <w:color w:val="0000ff"/>
          </w:rPr>
          <w:t xml:space="preserve">СП 5.13130.2009</w:t>
        </w:r>
      </w:hyperlink>
      <w:r>
        <w:rPr>
          <w:sz w:val="20"/>
        </w:rPr>
        <w:t xml:space="preserve"> Системы противопожарной защиты. Установки пожарной сигнализации и пожаротушения автоматические. Нормы и правила проектирования.</w:t>
      </w:r>
    </w:p>
    <w:p>
      <w:pPr>
        <w:pStyle w:val="0"/>
        <w:spacing w:before="200" w:line-rule="auto"/>
        <w:ind w:firstLine="540"/>
        <w:jc w:val="both"/>
      </w:pPr>
      <w:hyperlink w:history="0" r:id="rId25"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СП 10.13130.2009</w:t>
        </w:r>
      </w:hyperlink>
      <w:r>
        <w:rPr>
          <w:sz w:val="20"/>
        </w:rPr>
        <w:t xml:space="preserve"> Системы противопожарной защиты. Внутренний противопожарный водопровод. Требования пожарной безопасности.</w:t>
      </w:r>
    </w:p>
    <w:p>
      <w:pPr>
        <w:pStyle w:val="0"/>
        <w:spacing w:before="200" w:line-rule="auto"/>
        <w:ind w:firstLine="540"/>
        <w:jc w:val="both"/>
      </w:pPr>
      <w:hyperlink w:history="0" r:id="rId26"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w:t>
      </w:r>
    </w:p>
    <w:p>
      <w:pPr>
        <w:pStyle w:val="0"/>
        <w:spacing w:before="200" w:line-rule="auto"/>
        <w:ind w:firstLine="540"/>
        <w:jc w:val="both"/>
      </w:pPr>
      <w:hyperlink w:history="0" r:id="rId27" w:tooltip="&quot;СП 37.13330.2012. Свод правил. Промышленный транспорт. Актуализированная редакция СНиП 2.05.07-91*&quot; (утв. Приказом Минрегиона России от 29.12.2011 N 635/7) (ред. от 29.12.2020) {КонсультантПлюс}">
        <w:r>
          <w:rPr>
            <w:sz w:val="20"/>
            <w:color w:val="0000ff"/>
          </w:rPr>
          <w:t xml:space="preserve">СП 37.13330.2012</w:t>
        </w:r>
      </w:hyperlink>
      <w:r>
        <w:rPr>
          <w:sz w:val="20"/>
        </w:rPr>
        <w:t xml:space="preserve"> Промышленный транспорт. Актуализированная редакция СНиП 2.05.07-91*.</w:t>
      </w:r>
    </w:p>
    <w:p>
      <w:pPr>
        <w:pStyle w:val="0"/>
        <w:spacing w:before="200" w:line-rule="auto"/>
        <w:ind w:firstLine="540"/>
        <w:jc w:val="both"/>
      </w:pPr>
      <w:hyperlink w:history="0" r:id="rId28" w:tooltip="&quot;СП 113.13330.2016. Свод правил. Стоянки автомобилей. Актуализированная редакция СНиП 21-02-99*&quot; (утв. Приказом Минстроя России от 07.11.2016 N 776/пр) (ред. от 17.09.2019) {КонсультантПлюс}">
        <w:r>
          <w:rPr>
            <w:sz w:val="20"/>
            <w:color w:val="0000ff"/>
          </w:rPr>
          <w:t xml:space="preserve">СП 113.13330.2016</w:t>
        </w:r>
      </w:hyperlink>
      <w:r>
        <w:rPr>
          <w:sz w:val="20"/>
        </w:rPr>
        <w:t xml:space="preserve"> Стоянки автомобилей. Актуализированная редакция СНиП 21-02-99*.</w:t>
      </w:r>
    </w:p>
    <w:p>
      <w:pPr>
        <w:pStyle w:val="0"/>
        <w:spacing w:before="200" w:line-rule="auto"/>
        <w:ind w:firstLine="540"/>
        <w:jc w:val="both"/>
      </w:pPr>
      <w:hyperlink w:history="0" r:id="rId29" w:tooltip="&quot;СП 114.13330.2016. Свод правил. Склады лесных материалов. Противопожарные нормы. Актуализированная редакция СНиП 21-03-2003&quot; (утв. Приказом Минстроя России от 09.09.2016 N 627/пр) {КонсультантПлюс}">
        <w:r>
          <w:rPr>
            <w:sz w:val="20"/>
            <w:color w:val="0000ff"/>
          </w:rPr>
          <w:t xml:space="preserve">СП 114.13330.2016</w:t>
        </w:r>
      </w:hyperlink>
      <w:r>
        <w:rPr>
          <w:sz w:val="20"/>
        </w:rPr>
        <w:t xml:space="preserve"> Склады лесных материалов. Противопожарные нормы. Актуализированная редакция СНиП 21-03-2003.</w:t>
      </w:r>
    </w:p>
    <w:p>
      <w:pPr>
        <w:pStyle w:val="0"/>
        <w:spacing w:before="200" w:line-rule="auto"/>
        <w:ind w:firstLine="540"/>
        <w:jc w:val="both"/>
      </w:pPr>
      <w:hyperlink w:history="0" r:id="rId30"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Общественные здания и сооружения. Актуализированная редакция СНиП 31-06-2009.</w:t>
      </w:r>
    </w:p>
    <w:p>
      <w:pPr>
        <w:pStyle w:val="0"/>
        <w:spacing w:before="200" w:line-rule="auto"/>
        <w:ind w:firstLine="540"/>
        <w:jc w:val="both"/>
      </w:pPr>
      <w:r>
        <w:rPr>
          <w:sz w:val="20"/>
        </w:rPr>
        <w:t xml:space="preserve">Примечание: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pPr>
        <w:pStyle w:val="0"/>
        <w:jc w:val="both"/>
      </w:pPr>
      <w:r>
        <w:rPr>
          <w:sz w:val="20"/>
        </w:rPr>
      </w:r>
    </w:p>
    <w:p>
      <w:pPr>
        <w:pStyle w:val="2"/>
        <w:outlineLvl w:val="1"/>
        <w:ind w:firstLine="540"/>
        <w:jc w:val="both"/>
      </w:pPr>
      <w:r>
        <w:rPr>
          <w:sz w:val="20"/>
        </w:rPr>
        <w:t xml:space="preserve">3. Термины и определения</w:t>
      </w:r>
    </w:p>
    <w:p>
      <w:pPr>
        <w:pStyle w:val="0"/>
        <w:jc w:val="both"/>
      </w:pPr>
      <w:r>
        <w:rPr>
          <w:sz w:val="20"/>
        </w:rPr>
      </w:r>
    </w:p>
    <w:p>
      <w:pPr>
        <w:pStyle w:val="0"/>
        <w:ind w:firstLine="540"/>
        <w:jc w:val="both"/>
      </w:pPr>
      <w:r>
        <w:rPr>
          <w:sz w:val="20"/>
        </w:rPr>
        <w:t xml:space="preserve">В настоящем своде правил применяются понятия, установленные Техническим </w:t>
      </w:r>
      <w:hyperlink w:history="0" r:id="rId31"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регламентом</w:t>
        </w:r>
      </w:hyperlink>
      <w:r>
        <w:rPr>
          <w:sz w:val="20"/>
        </w:rPr>
        <w:t xml:space="preserve">, термины, установленные </w:t>
      </w:r>
      <w:hyperlink w:history="0" r:id="rId32" w:tooltip="&quot;ГОСТ 25151-82 (СТ СЭВ 2084-80). Государственный стандарт Союза ССР. Водоснабжение. Термины и определения&quot; (утв. Постановлением Госстандарта СССР от 25.02.1982 N 830) {КонсультантПлюс}">
        <w:r>
          <w:rPr>
            <w:sz w:val="20"/>
            <w:color w:val="0000ff"/>
          </w:rPr>
          <w:t xml:space="preserve">ГОСТ 25151-82</w:t>
        </w:r>
      </w:hyperlink>
      <w:r>
        <w:rPr>
          <w:sz w:val="20"/>
        </w:rPr>
        <w:t xml:space="preserve"> (СТ СЭВ 2084-80) Государственный стандарт Союза ССР. Водоснабжение. Термины и определения, а также следующие термины с соответствующими определениями:</w:t>
      </w:r>
    </w:p>
    <w:p>
      <w:pPr>
        <w:pStyle w:val="0"/>
        <w:spacing w:before="200" w:line-rule="auto"/>
        <w:ind w:firstLine="540"/>
        <w:jc w:val="both"/>
      </w:pPr>
      <w:r>
        <w:rPr>
          <w:sz w:val="20"/>
        </w:rPr>
        <w:t xml:space="preserve">3.1. Водный объект: природный или искусственный водоем, водоток либо иной объект, постоянное или временное сосредоточение вод, в котором имеются характерные формы и признаки водного режима (изменение во времени уровня, расхода и объема воды).</w:t>
      </w:r>
    </w:p>
    <w:p>
      <w:pPr>
        <w:pStyle w:val="0"/>
        <w:spacing w:before="200" w:line-rule="auto"/>
        <w:ind w:firstLine="540"/>
        <w:jc w:val="both"/>
      </w:pPr>
      <w:r>
        <w:rPr>
          <w:sz w:val="20"/>
        </w:rPr>
        <w:t xml:space="preserve">3.2. Водоем: водный объект в углублении суши, характеризующийся замедленным движением воды или полным его отсутствием.</w:t>
      </w:r>
    </w:p>
    <w:p>
      <w:pPr>
        <w:pStyle w:val="0"/>
        <w:spacing w:before="200" w:line-rule="auto"/>
        <w:ind w:firstLine="540"/>
        <w:jc w:val="both"/>
      </w:pPr>
      <w:r>
        <w:rPr>
          <w:sz w:val="20"/>
        </w:rPr>
        <w:t xml:space="preserve">Примечание: различают естественные водоемы, представляющие собой природные скопления воды во впадинах, и искусственные водоемы - специально созданные скопления воды в искусственных или естественных углублениях земной поверхности.</w:t>
      </w:r>
    </w:p>
    <w:p>
      <w:pPr>
        <w:pStyle w:val="0"/>
        <w:jc w:val="both"/>
      </w:pPr>
      <w:r>
        <w:rPr>
          <w:sz w:val="20"/>
        </w:rPr>
      </w:r>
    </w:p>
    <w:p>
      <w:pPr>
        <w:pStyle w:val="0"/>
        <w:ind w:firstLine="540"/>
        <w:jc w:val="both"/>
      </w:pPr>
      <w:r>
        <w:rPr>
          <w:sz w:val="20"/>
        </w:rPr>
        <w:t xml:space="preserve">3.3. Водопровод: комплекс сооружений, включающий водозабор, водопроводные насосные станции, станцию очистки воды или водоподготовки, водопроводную сеть и резервуары, для обеспечения водой определенного качества потребителей.</w:t>
      </w:r>
    </w:p>
    <w:p>
      <w:pPr>
        <w:pStyle w:val="0"/>
        <w:spacing w:before="200" w:line-rule="auto"/>
        <w:ind w:firstLine="540"/>
        <w:jc w:val="both"/>
      </w:pPr>
      <w:r>
        <w:rPr>
          <w:sz w:val="20"/>
        </w:rPr>
        <w:t xml:space="preserve">3.4. Водоток: водный объект, характеризующийся движением воды в направлении уклона в углублении земной поверхности.</w:t>
      </w:r>
    </w:p>
    <w:p>
      <w:pPr>
        <w:pStyle w:val="0"/>
        <w:spacing w:before="200" w:line-rule="auto"/>
        <w:ind w:firstLine="540"/>
        <w:jc w:val="both"/>
      </w:pPr>
      <w:r>
        <w:rPr>
          <w:sz w:val="20"/>
        </w:rPr>
        <w:t xml:space="preserve">3.5. Источник водоснабжения: природный или антропогенный поверхностный водоем (река, море, озеро, океан, водохранилище и т.д.) или подземные воды, обеспечивающие забор необходимого потребителю количества воды в течение длительного времени.</w:t>
      </w:r>
    </w:p>
    <w:p>
      <w:pPr>
        <w:pStyle w:val="0"/>
        <w:spacing w:before="200" w:line-rule="auto"/>
        <w:ind w:firstLine="540"/>
        <w:jc w:val="both"/>
      </w:pPr>
      <w:r>
        <w:rPr>
          <w:sz w:val="20"/>
        </w:rPr>
        <w:t xml:space="preserve">3.6. Источники наружного противопожарного водоснабжения: наружные водопроводные сети, водные объекты, используемые для целей пожаротушения и противопожарные резервуары.</w:t>
      </w:r>
    </w:p>
    <w:p>
      <w:pPr>
        <w:pStyle w:val="0"/>
        <w:spacing w:before="200" w:line-rule="auto"/>
        <w:ind w:firstLine="540"/>
        <w:jc w:val="both"/>
      </w:pPr>
      <w:r>
        <w:rPr>
          <w:sz w:val="20"/>
        </w:rPr>
        <w:t xml:space="preserve">3.7. Населенный пункт: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pPr>
        <w:pStyle w:val="0"/>
        <w:spacing w:before="200" w:line-rule="auto"/>
        <w:ind w:firstLine="540"/>
        <w:jc w:val="both"/>
      </w:pPr>
      <w:r>
        <w:rPr>
          <w:sz w:val="20"/>
        </w:rPr>
        <w:t xml:space="preserve">3.8. Отдельно стоящее здание: здание, расположенное за пределами сосредоточенной застройки населенного пункта или производственного объекта на расстоянии от ближайшего к нему пожарного гидранта, превышающем нормативное.</w:t>
      </w:r>
    </w:p>
    <w:p>
      <w:pPr>
        <w:pStyle w:val="0"/>
        <w:spacing w:before="200" w:line-rule="auto"/>
        <w:ind w:firstLine="540"/>
        <w:jc w:val="both"/>
      </w:pPr>
      <w:r>
        <w:rPr>
          <w:sz w:val="20"/>
        </w:rPr>
        <w:t xml:space="preserve">3.9. Пожарный гидрант: устройство для отбора воды из водопроводной сети для тушения пожара.</w:t>
      </w:r>
    </w:p>
    <w:p>
      <w:pPr>
        <w:pStyle w:val="0"/>
        <w:spacing w:before="200" w:line-rule="auto"/>
        <w:ind w:firstLine="540"/>
        <w:jc w:val="both"/>
      </w:pPr>
      <w:r>
        <w:rPr>
          <w:sz w:val="20"/>
        </w:rPr>
        <w:t xml:space="preserve">3.10. Пожарный водоем: водный объект, имеющий необходимый запас воды для тушения пожаров и оборудованный для ее забора пожарными автомобилями (мотопомпами).</w:t>
      </w:r>
    </w:p>
    <w:p>
      <w:pPr>
        <w:pStyle w:val="0"/>
        <w:spacing w:before="200" w:line-rule="auto"/>
        <w:ind w:firstLine="540"/>
        <w:jc w:val="both"/>
      </w:pPr>
      <w:r>
        <w:rPr>
          <w:sz w:val="20"/>
        </w:rPr>
        <w:t xml:space="preserve">3.11. Пожарный резервуар: инженерное сооружение емкостного типа с необходимым запасом воды для тушения пожаров и обустроенное для ее забора пожарными автомобилями (мотопомпами).</w:t>
      </w:r>
    </w:p>
    <w:p>
      <w:pPr>
        <w:pStyle w:val="0"/>
        <w:spacing w:before="200" w:line-rule="auto"/>
        <w:ind w:firstLine="540"/>
        <w:jc w:val="both"/>
      </w:pPr>
      <w:r>
        <w:rPr>
          <w:sz w:val="20"/>
        </w:rPr>
        <w:t xml:space="preserve">3.12. Противопожарный водопровод: водопровод, обеспечивающий противопожарные нужды.</w:t>
      </w:r>
    </w:p>
    <w:p>
      <w:pPr>
        <w:pStyle w:val="0"/>
        <w:spacing w:before="200" w:line-rule="auto"/>
        <w:ind w:firstLine="540"/>
        <w:jc w:val="both"/>
      </w:pPr>
      <w:r>
        <w:rPr>
          <w:sz w:val="20"/>
        </w:rPr>
        <w:t xml:space="preserve">3.13. Система водоснабжения: комплекс сооружений, самотечных и напорных сетей, служащий для забора воды из источников водоснабжения, ее очистки до нормативных показателей и подачи потребителю.</w:t>
      </w:r>
    </w:p>
    <w:p>
      <w:pPr>
        <w:pStyle w:val="0"/>
        <w:spacing w:before="200" w:line-rule="auto"/>
        <w:ind w:firstLine="540"/>
        <w:jc w:val="both"/>
      </w:pPr>
      <w:r>
        <w:rPr>
          <w:sz w:val="20"/>
        </w:rPr>
        <w:t xml:space="preserve">3.14. Система противопожарного водоснабжения: система водоснабжения, обеспечивающая противопожарные нужды.</w:t>
      </w:r>
    </w:p>
    <w:p>
      <w:pPr>
        <w:pStyle w:val="0"/>
        <w:jc w:val="both"/>
      </w:pPr>
      <w:r>
        <w:rPr>
          <w:sz w:val="20"/>
        </w:rPr>
      </w:r>
    </w:p>
    <w:p>
      <w:pPr>
        <w:pStyle w:val="2"/>
        <w:outlineLvl w:val="1"/>
        <w:ind w:firstLine="540"/>
        <w:jc w:val="both"/>
      </w:pPr>
      <w:r>
        <w:rPr>
          <w:sz w:val="20"/>
        </w:rPr>
        <w:t xml:space="preserve">4. Общие требования</w:t>
      </w:r>
    </w:p>
    <w:p>
      <w:pPr>
        <w:pStyle w:val="0"/>
        <w:jc w:val="both"/>
      </w:pPr>
      <w:r>
        <w:rPr>
          <w:sz w:val="20"/>
        </w:rPr>
      </w:r>
    </w:p>
    <w:p>
      <w:pPr>
        <w:pStyle w:val="0"/>
        <w:ind w:firstLine="540"/>
        <w:jc w:val="both"/>
      </w:pPr>
      <w:r>
        <w:rPr>
          <w:sz w:val="20"/>
        </w:rPr>
        <w:t xml:space="preserve">4.1. В населенных пунктах и на производственных объектах в соответствии с Техническим </w:t>
      </w:r>
      <w:hyperlink w:history="0" r:id="rId33"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регламентом</w:t>
        </w:r>
      </w:hyperlink>
      <w:r>
        <w:rPr>
          <w:sz w:val="20"/>
        </w:rPr>
        <w:t xml:space="preserve"> должны предусматриваться источники наружного противопожарного водоснабжения.</w:t>
      </w:r>
    </w:p>
    <w:p>
      <w:pPr>
        <w:pStyle w:val="0"/>
        <w:spacing w:before="200" w:line-rule="auto"/>
        <w:ind w:firstLine="540"/>
        <w:jc w:val="both"/>
      </w:pPr>
      <w:r>
        <w:rPr>
          <w:sz w:val="20"/>
        </w:rPr>
        <w:t xml:space="preserve">4.2. Для использования в качестве источников наружного противопожарного водоснабжения предусматриваются:</w:t>
      </w:r>
    </w:p>
    <w:p>
      <w:pPr>
        <w:pStyle w:val="0"/>
        <w:spacing w:before="200" w:line-rule="auto"/>
        <w:ind w:firstLine="540"/>
        <w:jc w:val="both"/>
      </w:pPr>
      <w:r>
        <w:rPr>
          <w:sz w:val="20"/>
        </w:rPr>
        <w:t xml:space="preserve">противопожарные водопроводы низкого или высокого давления;</w:t>
      </w:r>
    </w:p>
    <w:p>
      <w:pPr>
        <w:pStyle w:val="0"/>
        <w:spacing w:before="200" w:line-rule="auto"/>
        <w:ind w:firstLine="540"/>
        <w:jc w:val="both"/>
      </w:pPr>
      <w:r>
        <w:rPr>
          <w:sz w:val="20"/>
        </w:rPr>
        <w:t xml:space="preserve">пожарные резервуары и (или) водоемы.</w:t>
      </w:r>
    </w:p>
    <w:p>
      <w:pPr>
        <w:pStyle w:val="0"/>
        <w:spacing w:before="200" w:line-rule="auto"/>
        <w:ind w:firstLine="540"/>
        <w:jc w:val="both"/>
      </w:pPr>
      <w:r>
        <w:rPr>
          <w:sz w:val="20"/>
        </w:rPr>
        <w:t xml:space="preserve">4.3. Противопожарный водопровод, как правило, объединяют с хозяйственно-питьевым или производственным водопроводом.</w:t>
      </w:r>
    </w:p>
    <w:p>
      <w:pPr>
        <w:pStyle w:val="0"/>
        <w:spacing w:before="200" w:line-rule="auto"/>
        <w:ind w:firstLine="540"/>
        <w:jc w:val="both"/>
      </w:pPr>
      <w:r>
        <w:rPr>
          <w:sz w:val="20"/>
        </w:rPr>
        <w:t xml:space="preserve">4.4. Системы противопожарного водоснабжения следует проектировать в соответствии с требованиями </w:t>
      </w:r>
      <w:hyperlink w:history="0" r:id="rId34"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 и настоящего свода правил.</w:t>
      </w:r>
    </w:p>
    <w:p>
      <w:pPr>
        <w:pStyle w:val="0"/>
        <w:spacing w:before="200" w:line-rule="auto"/>
        <w:ind w:firstLine="540"/>
        <w:jc w:val="both"/>
      </w:pPr>
      <w:r>
        <w:rPr>
          <w:sz w:val="20"/>
        </w:rPr>
        <w:t xml:space="preserve">4.5. Качество воды, предназначенной для тушения пожаров, должно соответствовать условиям эксплуатации пожарного оборудования и применяемым способам пожаротушения.</w:t>
      </w:r>
    </w:p>
    <w:p>
      <w:pPr>
        <w:pStyle w:val="0"/>
        <w:jc w:val="both"/>
      </w:pPr>
      <w:r>
        <w:rPr>
          <w:sz w:val="20"/>
        </w:rPr>
      </w:r>
    </w:p>
    <w:bookmarkStart w:id="121" w:name="P121"/>
    <w:bookmarkEnd w:id="121"/>
    <w:p>
      <w:pPr>
        <w:pStyle w:val="2"/>
        <w:outlineLvl w:val="1"/>
        <w:ind w:firstLine="540"/>
        <w:jc w:val="both"/>
      </w:pPr>
      <w:r>
        <w:rPr>
          <w:sz w:val="20"/>
        </w:rPr>
        <w:t xml:space="preserve">5. Расходы воды на наружное пожаротушение</w:t>
      </w:r>
    </w:p>
    <w:p>
      <w:pPr>
        <w:pStyle w:val="0"/>
        <w:jc w:val="both"/>
      </w:pPr>
      <w:r>
        <w:rPr>
          <w:sz w:val="20"/>
        </w:rPr>
      </w:r>
    </w:p>
    <w:bookmarkStart w:id="123" w:name="P123"/>
    <w:bookmarkEnd w:id="123"/>
    <w:p>
      <w:pPr>
        <w:pStyle w:val="0"/>
        <w:ind w:firstLine="540"/>
        <w:jc w:val="both"/>
      </w:pPr>
      <w:r>
        <w:rPr>
          <w:sz w:val="20"/>
        </w:rPr>
        <w:t xml:space="preserve">5.1. Для расчета магистральных (расчетных кольцевых) линий водопроводной сети населенного пункта расход воды на наружное пожаротушение (на один пожар) и количество одновременных пожаров следует принимать по таблице 1. При этом принятое значение расхода воды на наружное пожаротушение должно быть не менее расхода воды для расчета соединительных и распределительных линий водопроводной сети населенного пункта, а также водопроводной сети внутри микрорайона или квартала в соответствии с </w:t>
      </w:r>
      <w:hyperlink w:history="0" w:anchor="P201" w:tooltip="5.2. Для расчета соединительных и распределительных линий водопроводной сети населенного пункта, а также водопроводной сети внутри микрорайона или квартала расход воды на наружное пожаротушение (на один пожар) следует принимать по таблице 2 для здания, требующего наибольшего расхода воды.">
        <w:r>
          <w:rPr>
            <w:sz w:val="20"/>
            <w:color w:val="0000ff"/>
          </w:rPr>
          <w:t xml:space="preserve">пунктом 5.2</w:t>
        </w:r>
      </w:hyperlink>
      <w:r>
        <w:rPr>
          <w:sz w:val="20"/>
        </w:rPr>
        <w:t xml:space="preserve"> настоящего свода правил.</w:t>
      </w:r>
    </w:p>
    <w:p>
      <w:pPr>
        <w:pStyle w:val="0"/>
        <w:jc w:val="both"/>
      </w:pPr>
      <w:r>
        <w:rPr>
          <w:sz w:val="20"/>
        </w:rPr>
      </w:r>
    </w:p>
    <w:p>
      <w:pPr>
        <w:pStyle w:val="0"/>
        <w:jc w:val="right"/>
      </w:pPr>
      <w:r>
        <w:rPr>
          <w:sz w:val="20"/>
        </w:rPr>
        <w:t xml:space="preserve">Таблица 1</w:t>
      </w:r>
    </w:p>
    <w:p>
      <w:pPr>
        <w:pStyle w:val="0"/>
        <w:jc w:val="both"/>
      </w:pPr>
      <w:r>
        <w:rPr>
          <w:sz w:val="20"/>
        </w:rPr>
      </w:r>
    </w:p>
    <w:bookmarkStart w:id="127" w:name="P127"/>
    <w:bookmarkEnd w:id="127"/>
    <w:p>
      <w:pPr>
        <w:pStyle w:val="2"/>
        <w:outlineLvl w:val="2"/>
        <w:jc w:val="center"/>
      </w:pPr>
      <w:r>
        <w:rPr>
          <w:sz w:val="20"/>
        </w:rPr>
        <w:t xml:space="preserve">Расход воды на наружное пожаротушение в населенном пункте</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2041"/>
        <w:gridCol w:w="3089"/>
        <w:gridCol w:w="3089"/>
      </w:tblGrid>
      <w:tr>
        <w:tc>
          <w:tcPr>
            <w:tcW w:w="3685" w:type="dxa"/>
            <w:vMerge w:val="restart"/>
          </w:tcPr>
          <w:p>
            <w:pPr>
              <w:pStyle w:val="0"/>
              <w:jc w:val="center"/>
            </w:pPr>
            <w:r>
              <w:rPr>
                <w:sz w:val="20"/>
              </w:rPr>
              <w:t xml:space="preserve">Число жителей в населенном пункте, тыс. чел.</w:t>
            </w:r>
          </w:p>
        </w:tc>
        <w:tc>
          <w:tcPr>
            <w:tcW w:w="2041" w:type="dxa"/>
            <w:vMerge w:val="restart"/>
          </w:tcPr>
          <w:p>
            <w:pPr>
              <w:pStyle w:val="0"/>
              <w:jc w:val="center"/>
            </w:pPr>
            <w:r>
              <w:rPr>
                <w:sz w:val="20"/>
              </w:rPr>
              <w:t xml:space="preserve">Расчетное количество одновременных пожаров</w:t>
            </w:r>
          </w:p>
        </w:tc>
        <w:tc>
          <w:tcPr>
            <w:gridSpan w:val="2"/>
            <w:tcW w:w="6178" w:type="dxa"/>
          </w:tcPr>
          <w:p>
            <w:pPr>
              <w:pStyle w:val="0"/>
              <w:jc w:val="center"/>
            </w:pPr>
            <w:r>
              <w:rPr>
                <w:sz w:val="20"/>
              </w:rPr>
              <w:t xml:space="preserve">Расход воды на наружное пожаротушение в населенном пункте на 1 пожар, л/с</w:t>
            </w:r>
          </w:p>
        </w:tc>
      </w:tr>
      <w:tr>
        <w:tc>
          <w:tcPr>
            <w:vMerge w:val="continue"/>
          </w:tcPr>
          <w:p/>
        </w:tc>
        <w:tc>
          <w:tcPr>
            <w:vMerge w:val="continue"/>
          </w:tcPr>
          <w:p/>
        </w:tc>
        <w:tc>
          <w:tcPr>
            <w:tcW w:w="3089" w:type="dxa"/>
          </w:tcPr>
          <w:p>
            <w:pPr>
              <w:pStyle w:val="0"/>
              <w:jc w:val="center"/>
            </w:pPr>
            <w:r>
              <w:rPr>
                <w:sz w:val="20"/>
              </w:rPr>
              <w:t xml:space="preserve">застройка зданиями высотой не более 2 этажей</w:t>
            </w:r>
          </w:p>
        </w:tc>
        <w:tc>
          <w:tcPr>
            <w:tcW w:w="3089" w:type="dxa"/>
          </w:tcPr>
          <w:p>
            <w:pPr>
              <w:pStyle w:val="0"/>
              <w:jc w:val="center"/>
            </w:pPr>
            <w:r>
              <w:rPr>
                <w:sz w:val="20"/>
              </w:rPr>
              <w:t xml:space="preserve">застройка зданиями высотой 3 этажа и выше</w:t>
            </w:r>
          </w:p>
        </w:tc>
      </w:tr>
      <w:tr>
        <w:tc>
          <w:tcPr>
            <w:tcW w:w="3685" w:type="dxa"/>
            <w:vAlign w:val="center"/>
          </w:tcPr>
          <w:p>
            <w:pPr>
              <w:pStyle w:val="0"/>
            </w:pPr>
            <w:r>
              <w:rPr>
                <w:sz w:val="20"/>
              </w:rPr>
              <w:t xml:space="preserve">Не более 1</w:t>
            </w:r>
          </w:p>
        </w:tc>
        <w:tc>
          <w:tcPr>
            <w:tcW w:w="2041" w:type="dxa"/>
            <w:vAlign w:val="center"/>
          </w:tcPr>
          <w:p>
            <w:pPr>
              <w:pStyle w:val="0"/>
              <w:jc w:val="center"/>
            </w:pPr>
            <w:r>
              <w:rPr>
                <w:sz w:val="20"/>
              </w:rPr>
              <w:t xml:space="preserve">1</w:t>
            </w:r>
          </w:p>
        </w:tc>
        <w:tc>
          <w:tcPr>
            <w:tcW w:w="3089" w:type="dxa"/>
            <w:vAlign w:val="center"/>
          </w:tcPr>
          <w:p>
            <w:pPr>
              <w:pStyle w:val="0"/>
              <w:jc w:val="center"/>
            </w:pPr>
            <w:r>
              <w:rPr>
                <w:sz w:val="20"/>
              </w:rPr>
              <w:t xml:space="preserve">5</w:t>
            </w:r>
          </w:p>
        </w:tc>
        <w:tc>
          <w:tcPr>
            <w:tcW w:w="3089" w:type="dxa"/>
            <w:vAlign w:val="center"/>
          </w:tcPr>
          <w:p>
            <w:pPr>
              <w:pStyle w:val="0"/>
              <w:jc w:val="center"/>
            </w:pPr>
            <w:r>
              <w:rPr>
                <w:sz w:val="20"/>
              </w:rPr>
              <w:t xml:space="preserve">10</w:t>
            </w:r>
          </w:p>
        </w:tc>
      </w:tr>
      <w:tr>
        <w:tc>
          <w:tcPr>
            <w:tcW w:w="3685" w:type="dxa"/>
            <w:vAlign w:val="center"/>
          </w:tcPr>
          <w:p>
            <w:pPr>
              <w:pStyle w:val="0"/>
            </w:pPr>
            <w:r>
              <w:rPr>
                <w:sz w:val="20"/>
              </w:rPr>
              <w:t xml:space="preserve">Более 1, но не более 5</w:t>
            </w:r>
          </w:p>
        </w:tc>
        <w:tc>
          <w:tcPr>
            <w:tcW w:w="2041" w:type="dxa"/>
            <w:vAlign w:val="center"/>
          </w:tcPr>
          <w:p>
            <w:pPr>
              <w:pStyle w:val="0"/>
              <w:jc w:val="center"/>
            </w:pPr>
            <w:r>
              <w:rPr>
                <w:sz w:val="20"/>
              </w:rPr>
              <w:t xml:space="preserve">1</w:t>
            </w:r>
          </w:p>
        </w:tc>
        <w:tc>
          <w:tcPr>
            <w:tcW w:w="3089" w:type="dxa"/>
            <w:vAlign w:val="center"/>
          </w:tcPr>
          <w:p>
            <w:pPr>
              <w:pStyle w:val="0"/>
              <w:jc w:val="center"/>
            </w:pPr>
            <w:r>
              <w:rPr>
                <w:sz w:val="20"/>
              </w:rPr>
              <w:t xml:space="preserve">10</w:t>
            </w:r>
          </w:p>
        </w:tc>
        <w:tc>
          <w:tcPr>
            <w:tcW w:w="3089" w:type="dxa"/>
            <w:vAlign w:val="center"/>
          </w:tcPr>
          <w:p>
            <w:pPr>
              <w:pStyle w:val="0"/>
              <w:jc w:val="center"/>
            </w:pPr>
            <w:r>
              <w:rPr>
                <w:sz w:val="20"/>
              </w:rPr>
              <w:t xml:space="preserve">10</w:t>
            </w:r>
          </w:p>
        </w:tc>
      </w:tr>
      <w:tr>
        <w:tc>
          <w:tcPr>
            <w:tcW w:w="3685" w:type="dxa"/>
            <w:vAlign w:val="bottom"/>
          </w:tcPr>
          <w:p>
            <w:pPr>
              <w:pStyle w:val="0"/>
            </w:pPr>
            <w:r>
              <w:rPr>
                <w:sz w:val="20"/>
              </w:rPr>
              <w:t xml:space="preserve">Более 5, но не более 10</w:t>
            </w:r>
          </w:p>
        </w:tc>
        <w:tc>
          <w:tcPr>
            <w:tcW w:w="2041" w:type="dxa"/>
            <w:vAlign w:val="center"/>
          </w:tcPr>
          <w:p>
            <w:pPr>
              <w:pStyle w:val="0"/>
              <w:jc w:val="center"/>
            </w:pPr>
            <w:r>
              <w:rPr>
                <w:sz w:val="20"/>
              </w:rPr>
              <w:t xml:space="preserve">1</w:t>
            </w:r>
          </w:p>
        </w:tc>
        <w:tc>
          <w:tcPr>
            <w:tcW w:w="3089" w:type="dxa"/>
            <w:vAlign w:val="center"/>
          </w:tcPr>
          <w:p>
            <w:pPr>
              <w:pStyle w:val="0"/>
              <w:jc w:val="center"/>
            </w:pPr>
            <w:r>
              <w:rPr>
                <w:sz w:val="20"/>
              </w:rPr>
              <w:t xml:space="preserve">10</w:t>
            </w:r>
          </w:p>
        </w:tc>
        <w:tc>
          <w:tcPr>
            <w:tcW w:w="3089" w:type="dxa"/>
            <w:vAlign w:val="center"/>
          </w:tcPr>
          <w:p>
            <w:pPr>
              <w:pStyle w:val="0"/>
              <w:jc w:val="center"/>
            </w:pPr>
            <w:r>
              <w:rPr>
                <w:sz w:val="20"/>
              </w:rPr>
              <w:t xml:space="preserve">15</w:t>
            </w:r>
          </w:p>
        </w:tc>
      </w:tr>
      <w:tr>
        <w:tc>
          <w:tcPr>
            <w:tcW w:w="3685" w:type="dxa"/>
            <w:vAlign w:val="bottom"/>
          </w:tcPr>
          <w:p>
            <w:pPr>
              <w:pStyle w:val="0"/>
            </w:pPr>
            <w:r>
              <w:rPr>
                <w:sz w:val="20"/>
              </w:rPr>
              <w:t xml:space="preserve">Более 10, но не более 25</w:t>
            </w:r>
          </w:p>
        </w:tc>
        <w:tc>
          <w:tcPr>
            <w:tcW w:w="2041" w:type="dxa"/>
            <w:vAlign w:val="center"/>
          </w:tcPr>
          <w:p>
            <w:pPr>
              <w:pStyle w:val="0"/>
              <w:jc w:val="center"/>
            </w:pPr>
            <w:r>
              <w:rPr>
                <w:sz w:val="20"/>
              </w:rPr>
              <w:t xml:space="preserve">2</w:t>
            </w:r>
          </w:p>
        </w:tc>
        <w:tc>
          <w:tcPr>
            <w:tcW w:w="3089" w:type="dxa"/>
            <w:vAlign w:val="center"/>
          </w:tcPr>
          <w:p>
            <w:pPr>
              <w:pStyle w:val="0"/>
              <w:jc w:val="center"/>
            </w:pPr>
            <w:r>
              <w:rPr>
                <w:sz w:val="20"/>
              </w:rPr>
              <w:t xml:space="preserve">10</w:t>
            </w:r>
          </w:p>
        </w:tc>
        <w:tc>
          <w:tcPr>
            <w:tcW w:w="3089" w:type="dxa"/>
            <w:vAlign w:val="center"/>
          </w:tcPr>
          <w:p>
            <w:pPr>
              <w:pStyle w:val="0"/>
              <w:jc w:val="center"/>
            </w:pPr>
            <w:r>
              <w:rPr>
                <w:sz w:val="20"/>
              </w:rPr>
              <w:t xml:space="preserve">15</w:t>
            </w:r>
          </w:p>
        </w:tc>
      </w:tr>
      <w:tr>
        <w:tc>
          <w:tcPr>
            <w:tcW w:w="3685" w:type="dxa"/>
            <w:vAlign w:val="bottom"/>
          </w:tcPr>
          <w:p>
            <w:pPr>
              <w:pStyle w:val="0"/>
            </w:pPr>
            <w:r>
              <w:rPr>
                <w:sz w:val="20"/>
              </w:rPr>
              <w:t xml:space="preserve">Более 25, но не более 50</w:t>
            </w:r>
          </w:p>
        </w:tc>
        <w:tc>
          <w:tcPr>
            <w:tcW w:w="2041" w:type="dxa"/>
            <w:vAlign w:val="center"/>
          </w:tcPr>
          <w:p>
            <w:pPr>
              <w:pStyle w:val="0"/>
              <w:jc w:val="center"/>
            </w:pPr>
            <w:r>
              <w:rPr>
                <w:sz w:val="20"/>
              </w:rPr>
              <w:t xml:space="preserve">2</w:t>
            </w:r>
          </w:p>
        </w:tc>
        <w:tc>
          <w:tcPr>
            <w:tcW w:w="3089" w:type="dxa"/>
            <w:vAlign w:val="center"/>
          </w:tcPr>
          <w:p>
            <w:pPr>
              <w:pStyle w:val="0"/>
              <w:jc w:val="center"/>
            </w:pPr>
            <w:r>
              <w:rPr>
                <w:sz w:val="20"/>
              </w:rPr>
              <w:t xml:space="preserve">20</w:t>
            </w:r>
          </w:p>
        </w:tc>
        <w:tc>
          <w:tcPr>
            <w:tcW w:w="3089" w:type="dxa"/>
            <w:vAlign w:val="center"/>
          </w:tcPr>
          <w:p>
            <w:pPr>
              <w:pStyle w:val="0"/>
              <w:jc w:val="center"/>
            </w:pPr>
            <w:r>
              <w:rPr>
                <w:sz w:val="20"/>
              </w:rPr>
              <w:t xml:space="preserve">25</w:t>
            </w:r>
          </w:p>
        </w:tc>
      </w:tr>
      <w:tr>
        <w:tc>
          <w:tcPr>
            <w:tcW w:w="3685" w:type="dxa"/>
            <w:vAlign w:val="bottom"/>
          </w:tcPr>
          <w:p>
            <w:pPr>
              <w:pStyle w:val="0"/>
            </w:pPr>
            <w:r>
              <w:rPr>
                <w:sz w:val="20"/>
              </w:rPr>
              <w:t xml:space="preserve">Более 50, но не более 100</w:t>
            </w:r>
          </w:p>
        </w:tc>
        <w:tc>
          <w:tcPr>
            <w:tcW w:w="2041" w:type="dxa"/>
            <w:vAlign w:val="center"/>
          </w:tcPr>
          <w:p>
            <w:pPr>
              <w:pStyle w:val="0"/>
              <w:jc w:val="center"/>
            </w:pPr>
            <w:r>
              <w:rPr>
                <w:sz w:val="20"/>
              </w:rPr>
              <w:t xml:space="preserve">2</w:t>
            </w:r>
          </w:p>
        </w:tc>
        <w:tc>
          <w:tcPr>
            <w:tcW w:w="3089" w:type="dxa"/>
            <w:vAlign w:val="center"/>
          </w:tcPr>
          <w:p>
            <w:pPr>
              <w:pStyle w:val="0"/>
              <w:jc w:val="center"/>
            </w:pPr>
            <w:r>
              <w:rPr>
                <w:sz w:val="20"/>
              </w:rPr>
              <w:t xml:space="preserve">25</w:t>
            </w:r>
          </w:p>
        </w:tc>
        <w:tc>
          <w:tcPr>
            <w:tcW w:w="3089" w:type="dxa"/>
            <w:vAlign w:val="center"/>
          </w:tcPr>
          <w:p>
            <w:pPr>
              <w:pStyle w:val="0"/>
              <w:jc w:val="center"/>
            </w:pPr>
            <w:r>
              <w:rPr>
                <w:sz w:val="20"/>
              </w:rPr>
              <w:t xml:space="preserve">35</w:t>
            </w:r>
          </w:p>
        </w:tc>
      </w:tr>
      <w:tr>
        <w:tc>
          <w:tcPr>
            <w:tcW w:w="3685" w:type="dxa"/>
            <w:vAlign w:val="bottom"/>
          </w:tcPr>
          <w:p>
            <w:pPr>
              <w:pStyle w:val="0"/>
            </w:pPr>
            <w:r>
              <w:rPr>
                <w:sz w:val="20"/>
              </w:rPr>
              <w:t xml:space="preserve">Более 100, но не более 200</w:t>
            </w:r>
          </w:p>
        </w:tc>
        <w:tc>
          <w:tcPr>
            <w:tcW w:w="2041" w:type="dxa"/>
            <w:vAlign w:val="center"/>
          </w:tcPr>
          <w:p>
            <w:pPr>
              <w:pStyle w:val="0"/>
              <w:jc w:val="center"/>
            </w:pPr>
            <w:r>
              <w:rPr>
                <w:sz w:val="20"/>
              </w:rPr>
              <w:t xml:space="preserve">3</w:t>
            </w:r>
          </w:p>
        </w:tc>
        <w:tc>
          <w:tcPr>
            <w:tcW w:w="3089" w:type="dxa"/>
            <w:vAlign w:val="center"/>
          </w:tcPr>
          <w:p>
            <w:pPr>
              <w:pStyle w:val="0"/>
              <w:jc w:val="center"/>
            </w:pPr>
            <w:r>
              <w:rPr>
                <w:sz w:val="20"/>
              </w:rPr>
              <w:t xml:space="preserve">40</w:t>
            </w:r>
          </w:p>
        </w:tc>
        <w:tc>
          <w:tcPr>
            <w:tcW w:w="3089" w:type="dxa"/>
            <w:vAlign w:val="center"/>
          </w:tcPr>
          <w:p>
            <w:pPr>
              <w:pStyle w:val="0"/>
              <w:jc w:val="center"/>
            </w:pPr>
            <w:r>
              <w:rPr>
                <w:sz w:val="20"/>
              </w:rPr>
              <w:t xml:space="preserve">40</w:t>
            </w:r>
          </w:p>
        </w:tc>
      </w:tr>
      <w:tr>
        <w:tc>
          <w:tcPr>
            <w:tcW w:w="3685" w:type="dxa"/>
            <w:vAlign w:val="bottom"/>
          </w:tcPr>
          <w:p>
            <w:pPr>
              <w:pStyle w:val="0"/>
            </w:pPr>
            <w:r>
              <w:rPr>
                <w:sz w:val="20"/>
              </w:rPr>
              <w:t xml:space="preserve">Более 200, но не более 300</w:t>
            </w:r>
          </w:p>
        </w:tc>
        <w:tc>
          <w:tcPr>
            <w:tcW w:w="2041" w:type="dxa"/>
            <w:vAlign w:val="center"/>
          </w:tcPr>
          <w:p>
            <w:pPr>
              <w:pStyle w:val="0"/>
              <w:jc w:val="center"/>
            </w:pPr>
            <w:r>
              <w:rPr>
                <w:sz w:val="20"/>
              </w:rPr>
              <w:t xml:space="preserve">3</w:t>
            </w:r>
          </w:p>
        </w:tc>
        <w:tc>
          <w:tcPr>
            <w:tcW w:w="3089" w:type="dxa"/>
            <w:vAlign w:val="center"/>
          </w:tcPr>
          <w:p>
            <w:pPr>
              <w:pStyle w:val="0"/>
              <w:jc w:val="center"/>
            </w:pPr>
            <w:r>
              <w:rPr>
                <w:sz w:val="20"/>
              </w:rPr>
              <w:t xml:space="preserve">-</w:t>
            </w:r>
          </w:p>
        </w:tc>
        <w:tc>
          <w:tcPr>
            <w:tcW w:w="3089" w:type="dxa"/>
            <w:vAlign w:val="center"/>
          </w:tcPr>
          <w:p>
            <w:pPr>
              <w:pStyle w:val="0"/>
              <w:jc w:val="center"/>
            </w:pPr>
            <w:r>
              <w:rPr>
                <w:sz w:val="20"/>
              </w:rPr>
              <w:t xml:space="preserve">55</w:t>
            </w:r>
          </w:p>
        </w:tc>
      </w:tr>
      <w:tr>
        <w:tc>
          <w:tcPr>
            <w:tcW w:w="3685" w:type="dxa"/>
            <w:vAlign w:val="bottom"/>
          </w:tcPr>
          <w:p>
            <w:pPr>
              <w:pStyle w:val="0"/>
            </w:pPr>
            <w:r>
              <w:rPr>
                <w:sz w:val="20"/>
              </w:rPr>
              <w:t xml:space="preserve">Более 300, но не более 400</w:t>
            </w:r>
          </w:p>
        </w:tc>
        <w:tc>
          <w:tcPr>
            <w:tcW w:w="2041" w:type="dxa"/>
            <w:vAlign w:val="center"/>
          </w:tcPr>
          <w:p>
            <w:pPr>
              <w:pStyle w:val="0"/>
              <w:jc w:val="center"/>
            </w:pPr>
            <w:r>
              <w:rPr>
                <w:sz w:val="20"/>
              </w:rPr>
              <w:t xml:space="preserve">3</w:t>
            </w:r>
          </w:p>
        </w:tc>
        <w:tc>
          <w:tcPr>
            <w:tcW w:w="3089" w:type="dxa"/>
            <w:vAlign w:val="center"/>
          </w:tcPr>
          <w:p>
            <w:pPr>
              <w:pStyle w:val="0"/>
              <w:jc w:val="center"/>
            </w:pPr>
            <w:r>
              <w:rPr>
                <w:sz w:val="20"/>
              </w:rPr>
              <w:t xml:space="preserve">-</w:t>
            </w:r>
          </w:p>
        </w:tc>
        <w:tc>
          <w:tcPr>
            <w:tcW w:w="3089" w:type="dxa"/>
            <w:vAlign w:val="center"/>
          </w:tcPr>
          <w:p>
            <w:pPr>
              <w:pStyle w:val="0"/>
              <w:jc w:val="center"/>
            </w:pPr>
            <w:r>
              <w:rPr>
                <w:sz w:val="20"/>
              </w:rPr>
              <w:t xml:space="preserve">70</w:t>
            </w:r>
          </w:p>
        </w:tc>
      </w:tr>
      <w:tr>
        <w:tc>
          <w:tcPr>
            <w:tcW w:w="3685" w:type="dxa"/>
            <w:vAlign w:val="bottom"/>
          </w:tcPr>
          <w:p>
            <w:pPr>
              <w:pStyle w:val="0"/>
            </w:pPr>
            <w:r>
              <w:rPr>
                <w:sz w:val="20"/>
              </w:rPr>
              <w:t xml:space="preserve">Более 400, но не более 500</w:t>
            </w:r>
          </w:p>
        </w:tc>
        <w:tc>
          <w:tcPr>
            <w:tcW w:w="2041" w:type="dxa"/>
            <w:vAlign w:val="center"/>
          </w:tcPr>
          <w:p>
            <w:pPr>
              <w:pStyle w:val="0"/>
              <w:jc w:val="center"/>
            </w:pPr>
            <w:r>
              <w:rPr>
                <w:sz w:val="20"/>
              </w:rPr>
              <w:t xml:space="preserve">3</w:t>
            </w:r>
          </w:p>
        </w:tc>
        <w:tc>
          <w:tcPr>
            <w:tcW w:w="3089" w:type="dxa"/>
            <w:vAlign w:val="center"/>
          </w:tcPr>
          <w:p>
            <w:pPr>
              <w:pStyle w:val="0"/>
              <w:jc w:val="center"/>
            </w:pPr>
            <w:r>
              <w:rPr>
                <w:sz w:val="20"/>
              </w:rPr>
              <w:t xml:space="preserve">-</w:t>
            </w:r>
          </w:p>
        </w:tc>
        <w:tc>
          <w:tcPr>
            <w:tcW w:w="3089" w:type="dxa"/>
            <w:vAlign w:val="center"/>
          </w:tcPr>
          <w:p>
            <w:pPr>
              <w:pStyle w:val="0"/>
              <w:jc w:val="center"/>
            </w:pPr>
            <w:r>
              <w:rPr>
                <w:sz w:val="20"/>
              </w:rPr>
              <w:t xml:space="preserve">80</w:t>
            </w:r>
          </w:p>
        </w:tc>
      </w:tr>
      <w:tr>
        <w:tc>
          <w:tcPr>
            <w:tcW w:w="3685" w:type="dxa"/>
            <w:vAlign w:val="bottom"/>
          </w:tcPr>
          <w:p>
            <w:pPr>
              <w:pStyle w:val="0"/>
            </w:pPr>
            <w:r>
              <w:rPr>
                <w:sz w:val="20"/>
              </w:rPr>
              <w:t xml:space="preserve">Более 500, но не более 600</w:t>
            </w:r>
          </w:p>
        </w:tc>
        <w:tc>
          <w:tcPr>
            <w:tcW w:w="2041" w:type="dxa"/>
            <w:vAlign w:val="center"/>
          </w:tcPr>
          <w:p>
            <w:pPr>
              <w:pStyle w:val="0"/>
              <w:jc w:val="center"/>
            </w:pPr>
            <w:r>
              <w:rPr>
                <w:sz w:val="20"/>
              </w:rPr>
              <w:t xml:space="preserve">3</w:t>
            </w:r>
          </w:p>
        </w:tc>
        <w:tc>
          <w:tcPr>
            <w:tcW w:w="3089" w:type="dxa"/>
            <w:vAlign w:val="center"/>
          </w:tcPr>
          <w:p>
            <w:pPr>
              <w:pStyle w:val="0"/>
              <w:jc w:val="center"/>
            </w:pPr>
            <w:r>
              <w:rPr>
                <w:sz w:val="20"/>
              </w:rPr>
              <w:t xml:space="preserve">-</w:t>
            </w:r>
          </w:p>
        </w:tc>
        <w:tc>
          <w:tcPr>
            <w:tcW w:w="3089" w:type="dxa"/>
            <w:vAlign w:val="center"/>
          </w:tcPr>
          <w:p>
            <w:pPr>
              <w:pStyle w:val="0"/>
              <w:jc w:val="center"/>
            </w:pPr>
            <w:r>
              <w:rPr>
                <w:sz w:val="20"/>
              </w:rPr>
              <w:t xml:space="preserve">85</w:t>
            </w:r>
          </w:p>
        </w:tc>
      </w:tr>
      <w:tr>
        <w:tc>
          <w:tcPr>
            <w:tcW w:w="3685" w:type="dxa"/>
            <w:vAlign w:val="bottom"/>
          </w:tcPr>
          <w:p>
            <w:pPr>
              <w:pStyle w:val="0"/>
            </w:pPr>
            <w:r>
              <w:rPr>
                <w:sz w:val="20"/>
              </w:rPr>
              <w:t xml:space="preserve">Более 600, но не более 700</w:t>
            </w:r>
          </w:p>
        </w:tc>
        <w:tc>
          <w:tcPr>
            <w:tcW w:w="2041" w:type="dxa"/>
            <w:vAlign w:val="center"/>
          </w:tcPr>
          <w:p>
            <w:pPr>
              <w:pStyle w:val="0"/>
              <w:jc w:val="center"/>
            </w:pPr>
            <w:r>
              <w:rPr>
                <w:sz w:val="20"/>
              </w:rPr>
              <w:t xml:space="preserve">3</w:t>
            </w:r>
          </w:p>
        </w:tc>
        <w:tc>
          <w:tcPr>
            <w:tcW w:w="3089" w:type="dxa"/>
            <w:vAlign w:val="center"/>
          </w:tcPr>
          <w:p>
            <w:pPr>
              <w:pStyle w:val="0"/>
              <w:jc w:val="center"/>
            </w:pPr>
            <w:r>
              <w:rPr>
                <w:sz w:val="20"/>
              </w:rPr>
              <w:t xml:space="preserve">-</w:t>
            </w:r>
          </w:p>
        </w:tc>
        <w:tc>
          <w:tcPr>
            <w:tcW w:w="3089" w:type="dxa"/>
            <w:vAlign w:val="center"/>
          </w:tcPr>
          <w:p>
            <w:pPr>
              <w:pStyle w:val="0"/>
              <w:jc w:val="center"/>
            </w:pPr>
            <w:r>
              <w:rPr>
                <w:sz w:val="20"/>
              </w:rPr>
              <w:t xml:space="preserve">90</w:t>
            </w:r>
          </w:p>
        </w:tc>
      </w:tr>
      <w:tr>
        <w:tc>
          <w:tcPr>
            <w:tcW w:w="3685" w:type="dxa"/>
          </w:tcPr>
          <w:p>
            <w:pPr>
              <w:pStyle w:val="0"/>
            </w:pPr>
            <w:r>
              <w:rPr>
                <w:sz w:val="20"/>
              </w:rPr>
              <w:t xml:space="preserve">Более 700, но не более 800</w:t>
            </w:r>
          </w:p>
        </w:tc>
        <w:tc>
          <w:tcPr>
            <w:tcW w:w="2041" w:type="dxa"/>
            <w:vAlign w:val="center"/>
          </w:tcPr>
          <w:p>
            <w:pPr>
              <w:pStyle w:val="0"/>
              <w:jc w:val="center"/>
            </w:pPr>
            <w:r>
              <w:rPr>
                <w:sz w:val="20"/>
              </w:rPr>
              <w:t xml:space="preserve">3</w:t>
            </w:r>
          </w:p>
        </w:tc>
        <w:tc>
          <w:tcPr>
            <w:tcW w:w="3089" w:type="dxa"/>
            <w:vAlign w:val="center"/>
          </w:tcPr>
          <w:p>
            <w:pPr>
              <w:pStyle w:val="0"/>
              <w:jc w:val="center"/>
            </w:pPr>
            <w:r>
              <w:rPr>
                <w:sz w:val="20"/>
              </w:rPr>
              <w:t xml:space="preserve">-</w:t>
            </w:r>
          </w:p>
        </w:tc>
        <w:tc>
          <w:tcPr>
            <w:tcW w:w="3089" w:type="dxa"/>
            <w:vAlign w:val="center"/>
          </w:tcPr>
          <w:p>
            <w:pPr>
              <w:pStyle w:val="0"/>
              <w:jc w:val="center"/>
            </w:pPr>
            <w:r>
              <w:rPr>
                <w:sz w:val="20"/>
              </w:rPr>
              <w:t xml:space="preserve">95</w:t>
            </w:r>
          </w:p>
        </w:tc>
      </w:tr>
      <w:tr>
        <w:tc>
          <w:tcPr>
            <w:tcW w:w="3685" w:type="dxa"/>
            <w:vAlign w:val="center"/>
          </w:tcPr>
          <w:p>
            <w:pPr>
              <w:pStyle w:val="0"/>
            </w:pPr>
            <w:r>
              <w:rPr>
                <w:sz w:val="20"/>
              </w:rPr>
              <w:t xml:space="preserve">Более 800, но не более 1000</w:t>
            </w:r>
          </w:p>
        </w:tc>
        <w:tc>
          <w:tcPr>
            <w:tcW w:w="2041" w:type="dxa"/>
            <w:vAlign w:val="center"/>
          </w:tcPr>
          <w:p>
            <w:pPr>
              <w:pStyle w:val="0"/>
              <w:jc w:val="center"/>
            </w:pPr>
            <w:r>
              <w:rPr>
                <w:sz w:val="20"/>
              </w:rPr>
              <w:t xml:space="preserve">3</w:t>
            </w:r>
          </w:p>
        </w:tc>
        <w:tc>
          <w:tcPr>
            <w:tcW w:w="3089" w:type="dxa"/>
            <w:vAlign w:val="center"/>
          </w:tcPr>
          <w:p>
            <w:pPr>
              <w:pStyle w:val="0"/>
              <w:jc w:val="center"/>
            </w:pPr>
            <w:r>
              <w:rPr>
                <w:sz w:val="20"/>
              </w:rPr>
              <w:t xml:space="preserve">-</w:t>
            </w:r>
          </w:p>
        </w:tc>
        <w:tc>
          <w:tcPr>
            <w:tcW w:w="3089" w:type="dxa"/>
            <w:vAlign w:val="center"/>
          </w:tcPr>
          <w:p>
            <w:pPr>
              <w:pStyle w:val="0"/>
              <w:jc w:val="center"/>
            </w:pPr>
            <w:r>
              <w:rPr>
                <w:sz w:val="20"/>
              </w:rPr>
              <w:t xml:space="preserve">100</w:t>
            </w:r>
          </w:p>
        </w:tc>
      </w:tr>
      <w:tr>
        <w:tc>
          <w:tcPr>
            <w:tcW w:w="3685" w:type="dxa"/>
          </w:tcPr>
          <w:p>
            <w:pPr>
              <w:pStyle w:val="0"/>
            </w:pPr>
            <w:r>
              <w:rPr>
                <w:sz w:val="20"/>
              </w:rPr>
              <w:t xml:space="preserve">Более 1000</w:t>
            </w:r>
          </w:p>
        </w:tc>
        <w:tc>
          <w:tcPr>
            <w:tcW w:w="2041" w:type="dxa"/>
            <w:vAlign w:val="center"/>
          </w:tcPr>
          <w:p>
            <w:pPr>
              <w:pStyle w:val="0"/>
              <w:jc w:val="center"/>
            </w:pPr>
            <w:r>
              <w:rPr>
                <w:sz w:val="20"/>
              </w:rPr>
              <w:t xml:space="preserve">5</w:t>
            </w:r>
          </w:p>
        </w:tc>
        <w:tc>
          <w:tcPr>
            <w:tcW w:w="3089" w:type="dxa"/>
            <w:vAlign w:val="center"/>
          </w:tcPr>
          <w:p>
            <w:pPr>
              <w:pStyle w:val="0"/>
              <w:jc w:val="center"/>
            </w:pPr>
            <w:r>
              <w:rPr>
                <w:sz w:val="20"/>
              </w:rPr>
              <w:t xml:space="preserve">-</w:t>
            </w:r>
          </w:p>
        </w:tc>
        <w:tc>
          <w:tcPr>
            <w:tcW w:w="3089" w:type="dxa"/>
            <w:vAlign w:val="center"/>
          </w:tcPr>
          <w:p>
            <w:pPr>
              <w:pStyle w:val="0"/>
              <w:jc w:val="center"/>
            </w:pPr>
            <w:r>
              <w:rPr>
                <w:sz w:val="20"/>
              </w:rPr>
              <w:t xml:space="preserve">110</w:t>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 зонном водоснабжении расход воды на наружное пожаротушение и количество одновременных пожаров в каждой зоне следует принимать в зависимости от количества жителей, проживающих в данной зоне.</w:t>
      </w:r>
    </w:p>
    <w:p>
      <w:pPr>
        <w:pStyle w:val="0"/>
        <w:spacing w:before="200" w:line-rule="auto"/>
        <w:ind w:firstLine="540"/>
        <w:jc w:val="both"/>
      </w:pPr>
      <w:r>
        <w:rPr>
          <w:sz w:val="20"/>
        </w:rPr>
        <w:t xml:space="preserve">2. Для группового водопровода количество одновременных пожаров следует принимать в зависимости от общей численности жителей в населенных пунктах, подключенных к водопроводу.</w:t>
      </w:r>
    </w:p>
    <w:p>
      <w:pPr>
        <w:pStyle w:val="0"/>
        <w:spacing w:before="200" w:line-rule="auto"/>
        <w:ind w:firstLine="540"/>
        <w:jc w:val="both"/>
      </w:pPr>
      <w:r>
        <w:rPr>
          <w:sz w:val="20"/>
        </w:rPr>
        <w:t xml:space="preserve">Расход воды на восстановление пожарного объема по групповому водопроводу следует определять как сумму расходов воды для населенных пунктов (соответственно количеству одновременных пожаров), требующих наибольших расходов на пожаротушение, согласно </w:t>
      </w:r>
      <w:hyperlink w:history="0" w:anchor="P659" w:tooltip="5.18. Максимальный срок восстановления пожарного объема воды должен быть не более:">
        <w:r>
          <w:rPr>
            <w:sz w:val="20"/>
            <w:color w:val="0000ff"/>
          </w:rPr>
          <w:t xml:space="preserve">пункту 5.18</w:t>
        </w:r>
      </w:hyperlink>
      <w:r>
        <w:rPr>
          <w:sz w:val="20"/>
        </w:rPr>
        <w:t xml:space="preserve"> настоящего свода правил.</w:t>
      </w:r>
    </w:p>
    <w:p>
      <w:pPr>
        <w:pStyle w:val="0"/>
        <w:spacing w:before="200" w:line-rule="auto"/>
        <w:ind w:firstLine="540"/>
        <w:jc w:val="both"/>
      </w:pPr>
      <w:r>
        <w:rPr>
          <w:sz w:val="20"/>
        </w:rPr>
        <w:t xml:space="preserve">3. В расчетное количество одновременных пожаров в населенном пункте включены пожары на промышленных предприятиях, расположенных в пределах населенного пункта. При этом в расчетный расход воды следует включать соответствующие расходы воды на пожаротушение на этих предприятиях, но не менее указанных в </w:t>
      </w:r>
      <w:hyperlink w:history="0" w:anchor="P127" w:tooltip="Расход воды на наружное пожаротушение в населенном пункте">
        <w:r>
          <w:rPr>
            <w:sz w:val="20"/>
            <w:color w:val="0000ff"/>
          </w:rPr>
          <w:t xml:space="preserve">таблице 1</w:t>
        </w:r>
      </w:hyperlink>
      <w:r>
        <w:rPr>
          <w:sz w:val="20"/>
        </w:rPr>
        <w:t xml:space="preserve">.</w:t>
      </w:r>
    </w:p>
    <w:p>
      <w:pPr>
        <w:pStyle w:val="0"/>
        <w:jc w:val="both"/>
      </w:pPr>
      <w:r>
        <w:rPr>
          <w:sz w:val="20"/>
        </w:rPr>
      </w:r>
    </w:p>
    <w:bookmarkStart w:id="201" w:name="P201"/>
    <w:bookmarkEnd w:id="201"/>
    <w:p>
      <w:pPr>
        <w:pStyle w:val="0"/>
        <w:ind w:firstLine="540"/>
        <w:jc w:val="both"/>
      </w:pPr>
      <w:r>
        <w:rPr>
          <w:sz w:val="20"/>
        </w:rPr>
        <w:t xml:space="preserve">5.2. Для расчета соединительных и распределительных линий водопроводной сети населенного пункта, а также водопроводной сети внутри микрорайона или квартала расход воды на наружное пожаротушение (на один пожар) следует принимать по таблице 2 для здания, требующего наибольшего расхода воды.</w:t>
      </w:r>
    </w:p>
    <w:p>
      <w:pPr>
        <w:pStyle w:val="0"/>
        <w:jc w:val="both"/>
      </w:pPr>
      <w:r>
        <w:rPr>
          <w:sz w:val="20"/>
        </w:rPr>
      </w:r>
    </w:p>
    <w:p>
      <w:pPr>
        <w:pStyle w:val="0"/>
        <w:jc w:val="right"/>
      </w:pPr>
      <w:r>
        <w:rPr>
          <w:sz w:val="20"/>
        </w:rPr>
        <w:t xml:space="preserve">Таблица 2</w:t>
      </w:r>
    </w:p>
    <w:p>
      <w:pPr>
        <w:pStyle w:val="0"/>
        <w:jc w:val="both"/>
      </w:pPr>
      <w:r>
        <w:rPr>
          <w:sz w:val="20"/>
        </w:rPr>
      </w:r>
    </w:p>
    <w:bookmarkStart w:id="205" w:name="P205"/>
    <w:bookmarkEnd w:id="205"/>
    <w:p>
      <w:pPr>
        <w:pStyle w:val="2"/>
        <w:outlineLvl w:val="2"/>
        <w:jc w:val="center"/>
      </w:pPr>
      <w:r>
        <w:rPr>
          <w:sz w:val="20"/>
        </w:rPr>
        <w:t xml:space="preserve">Расход воды на наружное пожаротушение зданий классов</w:t>
      </w:r>
    </w:p>
    <w:p>
      <w:pPr>
        <w:pStyle w:val="2"/>
        <w:jc w:val="center"/>
      </w:pPr>
      <w:r>
        <w:rPr>
          <w:sz w:val="20"/>
        </w:rPr>
        <w:t xml:space="preserve">функциональной пожарной опасности Ф1, Ф2, Ф3, Ф4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4"/>
        <w:gridCol w:w="1402"/>
        <w:gridCol w:w="1402"/>
        <w:gridCol w:w="1402"/>
        <w:gridCol w:w="1402"/>
        <w:gridCol w:w="1402"/>
        <w:gridCol w:w="1407"/>
      </w:tblGrid>
      <w:tr>
        <w:tc>
          <w:tcPr>
            <w:tcW w:w="3514" w:type="dxa"/>
            <w:vMerge w:val="restart"/>
          </w:tcPr>
          <w:p>
            <w:pPr>
              <w:pStyle w:val="0"/>
              <w:jc w:val="center"/>
            </w:pPr>
            <w:r>
              <w:rPr>
                <w:sz w:val="20"/>
              </w:rPr>
              <w:t xml:space="preserve">Наименование зданий и сооружений</w:t>
            </w:r>
          </w:p>
        </w:tc>
        <w:tc>
          <w:tcPr>
            <w:gridSpan w:val="6"/>
            <w:tcW w:w="8417" w:type="dxa"/>
          </w:tcPr>
          <w:p>
            <w:pPr>
              <w:pStyle w:val="0"/>
              <w:jc w:val="center"/>
            </w:pPr>
            <w:r>
              <w:rPr>
                <w:sz w:val="20"/>
              </w:rPr>
              <w:t xml:space="preserve">Расход воды на наружное пожаротушение зданий на один пожар, л/с, при строительном объеме зданий, тыс. м</w:t>
            </w:r>
            <w:r>
              <w:rPr>
                <w:sz w:val="20"/>
                <w:vertAlign w:val="superscript"/>
              </w:rPr>
              <w:t xml:space="preserve">3</w:t>
            </w:r>
          </w:p>
        </w:tc>
      </w:tr>
      <w:tr>
        <w:tc>
          <w:tcPr>
            <w:vMerge w:val="continue"/>
          </w:tcPr>
          <w:p/>
        </w:tc>
        <w:tc>
          <w:tcPr>
            <w:tcW w:w="1402" w:type="dxa"/>
          </w:tcPr>
          <w:p>
            <w:pPr>
              <w:pStyle w:val="0"/>
              <w:jc w:val="center"/>
            </w:pPr>
            <w:r>
              <w:rPr>
                <w:sz w:val="20"/>
              </w:rPr>
              <w:t xml:space="preserve">не более 1</w:t>
            </w:r>
          </w:p>
        </w:tc>
        <w:tc>
          <w:tcPr>
            <w:tcW w:w="1402" w:type="dxa"/>
          </w:tcPr>
          <w:p>
            <w:pPr>
              <w:pStyle w:val="0"/>
              <w:jc w:val="center"/>
            </w:pPr>
            <w:r>
              <w:rPr>
                <w:sz w:val="20"/>
              </w:rPr>
              <w:t xml:space="preserve">более 1, но не более 5</w:t>
            </w:r>
          </w:p>
        </w:tc>
        <w:tc>
          <w:tcPr>
            <w:tcW w:w="1402" w:type="dxa"/>
          </w:tcPr>
          <w:p>
            <w:pPr>
              <w:pStyle w:val="0"/>
              <w:jc w:val="center"/>
            </w:pPr>
            <w:r>
              <w:rPr>
                <w:sz w:val="20"/>
              </w:rPr>
              <w:t xml:space="preserve">более 5, но не более 25</w:t>
            </w:r>
          </w:p>
        </w:tc>
        <w:tc>
          <w:tcPr>
            <w:tcW w:w="1402" w:type="dxa"/>
          </w:tcPr>
          <w:p>
            <w:pPr>
              <w:pStyle w:val="0"/>
              <w:jc w:val="center"/>
            </w:pPr>
            <w:r>
              <w:rPr>
                <w:sz w:val="20"/>
              </w:rPr>
              <w:t xml:space="preserve">более 25, но не более 50</w:t>
            </w:r>
          </w:p>
        </w:tc>
        <w:tc>
          <w:tcPr>
            <w:tcW w:w="1402" w:type="dxa"/>
          </w:tcPr>
          <w:p>
            <w:pPr>
              <w:pStyle w:val="0"/>
              <w:jc w:val="center"/>
            </w:pPr>
            <w:r>
              <w:rPr>
                <w:sz w:val="20"/>
              </w:rPr>
              <w:t xml:space="preserve">более 50, но не более 150</w:t>
            </w:r>
          </w:p>
        </w:tc>
        <w:tc>
          <w:tcPr>
            <w:tcW w:w="1407" w:type="dxa"/>
          </w:tcPr>
          <w:p>
            <w:pPr>
              <w:pStyle w:val="0"/>
              <w:jc w:val="center"/>
            </w:pPr>
            <w:r>
              <w:rPr>
                <w:sz w:val="20"/>
              </w:rPr>
              <w:t xml:space="preserve">более 150, но не более 200</w:t>
            </w:r>
          </w:p>
        </w:tc>
      </w:tr>
      <w:tr>
        <w:tc>
          <w:tcPr>
            <w:tcW w:w="3514" w:type="dxa"/>
            <w:vAlign w:val="center"/>
          </w:tcPr>
          <w:p>
            <w:pPr>
              <w:pStyle w:val="0"/>
              <w:jc w:val="both"/>
            </w:pPr>
            <w:r>
              <w:rPr>
                <w:sz w:val="20"/>
              </w:rPr>
              <w:t xml:space="preserve">Здания функциональной пожарной опасности Ф1.3, Ф1.4 одно- и многосекционные при количестве этажей:</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7" w:type="dxa"/>
            <w:vAlign w:val="center"/>
          </w:tcPr>
          <w:p>
            <w:pPr>
              <w:pStyle w:val="0"/>
              <w:jc w:val="center"/>
            </w:pPr>
            <w:r>
              <w:rPr>
                <w:sz w:val="20"/>
              </w:rPr>
              <w:t xml:space="preserve">-</w:t>
            </w:r>
          </w:p>
        </w:tc>
      </w:tr>
      <w:tr>
        <w:tc>
          <w:tcPr>
            <w:tcW w:w="3514" w:type="dxa"/>
            <w:vAlign w:val="center"/>
          </w:tcPr>
          <w:p>
            <w:pPr>
              <w:pStyle w:val="0"/>
              <w:jc w:val="both"/>
            </w:pPr>
            <w:r>
              <w:rPr>
                <w:sz w:val="20"/>
              </w:rPr>
              <w:t xml:space="preserve">не более 2</w:t>
            </w:r>
          </w:p>
        </w:tc>
        <w:tc>
          <w:tcPr>
            <w:tcW w:w="1402" w:type="dxa"/>
          </w:tcPr>
          <w:p>
            <w:pPr>
              <w:pStyle w:val="0"/>
              <w:jc w:val="center"/>
            </w:pPr>
            <w:r>
              <w:rPr>
                <w:sz w:val="20"/>
              </w:rPr>
              <w:t xml:space="preserve">10 &lt;*&gt;</w:t>
            </w:r>
          </w:p>
        </w:tc>
        <w:tc>
          <w:tcPr>
            <w:tcW w:w="1402" w:type="dxa"/>
            <w:vAlign w:val="bottom"/>
          </w:tcPr>
          <w:p>
            <w:pPr>
              <w:pStyle w:val="0"/>
              <w:jc w:val="center"/>
            </w:pPr>
            <w:r>
              <w:rPr>
                <w:sz w:val="20"/>
              </w:rPr>
              <w:t xml:space="preserve">10</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7" w:type="dxa"/>
            <w:vAlign w:val="center"/>
          </w:tcPr>
          <w:p>
            <w:pPr>
              <w:pStyle w:val="0"/>
              <w:jc w:val="center"/>
            </w:pPr>
            <w:r>
              <w:rPr>
                <w:sz w:val="20"/>
              </w:rPr>
              <w:t xml:space="preserve">-</w:t>
            </w:r>
          </w:p>
        </w:tc>
      </w:tr>
      <w:tr>
        <w:tc>
          <w:tcPr>
            <w:tcW w:w="3514" w:type="dxa"/>
            <w:vAlign w:val="bottom"/>
          </w:tcPr>
          <w:p>
            <w:pPr>
              <w:pStyle w:val="0"/>
              <w:jc w:val="both"/>
            </w:pPr>
            <w:r>
              <w:rPr>
                <w:sz w:val="20"/>
              </w:rPr>
              <w:t xml:space="preserve">более 2, но не более 12</w:t>
            </w:r>
          </w:p>
        </w:tc>
        <w:tc>
          <w:tcPr>
            <w:tcW w:w="1402" w:type="dxa"/>
            <w:vAlign w:val="bottom"/>
          </w:tcPr>
          <w:p>
            <w:pPr>
              <w:pStyle w:val="0"/>
              <w:jc w:val="center"/>
            </w:pPr>
            <w:r>
              <w:rPr>
                <w:sz w:val="20"/>
              </w:rPr>
              <w:t xml:space="preserve">10</w:t>
            </w:r>
          </w:p>
        </w:tc>
        <w:tc>
          <w:tcPr>
            <w:tcW w:w="1402" w:type="dxa"/>
            <w:vAlign w:val="bottom"/>
          </w:tcPr>
          <w:p>
            <w:pPr>
              <w:pStyle w:val="0"/>
              <w:jc w:val="center"/>
            </w:pPr>
            <w:r>
              <w:rPr>
                <w:sz w:val="20"/>
              </w:rPr>
              <w:t xml:space="preserve">15</w:t>
            </w:r>
          </w:p>
        </w:tc>
        <w:tc>
          <w:tcPr>
            <w:tcW w:w="1402" w:type="dxa"/>
            <w:vAlign w:val="bottom"/>
          </w:tcPr>
          <w:p>
            <w:pPr>
              <w:pStyle w:val="0"/>
              <w:jc w:val="center"/>
            </w:pPr>
            <w:r>
              <w:rPr>
                <w:sz w:val="20"/>
              </w:rPr>
              <w:t xml:space="preserve">15</w:t>
            </w:r>
          </w:p>
        </w:tc>
        <w:tc>
          <w:tcPr>
            <w:tcW w:w="1402" w:type="dxa"/>
            <w:vAlign w:val="bottom"/>
          </w:tcPr>
          <w:p>
            <w:pPr>
              <w:pStyle w:val="0"/>
              <w:jc w:val="center"/>
            </w:pPr>
            <w:r>
              <w:rPr>
                <w:sz w:val="20"/>
              </w:rPr>
              <w:t xml:space="preserve">20</w:t>
            </w:r>
          </w:p>
        </w:tc>
        <w:tc>
          <w:tcPr>
            <w:tcW w:w="1402" w:type="dxa"/>
            <w:vAlign w:val="bottom"/>
          </w:tcPr>
          <w:p>
            <w:pPr>
              <w:pStyle w:val="0"/>
              <w:jc w:val="center"/>
            </w:pPr>
            <w:r>
              <w:rPr>
                <w:sz w:val="20"/>
              </w:rPr>
              <w:t xml:space="preserve">25</w:t>
            </w:r>
          </w:p>
        </w:tc>
        <w:tc>
          <w:tcPr>
            <w:tcW w:w="1407" w:type="dxa"/>
            <w:vAlign w:val="bottom"/>
          </w:tcPr>
          <w:p>
            <w:pPr>
              <w:pStyle w:val="0"/>
              <w:jc w:val="center"/>
            </w:pPr>
            <w:r>
              <w:rPr>
                <w:sz w:val="20"/>
              </w:rPr>
              <w:t xml:space="preserve">-</w:t>
            </w:r>
          </w:p>
        </w:tc>
      </w:tr>
      <w:tr>
        <w:tc>
          <w:tcPr>
            <w:tcW w:w="3514" w:type="dxa"/>
            <w:vAlign w:val="bottom"/>
          </w:tcPr>
          <w:p>
            <w:pPr>
              <w:pStyle w:val="0"/>
              <w:jc w:val="both"/>
            </w:pPr>
            <w:r>
              <w:rPr>
                <w:sz w:val="20"/>
              </w:rPr>
              <w:t xml:space="preserve">более 12, но не более 16</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bottom"/>
          </w:tcPr>
          <w:p>
            <w:pPr>
              <w:pStyle w:val="0"/>
              <w:jc w:val="center"/>
            </w:pPr>
            <w:r>
              <w:rPr>
                <w:sz w:val="20"/>
              </w:rPr>
              <w:t xml:space="preserve">20</w:t>
            </w:r>
          </w:p>
        </w:tc>
        <w:tc>
          <w:tcPr>
            <w:tcW w:w="1402" w:type="dxa"/>
            <w:vAlign w:val="bottom"/>
          </w:tcPr>
          <w:p>
            <w:pPr>
              <w:pStyle w:val="0"/>
              <w:jc w:val="center"/>
            </w:pPr>
            <w:r>
              <w:rPr>
                <w:sz w:val="20"/>
              </w:rPr>
              <w:t xml:space="preserve">25</w:t>
            </w:r>
          </w:p>
        </w:tc>
        <w:tc>
          <w:tcPr>
            <w:tcW w:w="1402" w:type="dxa"/>
            <w:vAlign w:val="bottom"/>
          </w:tcPr>
          <w:p>
            <w:pPr>
              <w:pStyle w:val="0"/>
              <w:jc w:val="center"/>
            </w:pPr>
            <w:r>
              <w:rPr>
                <w:sz w:val="20"/>
              </w:rPr>
              <w:t xml:space="preserve">30</w:t>
            </w:r>
          </w:p>
        </w:tc>
        <w:tc>
          <w:tcPr>
            <w:tcW w:w="1407" w:type="dxa"/>
            <w:vAlign w:val="center"/>
          </w:tcPr>
          <w:p>
            <w:pPr>
              <w:pStyle w:val="0"/>
              <w:jc w:val="center"/>
            </w:pPr>
            <w:r>
              <w:rPr>
                <w:sz w:val="20"/>
              </w:rPr>
              <w:t xml:space="preserve">-</w:t>
            </w:r>
          </w:p>
        </w:tc>
      </w:tr>
      <w:tr>
        <w:tc>
          <w:tcPr>
            <w:tcW w:w="3514" w:type="dxa"/>
            <w:vAlign w:val="bottom"/>
          </w:tcPr>
          <w:p>
            <w:pPr>
              <w:pStyle w:val="0"/>
              <w:jc w:val="both"/>
            </w:pPr>
            <w:r>
              <w:rPr>
                <w:sz w:val="20"/>
              </w:rPr>
              <w:t xml:space="preserve">более 16, но не более 25</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bottom"/>
          </w:tcPr>
          <w:p>
            <w:pPr>
              <w:pStyle w:val="0"/>
              <w:jc w:val="center"/>
            </w:pPr>
            <w:r>
              <w:rPr>
                <w:sz w:val="20"/>
              </w:rPr>
              <w:t xml:space="preserve">20</w:t>
            </w:r>
          </w:p>
        </w:tc>
        <w:tc>
          <w:tcPr>
            <w:tcW w:w="1402" w:type="dxa"/>
            <w:vAlign w:val="bottom"/>
          </w:tcPr>
          <w:p>
            <w:pPr>
              <w:pStyle w:val="0"/>
              <w:jc w:val="center"/>
            </w:pPr>
            <w:r>
              <w:rPr>
                <w:sz w:val="20"/>
              </w:rPr>
              <w:t xml:space="preserve">25</w:t>
            </w:r>
          </w:p>
        </w:tc>
        <w:tc>
          <w:tcPr>
            <w:tcW w:w="1402" w:type="dxa"/>
            <w:vAlign w:val="bottom"/>
          </w:tcPr>
          <w:p>
            <w:pPr>
              <w:pStyle w:val="0"/>
              <w:jc w:val="center"/>
            </w:pPr>
            <w:r>
              <w:rPr>
                <w:sz w:val="20"/>
              </w:rPr>
              <w:t xml:space="preserve">30</w:t>
            </w:r>
          </w:p>
        </w:tc>
        <w:tc>
          <w:tcPr>
            <w:tcW w:w="1407" w:type="dxa"/>
            <w:vAlign w:val="bottom"/>
          </w:tcPr>
          <w:p>
            <w:pPr>
              <w:pStyle w:val="0"/>
              <w:jc w:val="center"/>
            </w:pPr>
            <w:r>
              <w:rPr>
                <w:sz w:val="20"/>
              </w:rPr>
              <w:t xml:space="preserve">35</w:t>
            </w:r>
          </w:p>
        </w:tc>
      </w:tr>
      <w:tr>
        <w:tc>
          <w:tcPr>
            <w:tcW w:w="3514" w:type="dxa"/>
            <w:vAlign w:val="center"/>
          </w:tcPr>
          <w:p>
            <w:pPr>
              <w:pStyle w:val="0"/>
              <w:jc w:val="both"/>
            </w:pPr>
            <w:r>
              <w:rPr>
                <w:sz w:val="20"/>
              </w:rPr>
              <w:t xml:space="preserve">Здания и сооружения функциональной пожарной опасности Ф1.1, Ф1.2, Ф2, Ф3, Ф4 при количестве этажей:</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7" w:type="dxa"/>
            <w:vAlign w:val="center"/>
          </w:tcPr>
          <w:p>
            <w:pPr>
              <w:pStyle w:val="0"/>
              <w:jc w:val="center"/>
            </w:pPr>
            <w:r>
              <w:rPr>
                <w:sz w:val="20"/>
              </w:rPr>
              <w:t xml:space="preserve">-</w:t>
            </w:r>
          </w:p>
        </w:tc>
      </w:tr>
      <w:tr>
        <w:tc>
          <w:tcPr>
            <w:tcW w:w="3514" w:type="dxa"/>
            <w:vAlign w:val="center"/>
          </w:tcPr>
          <w:p>
            <w:pPr>
              <w:pStyle w:val="0"/>
              <w:jc w:val="both"/>
            </w:pPr>
            <w:r>
              <w:rPr>
                <w:sz w:val="20"/>
              </w:rPr>
              <w:t xml:space="preserve">не более 2</w:t>
            </w:r>
          </w:p>
        </w:tc>
        <w:tc>
          <w:tcPr>
            <w:tcW w:w="1402" w:type="dxa"/>
            <w:vAlign w:val="center"/>
          </w:tcPr>
          <w:p>
            <w:pPr>
              <w:pStyle w:val="0"/>
              <w:jc w:val="center"/>
            </w:pPr>
            <w:r>
              <w:rPr>
                <w:sz w:val="20"/>
              </w:rPr>
              <w:t xml:space="preserve">10 &lt;*&gt;</w:t>
            </w:r>
          </w:p>
        </w:tc>
        <w:tc>
          <w:tcPr>
            <w:tcW w:w="1402" w:type="dxa"/>
            <w:vAlign w:val="bottom"/>
          </w:tcPr>
          <w:p>
            <w:pPr>
              <w:pStyle w:val="0"/>
              <w:jc w:val="center"/>
            </w:pPr>
            <w:r>
              <w:rPr>
                <w:sz w:val="20"/>
              </w:rPr>
              <w:t xml:space="preserve">10</w:t>
            </w:r>
          </w:p>
        </w:tc>
        <w:tc>
          <w:tcPr>
            <w:tcW w:w="1402" w:type="dxa"/>
            <w:vAlign w:val="center"/>
          </w:tcPr>
          <w:p>
            <w:pPr>
              <w:pStyle w:val="0"/>
              <w:jc w:val="center"/>
            </w:pPr>
            <w:r>
              <w:rPr>
                <w:sz w:val="20"/>
              </w:rPr>
              <w:t xml:space="preserve">15</w:t>
            </w:r>
          </w:p>
        </w:tc>
        <w:tc>
          <w:tcPr>
            <w:tcW w:w="1402" w:type="dxa"/>
            <w:vAlign w:val="bottom"/>
          </w:tcPr>
          <w:p>
            <w:pPr>
              <w:pStyle w:val="0"/>
              <w:jc w:val="center"/>
            </w:pPr>
            <w:r>
              <w:rPr>
                <w:sz w:val="20"/>
              </w:rPr>
              <w:t xml:space="preserve">20</w:t>
            </w:r>
          </w:p>
        </w:tc>
        <w:tc>
          <w:tcPr>
            <w:tcW w:w="1402" w:type="dxa"/>
            <w:vAlign w:val="center"/>
          </w:tcPr>
          <w:p>
            <w:pPr>
              <w:pStyle w:val="0"/>
              <w:jc w:val="center"/>
            </w:pPr>
            <w:r>
              <w:rPr>
                <w:sz w:val="20"/>
              </w:rPr>
              <w:t xml:space="preserve">-</w:t>
            </w:r>
          </w:p>
        </w:tc>
        <w:tc>
          <w:tcPr>
            <w:tcW w:w="1407" w:type="dxa"/>
            <w:vAlign w:val="center"/>
          </w:tcPr>
          <w:p>
            <w:pPr>
              <w:pStyle w:val="0"/>
              <w:jc w:val="center"/>
            </w:pPr>
            <w:r>
              <w:rPr>
                <w:sz w:val="20"/>
              </w:rPr>
              <w:t xml:space="preserve">-</w:t>
            </w:r>
          </w:p>
        </w:tc>
      </w:tr>
      <w:tr>
        <w:tc>
          <w:tcPr>
            <w:tcW w:w="3514" w:type="dxa"/>
            <w:vAlign w:val="bottom"/>
          </w:tcPr>
          <w:p>
            <w:pPr>
              <w:pStyle w:val="0"/>
              <w:jc w:val="both"/>
            </w:pPr>
            <w:r>
              <w:rPr>
                <w:sz w:val="20"/>
              </w:rPr>
              <w:t xml:space="preserve">более 2, но не более 6</w:t>
            </w:r>
          </w:p>
        </w:tc>
        <w:tc>
          <w:tcPr>
            <w:tcW w:w="1402" w:type="dxa"/>
            <w:vAlign w:val="bottom"/>
          </w:tcPr>
          <w:p>
            <w:pPr>
              <w:pStyle w:val="0"/>
              <w:jc w:val="center"/>
            </w:pPr>
            <w:r>
              <w:rPr>
                <w:sz w:val="20"/>
              </w:rPr>
              <w:t xml:space="preserve">10</w:t>
            </w:r>
          </w:p>
        </w:tc>
        <w:tc>
          <w:tcPr>
            <w:tcW w:w="1402" w:type="dxa"/>
            <w:vAlign w:val="bottom"/>
          </w:tcPr>
          <w:p>
            <w:pPr>
              <w:pStyle w:val="0"/>
              <w:jc w:val="center"/>
            </w:pPr>
            <w:r>
              <w:rPr>
                <w:sz w:val="20"/>
              </w:rPr>
              <w:t xml:space="preserve">15</w:t>
            </w:r>
          </w:p>
        </w:tc>
        <w:tc>
          <w:tcPr>
            <w:tcW w:w="1402" w:type="dxa"/>
            <w:vAlign w:val="bottom"/>
          </w:tcPr>
          <w:p>
            <w:pPr>
              <w:pStyle w:val="0"/>
              <w:jc w:val="center"/>
            </w:pPr>
            <w:r>
              <w:rPr>
                <w:sz w:val="20"/>
              </w:rPr>
              <w:t xml:space="preserve">20</w:t>
            </w:r>
          </w:p>
        </w:tc>
        <w:tc>
          <w:tcPr>
            <w:tcW w:w="1402" w:type="dxa"/>
            <w:vAlign w:val="bottom"/>
          </w:tcPr>
          <w:p>
            <w:pPr>
              <w:pStyle w:val="0"/>
              <w:jc w:val="center"/>
            </w:pPr>
            <w:r>
              <w:rPr>
                <w:sz w:val="20"/>
              </w:rPr>
              <w:t xml:space="preserve">25</w:t>
            </w:r>
          </w:p>
        </w:tc>
        <w:tc>
          <w:tcPr>
            <w:tcW w:w="1402" w:type="dxa"/>
            <w:vAlign w:val="bottom"/>
          </w:tcPr>
          <w:p>
            <w:pPr>
              <w:pStyle w:val="0"/>
              <w:jc w:val="center"/>
            </w:pPr>
            <w:r>
              <w:rPr>
                <w:sz w:val="20"/>
              </w:rPr>
              <w:t xml:space="preserve">30</w:t>
            </w:r>
          </w:p>
        </w:tc>
        <w:tc>
          <w:tcPr>
            <w:tcW w:w="1407" w:type="dxa"/>
          </w:tcPr>
          <w:p>
            <w:pPr>
              <w:pStyle w:val="0"/>
              <w:jc w:val="center"/>
            </w:pPr>
            <w:r>
              <w:rPr>
                <w:sz w:val="20"/>
              </w:rPr>
              <w:t xml:space="preserve">-</w:t>
            </w:r>
          </w:p>
        </w:tc>
      </w:tr>
      <w:tr>
        <w:tc>
          <w:tcPr>
            <w:tcW w:w="3514" w:type="dxa"/>
            <w:vAlign w:val="bottom"/>
          </w:tcPr>
          <w:p>
            <w:pPr>
              <w:pStyle w:val="0"/>
              <w:jc w:val="both"/>
            </w:pPr>
            <w:r>
              <w:rPr>
                <w:sz w:val="20"/>
              </w:rPr>
              <w:t xml:space="preserve">более 6, но не более 12</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25</w:t>
            </w:r>
          </w:p>
        </w:tc>
        <w:tc>
          <w:tcPr>
            <w:tcW w:w="1402" w:type="dxa"/>
            <w:vAlign w:val="center"/>
          </w:tcPr>
          <w:p>
            <w:pPr>
              <w:pStyle w:val="0"/>
              <w:jc w:val="center"/>
            </w:pPr>
            <w:r>
              <w:rPr>
                <w:sz w:val="20"/>
              </w:rPr>
              <w:t xml:space="preserve">30</w:t>
            </w:r>
          </w:p>
        </w:tc>
        <w:tc>
          <w:tcPr>
            <w:tcW w:w="1402" w:type="dxa"/>
            <w:vAlign w:val="center"/>
          </w:tcPr>
          <w:p>
            <w:pPr>
              <w:pStyle w:val="0"/>
              <w:jc w:val="center"/>
            </w:pPr>
            <w:r>
              <w:rPr>
                <w:sz w:val="20"/>
              </w:rPr>
              <w:t xml:space="preserve">35</w:t>
            </w:r>
          </w:p>
        </w:tc>
        <w:tc>
          <w:tcPr>
            <w:tcW w:w="1407" w:type="dxa"/>
            <w:vAlign w:val="center"/>
          </w:tcPr>
          <w:p>
            <w:pPr>
              <w:pStyle w:val="0"/>
              <w:jc w:val="center"/>
            </w:pPr>
            <w:r>
              <w:rPr>
                <w:sz w:val="20"/>
              </w:rPr>
              <w:t xml:space="preserve">-</w:t>
            </w:r>
          </w:p>
        </w:tc>
      </w:tr>
      <w:tr>
        <w:tc>
          <w:tcPr>
            <w:tcW w:w="3514" w:type="dxa"/>
            <w:vAlign w:val="bottom"/>
          </w:tcPr>
          <w:p>
            <w:pPr>
              <w:pStyle w:val="0"/>
              <w:jc w:val="both"/>
            </w:pPr>
            <w:r>
              <w:rPr>
                <w:sz w:val="20"/>
              </w:rPr>
              <w:t xml:space="preserve">более 12, но не более 16</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w:t>
            </w:r>
          </w:p>
        </w:tc>
        <w:tc>
          <w:tcPr>
            <w:tcW w:w="1402" w:type="dxa"/>
            <w:vAlign w:val="center"/>
          </w:tcPr>
          <w:p>
            <w:pPr>
              <w:pStyle w:val="0"/>
              <w:jc w:val="center"/>
            </w:pPr>
            <w:r>
              <w:rPr>
                <w:sz w:val="20"/>
              </w:rPr>
              <w:t xml:space="preserve">30</w:t>
            </w:r>
          </w:p>
        </w:tc>
        <w:tc>
          <w:tcPr>
            <w:tcW w:w="1402" w:type="dxa"/>
            <w:vAlign w:val="center"/>
          </w:tcPr>
          <w:p>
            <w:pPr>
              <w:pStyle w:val="0"/>
              <w:jc w:val="center"/>
            </w:pPr>
            <w:r>
              <w:rPr>
                <w:sz w:val="20"/>
              </w:rPr>
              <w:t xml:space="preserve">35</w:t>
            </w:r>
          </w:p>
        </w:tc>
        <w:tc>
          <w:tcPr>
            <w:tcW w:w="1407"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Для населенных пунктов с числом жителей не более 5 тыс. человек расход воды на один пожар допускается принимать 5 л/с.</w:t>
      </w:r>
    </w:p>
    <w:p>
      <w:pPr>
        <w:pStyle w:val="0"/>
        <w:jc w:val="both"/>
      </w:pPr>
      <w:r>
        <w:rPr>
          <w:sz w:val="20"/>
        </w:rPr>
      </w:r>
    </w:p>
    <w:p>
      <w:pPr>
        <w:pStyle w:val="0"/>
        <w:ind w:firstLine="540"/>
        <w:jc w:val="both"/>
      </w:pPr>
      <w:r>
        <w:rPr>
          <w:sz w:val="20"/>
        </w:rPr>
        <w:t xml:space="preserve">Примечание: количество этажей здания следует определять в соответствии с требованиями </w:t>
      </w:r>
      <w:hyperlink w:history="0" r:id="rId37"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Общественные здания и сооружения. Актуализированная редакция СНиП 31-06-2009.</w:t>
      </w:r>
    </w:p>
    <w:p>
      <w:pPr>
        <w:pStyle w:val="0"/>
        <w:jc w:val="both"/>
      </w:pPr>
      <w:r>
        <w:rPr>
          <w:sz w:val="20"/>
        </w:rPr>
      </w:r>
    </w:p>
    <w:bookmarkStart w:id="292" w:name="P292"/>
    <w:bookmarkEnd w:id="292"/>
    <w:p>
      <w:pPr>
        <w:pStyle w:val="0"/>
        <w:ind w:firstLine="540"/>
        <w:jc w:val="both"/>
      </w:pPr>
      <w:r>
        <w:rPr>
          <w:sz w:val="20"/>
        </w:rPr>
        <w:t xml:space="preserve">5.3. Расход воды на наружное пожаротушение на промышленных и сельскохозяйственных предприятиях на один пожар должен приниматься для здания, требующего наибольшего расхода воды, по </w:t>
      </w:r>
      <w:hyperlink w:history="0" w:anchor="P296" w:tooltip="Расход воды на наружное пожаротушение зданий класса">
        <w:r>
          <w:rPr>
            <w:sz w:val="20"/>
            <w:color w:val="0000ff"/>
          </w:rPr>
          <w:t xml:space="preserve">таблицам 3</w:t>
        </w:r>
      </w:hyperlink>
      <w:r>
        <w:rPr>
          <w:sz w:val="20"/>
        </w:rPr>
        <w:t xml:space="preserve"> и </w:t>
      </w:r>
      <w:hyperlink w:history="0" w:anchor="P424" w:tooltip="Расход воды на наружное пожаротушение зданий класса">
        <w:r>
          <w:rPr>
            <w:sz w:val="20"/>
            <w:color w:val="0000ff"/>
          </w:rPr>
          <w:t xml:space="preserve">4</w:t>
        </w:r>
      </w:hyperlink>
      <w:r>
        <w:rPr>
          <w:sz w:val="20"/>
        </w:rPr>
        <w:t xml:space="preserve">.</w:t>
      </w:r>
    </w:p>
    <w:p>
      <w:pPr>
        <w:pStyle w:val="0"/>
        <w:jc w:val="both"/>
      </w:pPr>
      <w:r>
        <w:rPr>
          <w:sz w:val="20"/>
        </w:rPr>
      </w:r>
    </w:p>
    <w:p>
      <w:pPr>
        <w:pStyle w:val="0"/>
        <w:jc w:val="right"/>
      </w:pPr>
      <w:r>
        <w:rPr>
          <w:sz w:val="20"/>
        </w:rPr>
        <w:t xml:space="preserve">Таблица 3</w:t>
      </w:r>
    </w:p>
    <w:p>
      <w:pPr>
        <w:pStyle w:val="0"/>
        <w:jc w:val="both"/>
      </w:pPr>
      <w:r>
        <w:rPr>
          <w:sz w:val="20"/>
        </w:rPr>
      </w:r>
    </w:p>
    <w:bookmarkStart w:id="296" w:name="P296"/>
    <w:bookmarkEnd w:id="296"/>
    <w:p>
      <w:pPr>
        <w:pStyle w:val="2"/>
        <w:outlineLvl w:val="2"/>
        <w:jc w:val="center"/>
      </w:pPr>
      <w:r>
        <w:rPr>
          <w:sz w:val="20"/>
        </w:rPr>
        <w:t xml:space="preserve">Расход воды на наружное пожаротушение зданий класса</w:t>
      </w:r>
    </w:p>
    <w:p>
      <w:pPr>
        <w:pStyle w:val="2"/>
        <w:jc w:val="center"/>
      </w:pPr>
      <w:r>
        <w:rPr>
          <w:sz w:val="20"/>
        </w:rPr>
        <w:t xml:space="preserve">функциональной пожарной опасности Ф5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1191"/>
        <w:gridCol w:w="1474"/>
        <w:gridCol w:w="1013"/>
        <w:gridCol w:w="1013"/>
        <w:gridCol w:w="1013"/>
        <w:gridCol w:w="1013"/>
        <w:gridCol w:w="1013"/>
        <w:gridCol w:w="1013"/>
        <w:gridCol w:w="1013"/>
        <w:gridCol w:w="1020"/>
      </w:tblGrid>
      <w:tr>
        <w:tc>
          <w:tcPr>
            <w:tcW w:w="1134" w:type="dxa"/>
            <w:vMerge w:val="restart"/>
          </w:tcPr>
          <w:p>
            <w:pPr>
              <w:pStyle w:val="0"/>
              <w:jc w:val="center"/>
            </w:pPr>
            <w:r>
              <w:rPr>
                <w:sz w:val="20"/>
              </w:rPr>
              <w:t xml:space="preserve">Степень огнестойкости зданий и сооружений</w:t>
            </w:r>
          </w:p>
        </w:tc>
        <w:tc>
          <w:tcPr>
            <w:tcW w:w="1191" w:type="dxa"/>
            <w:vMerge w:val="restart"/>
          </w:tcPr>
          <w:p>
            <w:pPr>
              <w:pStyle w:val="0"/>
              <w:jc w:val="center"/>
            </w:pPr>
            <w:r>
              <w:rPr>
                <w:sz w:val="20"/>
              </w:rPr>
              <w:t xml:space="preserve">Класс конструктивной пожарной опасности зданий и сооружений</w:t>
            </w:r>
          </w:p>
        </w:tc>
        <w:tc>
          <w:tcPr>
            <w:tcW w:w="1474" w:type="dxa"/>
            <w:vMerge w:val="restart"/>
          </w:tcPr>
          <w:p>
            <w:pPr>
              <w:pStyle w:val="0"/>
              <w:jc w:val="center"/>
            </w:pPr>
            <w:r>
              <w:rPr>
                <w:sz w:val="20"/>
              </w:rPr>
              <w:t xml:space="preserve">Категория зданий и сооружений по взрывопожарной и пожарной опасности</w:t>
            </w:r>
          </w:p>
        </w:tc>
        <w:tc>
          <w:tcPr>
            <w:gridSpan w:val="8"/>
            <w:tcW w:w="8111" w:type="dxa"/>
          </w:tcPr>
          <w:p>
            <w:pPr>
              <w:pStyle w:val="0"/>
              <w:jc w:val="center"/>
            </w:pPr>
            <w:r>
              <w:rPr>
                <w:sz w:val="20"/>
              </w:rPr>
              <w:t xml:space="preserve">Расход воды на наружное пожаротушение зданий с фонарями любой ширины, а также зданий без фонарей шириной не более 60 м на один пожар, л/с, при строительном объеме здании, тыс. м</w:t>
            </w:r>
            <w:r>
              <w:rPr>
                <w:sz w:val="20"/>
                <w:vertAlign w:val="superscript"/>
              </w:rPr>
              <w:t xml:space="preserve">3</w:t>
            </w:r>
          </w:p>
        </w:tc>
      </w:tr>
      <w:tr>
        <w:tc>
          <w:tcPr>
            <w:vMerge w:val="continue"/>
          </w:tcPr>
          <w:p/>
        </w:tc>
        <w:tc>
          <w:tcPr>
            <w:vMerge w:val="continue"/>
          </w:tcPr>
          <w:p/>
        </w:tc>
        <w:tc>
          <w:tcPr>
            <w:vMerge w:val="continue"/>
          </w:tcPr>
          <w:p/>
        </w:tc>
        <w:tc>
          <w:tcPr>
            <w:tcW w:w="1013" w:type="dxa"/>
          </w:tcPr>
          <w:p>
            <w:pPr>
              <w:pStyle w:val="0"/>
              <w:jc w:val="center"/>
            </w:pPr>
            <w:r>
              <w:rPr>
                <w:sz w:val="20"/>
              </w:rPr>
              <w:t xml:space="preserve">не более 3</w:t>
            </w:r>
          </w:p>
        </w:tc>
        <w:tc>
          <w:tcPr>
            <w:tcW w:w="1013" w:type="dxa"/>
          </w:tcPr>
          <w:p>
            <w:pPr>
              <w:pStyle w:val="0"/>
              <w:jc w:val="center"/>
            </w:pPr>
            <w:r>
              <w:rPr>
                <w:sz w:val="20"/>
              </w:rPr>
              <w:t xml:space="preserve">более 3, но не более 5</w:t>
            </w:r>
          </w:p>
        </w:tc>
        <w:tc>
          <w:tcPr>
            <w:tcW w:w="1013" w:type="dxa"/>
          </w:tcPr>
          <w:p>
            <w:pPr>
              <w:pStyle w:val="0"/>
              <w:jc w:val="center"/>
            </w:pPr>
            <w:r>
              <w:rPr>
                <w:sz w:val="20"/>
              </w:rPr>
              <w:t xml:space="preserve">более 5, но не более 20</w:t>
            </w:r>
          </w:p>
        </w:tc>
        <w:tc>
          <w:tcPr>
            <w:tcW w:w="1013" w:type="dxa"/>
          </w:tcPr>
          <w:p>
            <w:pPr>
              <w:pStyle w:val="0"/>
              <w:jc w:val="center"/>
            </w:pPr>
            <w:r>
              <w:rPr>
                <w:sz w:val="20"/>
              </w:rPr>
              <w:t xml:space="preserve">более 20, но не более 50</w:t>
            </w:r>
          </w:p>
        </w:tc>
        <w:tc>
          <w:tcPr>
            <w:tcW w:w="1013" w:type="dxa"/>
          </w:tcPr>
          <w:p>
            <w:pPr>
              <w:pStyle w:val="0"/>
              <w:jc w:val="center"/>
            </w:pPr>
            <w:r>
              <w:rPr>
                <w:sz w:val="20"/>
              </w:rPr>
              <w:t xml:space="preserve">более 50, но не более 200</w:t>
            </w:r>
          </w:p>
        </w:tc>
        <w:tc>
          <w:tcPr>
            <w:tcW w:w="1013" w:type="dxa"/>
          </w:tcPr>
          <w:p>
            <w:pPr>
              <w:pStyle w:val="0"/>
              <w:jc w:val="center"/>
            </w:pPr>
            <w:r>
              <w:rPr>
                <w:sz w:val="20"/>
              </w:rPr>
              <w:t xml:space="preserve">более 200, но не более 400</w:t>
            </w:r>
          </w:p>
        </w:tc>
        <w:tc>
          <w:tcPr>
            <w:tcW w:w="1013" w:type="dxa"/>
          </w:tcPr>
          <w:p>
            <w:pPr>
              <w:pStyle w:val="0"/>
              <w:jc w:val="center"/>
            </w:pPr>
            <w:r>
              <w:rPr>
                <w:sz w:val="20"/>
              </w:rPr>
              <w:t xml:space="preserve">более 400, но не более 600</w:t>
            </w:r>
          </w:p>
        </w:tc>
        <w:tc>
          <w:tcPr>
            <w:tcW w:w="1020" w:type="dxa"/>
          </w:tcPr>
          <w:p>
            <w:pPr>
              <w:pStyle w:val="0"/>
              <w:jc w:val="center"/>
            </w:pPr>
            <w:r>
              <w:rPr>
                <w:sz w:val="20"/>
              </w:rPr>
              <w:t xml:space="preserve">более 600, но не более 800</w:t>
            </w:r>
          </w:p>
        </w:tc>
      </w:tr>
      <w:tr>
        <w:tc>
          <w:tcPr>
            <w:tcW w:w="1134" w:type="dxa"/>
          </w:tcPr>
          <w:p>
            <w:pPr>
              <w:pStyle w:val="0"/>
            </w:pPr>
            <w:r>
              <w:rPr>
                <w:sz w:val="20"/>
              </w:rPr>
              <w:t xml:space="preserve">I и II</w:t>
            </w:r>
          </w:p>
        </w:tc>
        <w:tc>
          <w:tcPr>
            <w:tcW w:w="1191" w:type="dxa"/>
          </w:tcPr>
          <w:p>
            <w:pPr>
              <w:pStyle w:val="0"/>
            </w:pPr>
            <w:r>
              <w:rPr>
                <w:sz w:val="20"/>
              </w:rPr>
              <w:t xml:space="preserve">C0</w:t>
            </w:r>
          </w:p>
        </w:tc>
        <w:tc>
          <w:tcPr>
            <w:tcW w:w="1474" w:type="dxa"/>
          </w:tcPr>
          <w:p>
            <w:pPr>
              <w:pStyle w:val="0"/>
            </w:pPr>
            <w:r>
              <w:rPr>
                <w:sz w:val="20"/>
              </w:rPr>
              <w:t xml:space="preserve">Г, Д</w:t>
            </w:r>
          </w:p>
        </w:tc>
        <w:tc>
          <w:tcPr>
            <w:tcW w:w="1013" w:type="dxa"/>
            <w:vAlign w:val="center"/>
          </w:tcPr>
          <w:p>
            <w:pPr>
              <w:pStyle w:val="0"/>
              <w:jc w:val="center"/>
            </w:pPr>
            <w:r>
              <w:rPr>
                <w:sz w:val="20"/>
              </w:rPr>
              <w:t xml:space="preserve">10</w:t>
            </w:r>
          </w:p>
        </w:tc>
        <w:tc>
          <w:tcPr>
            <w:tcW w:w="1013" w:type="dxa"/>
            <w:vAlign w:val="center"/>
          </w:tcPr>
          <w:p>
            <w:pPr>
              <w:pStyle w:val="0"/>
              <w:jc w:val="center"/>
            </w:pPr>
            <w:r>
              <w:rPr>
                <w:sz w:val="20"/>
              </w:rPr>
              <w:t xml:space="preserve">10</w:t>
            </w:r>
          </w:p>
        </w:tc>
        <w:tc>
          <w:tcPr>
            <w:tcW w:w="1013" w:type="dxa"/>
            <w:vAlign w:val="center"/>
          </w:tcPr>
          <w:p>
            <w:pPr>
              <w:pStyle w:val="0"/>
              <w:jc w:val="center"/>
            </w:pPr>
            <w:r>
              <w:rPr>
                <w:sz w:val="20"/>
              </w:rPr>
              <w:t xml:space="preserve">10</w:t>
            </w:r>
          </w:p>
        </w:tc>
        <w:tc>
          <w:tcPr>
            <w:tcW w:w="1013" w:type="dxa"/>
            <w:vAlign w:val="center"/>
          </w:tcPr>
          <w:p>
            <w:pPr>
              <w:pStyle w:val="0"/>
              <w:jc w:val="center"/>
            </w:pPr>
            <w:r>
              <w:rPr>
                <w:sz w:val="20"/>
              </w:rPr>
              <w:t xml:space="preserve">10</w:t>
            </w:r>
          </w:p>
        </w:tc>
        <w:tc>
          <w:tcPr>
            <w:tcW w:w="1013" w:type="dxa"/>
          </w:tcPr>
          <w:p>
            <w:pPr>
              <w:pStyle w:val="0"/>
              <w:jc w:val="center"/>
            </w:pPr>
            <w:r>
              <w:rPr>
                <w:sz w:val="20"/>
              </w:rPr>
              <w:t xml:space="preserve">15</w:t>
            </w:r>
          </w:p>
        </w:tc>
        <w:tc>
          <w:tcPr>
            <w:tcW w:w="1013" w:type="dxa"/>
            <w:vAlign w:val="center"/>
          </w:tcPr>
          <w:p>
            <w:pPr>
              <w:pStyle w:val="0"/>
              <w:jc w:val="center"/>
            </w:pPr>
            <w:r>
              <w:rPr>
                <w:sz w:val="20"/>
              </w:rPr>
              <w:t xml:space="preserve">20</w:t>
            </w:r>
          </w:p>
        </w:tc>
        <w:tc>
          <w:tcPr>
            <w:tcW w:w="1013" w:type="dxa"/>
          </w:tcPr>
          <w:p>
            <w:pPr>
              <w:pStyle w:val="0"/>
              <w:jc w:val="center"/>
            </w:pPr>
            <w:r>
              <w:rPr>
                <w:sz w:val="20"/>
              </w:rPr>
              <w:t xml:space="preserve">25</w:t>
            </w:r>
          </w:p>
        </w:tc>
        <w:tc>
          <w:tcPr>
            <w:tcW w:w="1020" w:type="dxa"/>
          </w:tcPr>
          <w:p>
            <w:pPr>
              <w:pStyle w:val="0"/>
              <w:jc w:val="center"/>
            </w:pPr>
            <w:r>
              <w:rPr>
                <w:sz w:val="20"/>
              </w:rPr>
              <w:t xml:space="preserve">35</w:t>
            </w:r>
          </w:p>
        </w:tc>
      </w:tr>
      <w:tr>
        <w:tc>
          <w:tcPr>
            <w:tcW w:w="1134" w:type="dxa"/>
          </w:tcPr>
          <w:p>
            <w:pPr>
              <w:pStyle w:val="0"/>
            </w:pPr>
            <w:r>
              <w:rPr>
                <w:sz w:val="20"/>
              </w:rPr>
              <w:t xml:space="preserve">I и II</w:t>
            </w:r>
          </w:p>
        </w:tc>
        <w:tc>
          <w:tcPr>
            <w:tcW w:w="1191" w:type="dxa"/>
          </w:tcPr>
          <w:p>
            <w:pPr>
              <w:pStyle w:val="0"/>
            </w:pPr>
            <w:r>
              <w:rPr>
                <w:sz w:val="20"/>
              </w:rPr>
              <w:t xml:space="preserve">C0</w:t>
            </w:r>
          </w:p>
        </w:tc>
        <w:tc>
          <w:tcPr>
            <w:tcW w:w="1474" w:type="dxa"/>
          </w:tcPr>
          <w:p>
            <w:pPr>
              <w:pStyle w:val="0"/>
            </w:pPr>
            <w:r>
              <w:rPr>
                <w:sz w:val="20"/>
              </w:rPr>
              <w:t xml:space="preserve">А, Б, В</w:t>
            </w:r>
          </w:p>
        </w:tc>
        <w:tc>
          <w:tcPr>
            <w:tcW w:w="1013" w:type="dxa"/>
            <w:vAlign w:val="bottom"/>
          </w:tcPr>
          <w:p>
            <w:pPr>
              <w:pStyle w:val="0"/>
              <w:jc w:val="center"/>
            </w:pPr>
            <w:r>
              <w:rPr>
                <w:sz w:val="20"/>
              </w:rPr>
              <w:t xml:space="preserve">10</w:t>
            </w:r>
          </w:p>
        </w:tc>
        <w:tc>
          <w:tcPr>
            <w:tcW w:w="1013" w:type="dxa"/>
            <w:vAlign w:val="bottom"/>
          </w:tcPr>
          <w:p>
            <w:pPr>
              <w:pStyle w:val="0"/>
              <w:jc w:val="center"/>
            </w:pPr>
            <w:r>
              <w:rPr>
                <w:sz w:val="20"/>
              </w:rPr>
              <w:t xml:space="preserve">10</w:t>
            </w:r>
          </w:p>
        </w:tc>
        <w:tc>
          <w:tcPr>
            <w:tcW w:w="1013" w:type="dxa"/>
          </w:tcPr>
          <w:p>
            <w:pPr>
              <w:pStyle w:val="0"/>
              <w:jc w:val="center"/>
            </w:pPr>
            <w:r>
              <w:rPr>
                <w:sz w:val="20"/>
              </w:rPr>
              <w:t xml:space="preserve">15</w:t>
            </w:r>
          </w:p>
        </w:tc>
        <w:tc>
          <w:tcPr>
            <w:tcW w:w="1013" w:type="dxa"/>
            <w:vAlign w:val="bottom"/>
          </w:tcPr>
          <w:p>
            <w:pPr>
              <w:pStyle w:val="0"/>
              <w:jc w:val="center"/>
            </w:pPr>
            <w:r>
              <w:rPr>
                <w:sz w:val="20"/>
              </w:rPr>
              <w:t xml:space="preserve">20</w:t>
            </w:r>
          </w:p>
        </w:tc>
        <w:tc>
          <w:tcPr>
            <w:tcW w:w="1013" w:type="dxa"/>
          </w:tcPr>
          <w:p>
            <w:pPr>
              <w:pStyle w:val="0"/>
              <w:jc w:val="center"/>
            </w:pPr>
            <w:r>
              <w:rPr>
                <w:sz w:val="20"/>
              </w:rPr>
              <w:t xml:space="preserve">30</w:t>
            </w:r>
          </w:p>
        </w:tc>
        <w:tc>
          <w:tcPr>
            <w:tcW w:w="1013" w:type="dxa"/>
          </w:tcPr>
          <w:p>
            <w:pPr>
              <w:pStyle w:val="0"/>
              <w:jc w:val="center"/>
            </w:pPr>
            <w:r>
              <w:rPr>
                <w:sz w:val="20"/>
              </w:rPr>
              <w:t xml:space="preserve">35</w:t>
            </w:r>
          </w:p>
        </w:tc>
        <w:tc>
          <w:tcPr>
            <w:tcW w:w="1013" w:type="dxa"/>
          </w:tcPr>
          <w:p>
            <w:pPr>
              <w:pStyle w:val="0"/>
              <w:jc w:val="center"/>
            </w:pPr>
            <w:r>
              <w:rPr>
                <w:sz w:val="20"/>
              </w:rPr>
              <w:t xml:space="preserve">40</w:t>
            </w:r>
          </w:p>
        </w:tc>
        <w:tc>
          <w:tcPr>
            <w:tcW w:w="1020" w:type="dxa"/>
          </w:tcPr>
          <w:p>
            <w:pPr>
              <w:pStyle w:val="0"/>
              <w:jc w:val="center"/>
            </w:pPr>
            <w:r>
              <w:rPr>
                <w:sz w:val="20"/>
              </w:rPr>
              <w:t xml:space="preserve">50</w:t>
            </w:r>
          </w:p>
        </w:tc>
      </w:tr>
      <w:tr>
        <w:tc>
          <w:tcPr>
            <w:tcW w:w="1134" w:type="dxa"/>
            <w:vAlign w:val="bottom"/>
          </w:tcPr>
          <w:p>
            <w:pPr>
              <w:pStyle w:val="0"/>
            </w:pPr>
            <w:r>
              <w:rPr>
                <w:sz w:val="20"/>
              </w:rPr>
              <w:t xml:space="preserve">III</w:t>
            </w:r>
          </w:p>
        </w:tc>
        <w:tc>
          <w:tcPr>
            <w:tcW w:w="1191" w:type="dxa"/>
            <w:vAlign w:val="bottom"/>
          </w:tcPr>
          <w:p>
            <w:pPr>
              <w:pStyle w:val="0"/>
            </w:pPr>
            <w:r>
              <w:rPr>
                <w:sz w:val="20"/>
              </w:rPr>
              <w:t xml:space="preserve">C0, C1</w:t>
            </w:r>
          </w:p>
        </w:tc>
        <w:tc>
          <w:tcPr>
            <w:tcW w:w="1474" w:type="dxa"/>
            <w:vAlign w:val="bottom"/>
          </w:tcPr>
          <w:p>
            <w:pPr>
              <w:pStyle w:val="0"/>
            </w:pPr>
            <w:r>
              <w:rPr>
                <w:sz w:val="20"/>
              </w:rPr>
              <w:t xml:space="preserve">Г, Д</w:t>
            </w:r>
          </w:p>
        </w:tc>
        <w:tc>
          <w:tcPr>
            <w:tcW w:w="1013" w:type="dxa"/>
            <w:vAlign w:val="bottom"/>
          </w:tcPr>
          <w:p>
            <w:pPr>
              <w:pStyle w:val="0"/>
              <w:jc w:val="center"/>
            </w:pPr>
            <w:r>
              <w:rPr>
                <w:sz w:val="20"/>
              </w:rPr>
              <w:t xml:space="preserve">10</w:t>
            </w:r>
          </w:p>
        </w:tc>
        <w:tc>
          <w:tcPr>
            <w:tcW w:w="1013" w:type="dxa"/>
            <w:vAlign w:val="bottom"/>
          </w:tcPr>
          <w:p>
            <w:pPr>
              <w:pStyle w:val="0"/>
              <w:jc w:val="center"/>
            </w:pPr>
            <w:r>
              <w:rPr>
                <w:sz w:val="20"/>
              </w:rPr>
              <w:t xml:space="preserve">10</w:t>
            </w:r>
          </w:p>
        </w:tc>
        <w:tc>
          <w:tcPr>
            <w:tcW w:w="1013" w:type="dxa"/>
            <w:vAlign w:val="bottom"/>
          </w:tcPr>
          <w:p>
            <w:pPr>
              <w:pStyle w:val="0"/>
              <w:jc w:val="center"/>
            </w:pPr>
            <w:r>
              <w:rPr>
                <w:sz w:val="20"/>
              </w:rPr>
              <w:t xml:space="preserve">15</w:t>
            </w:r>
          </w:p>
        </w:tc>
        <w:tc>
          <w:tcPr>
            <w:tcW w:w="1013" w:type="dxa"/>
            <w:vAlign w:val="bottom"/>
          </w:tcPr>
          <w:p>
            <w:pPr>
              <w:pStyle w:val="0"/>
              <w:jc w:val="center"/>
            </w:pPr>
            <w:r>
              <w:rPr>
                <w:sz w:val="20"/>
              </w:rPr>
              <w:t xml:space="preserve">25</w:t>
            </w:r>
          </w:p>
        </w:tc>
        <w:tc>
          <w:tcPr>
            <w:tcW w:w="1013" w:type="dxa"/>
            <w:vAlign w:val="bottom"/>
          </w:tcPr>
          <w:p>
            <w:pPr>
              <w:pStyle w:val="0"/>
              <w:jc w:val="center"/>
            </w:pPr>
            <w:r>
              <w:rPr>
                <w:sz w:val="20"/>
              </w:rPr>
              <w:t xml:space="preserve">35</w:t>
            </w:r>
          </w:p>
        </w:tc>
        <w:tc>
          <w:tcPr>
            <w:tcW w:w="1013" w:type="dxa"/>
            <w:vAlign w:val="bottom"/>
          </w:tcPr>
          <w:p>
            <w:pPr>
              <w:pStyle w:val="0"/>
              <w:jc w:val="center"/>
            </w:pPr>
            <w:r>
              <w:rPr>
                <w:sz w:val="20"/>
              </w:rPr>
              <w:t xml:space="preserve">40</w:t>
            </w:r>
          </w:p>
        </w:tc>
        <w:tc>
          <w:tcPr>
            <w:tcW w:w="1013" w:type="dxa"/>
            <w:vAlign w:val="bottom"/>
          </w:tcPr>
          <w:p>
            <w:pPr>
              <w:pStyle w:val="0"/>
              <w:jc w:val="center"/>
            </w:pPr>
            <w:r>
              <w:rPr>
                <w:sz w:val="20"/>
              </w:rPr>
              <w:t xml:space="preserve">45</w:t>
            </w:r>
          </w:p>
        </w:tc>
        <w:tc>
          <w:tcPr>
            <w:tcW w:w="1020" w:type="dxa"/>
          </w:tcPr>
          <w:p>
            <w:pPr>
              <w:pStyle w:val="0"/>
              <w:jc w:val="center"/>
            </w:pPr>
            <w:r>
              <w:rPr>
                <w:sz w:val="20"/>
              </w:rPr>
              <w:t xml:space="preserve">-</w:t>
            </w:r>
          </w:p>
        </w:tc>
      </w:tr>
      <w:tr>
        <w:tc>
          <w:tcPr>
            <w:tcW w:w="1134" w:type="dxa"/>
            <w:vAlign w:val="bottom"/>
          </w:tcPr>
          <w:p>
            <w:pPr>
              <w:pStyle w:val="0"/>
            </w:pPr>
            <w:r>
              <w:rPr>
                <w:sz w:val="20"/>
              </w:rPr>
              <w:t xml:space="preserve">III</w:t>
            </w:r>
          </w:p>
        </w:tc>
        <w:tc>
          <w:tcPr>
            <w:tcW w:w="1191" w:type="dxa"/>
            <w:vAlign w:val="bottom"/>
          </w:tcPr>
          <w:p>
            <w:pPr>
              <w:pStyle w:val="0"/>
            </w:pPr>
            <w:r>
              <w:rPr>
                <w:sz w:val="20"/>
              </w:rPr>
              <w:t xml:space="preserve">C0</w:t>
            </w:r>
          </w:p>
        </w:tc>
        <w:tc>
          <w:tcPr>
            <w:tcW w:w="1474" w:type="dxa"/>
            <w:vAlign w:val="bottom"/>
          </w:tcPr>
          <w:p>
            <w:pPr>
              <w:pStyle w:val="0"/>
            </w:pPr>
            <w:r>
              <w:rPr>
                <w:sz w:val="20"/>
              </w:rPr>
              <w:t xml:space="preserve">А, Б, В</w:t>
            </w:r>
          </w:p>
        </w:tc>
        <w:tc>
          <w:tcPr>
            <w:tcW w:w="1013" w:type="dxa"/>
            <w:vAlign w:val="bottom"/>
          </w:tcPr>
          <w:p>
            <w:pPr>
              <w:pStyle w:val="0"/>
              <w:jc w:val="center"/>
            </w:pPr>
            <w:r>
              <w:rPr>
                <w:sz w:val="20"/>
              </w:rPr>
              <w:t xml:space="preserve">10</w:t>
            </w:r>
          </w:p>
        </w:tc>
        <w:tc>
          <w:tcPr>
            <w:tcW w:w="1013" w:type="dxa"/>
            <w:vAlign w:val="bottom"/>
          </w:tcPr>
          <w:p>
            <w:pPr>
              <w:pStyle w:val="0"/>
              <w:jc w:val="center"/>
            </w:pPr>
            <w:r>
              <w:rPr>
                <w:sz w:val="20"/>
              </w:rPr>
              <w:t xml:space="preserve">15</w:t>
            </w:r>
          </w:p>
        </w:tc>
        <w:tc>
          <w:tcPr>
            <w:tcW w:w="1013" w:type="dxa"/>
            <w:vAlign w:val="bottom"/>
          </w:tcPr>
          <w:p>
            <w:pPr>
              <w:pStyle w:val="0"/>
              <w:jc w:val="center"/>
            </w:pPr>
            <w:r>
              <w:rPr>
                <w:sz w:val="20"/>
              </w:rPr>
              <w:t xml:space="preserve">20</w:t>
            </w:r>
          </w:p>
        </w:tc>
        <w:tc>
          <w:tcPr>
            <w:tcW w:w="1013" w:type="dxa"/>
            <w:vAlign w:val="bottom"/>
          </w:tcPr>
          <w:p>
            <w:pPr>
              <w:pStyle w:val="0"/>
              <w:jc w:val="center"/>
            </w:pPr>
            <w:r>
              <w:rPr>
                <w:sz w:val="20"/>
              </w:rPr>
              <w:t xml:space="preserve">30</w:t>
            </w:r>
          </w:p>
        </w:tc>
        <w:tc>
          <w:tcPr>
            <w:tcW w:w="1013" w:type="dxa"/>
            <w:vAlign w:val="bottom"/>
          </w:tcPr>
          <w:p>
            <w:pPr>
              <w:pStyle w:val="0"/>
              <w:jc w:val="center"/>
            </w:pPr>
            <w:r>
              <w:rPr>
                <w:sz w:val="20"/>
              </w:rPr>
              <w:t xml:space="preserve">45</w:t>
            </w:r>
          </w:p>
        </w:tc>
        <w:tc>
          <w:tcPr>
            <w:tcW w:w="1013" w:type="dxa"/>
            <w:vAlign w:val="bottom"/>
          </w:tcPr>
          <w:p>
            <w:pPr>
              <w:pStyle w:val="0"/>
              <w:jc w:val="center"/>
            </w:pPr>
            <w:r>
              <w:rPr>
                <w:sz w:val="20"/>
              </w:rPr>
              <w:t xml:space="preserve">60</w:t>
            </w:r>
          </w:p>
        </w:tc>
        <w:tc>
          <w:tcPr>
            <w:tcW w:w="1013" w:type="dxa"/>
            <w:vAlign w:val="bottom"/>
          </w:tcPr>
          <w:p>
            <w:pPr>
              <w:pStyle w:val="0"/>
              <w:jc w:val="center"/>
            </w:pPr>
            <w:r>
              <w:rPr>
                <w:sz w:val="20"/>
              </w:rPr>
              <w:t xml:space="preserve">75</w:t>
            </w:r>
          </w:p>
        </w:tc>
        <w:tc>
          <w:tcPr>
            <w:tcW w:w="1020" w:type="dxa"/>
          </w:tcPr>
          <w:p>
            <w:pPr>
              <w:pStyle w:val="0"/>
              <w:jc w:val="center"/>
            </w:pPr>
            <w:r>
              <w:rPr>
                <w:sz w:val="20"/>
              </w:rPr>
              <w:t xml:space="preserve">-</w:t>
            </w:r>
          </w:p>
        </w:tc>
      </w:tr>
      <w:tr>
        <w:tc>
          <w:tcPr>
            <w:tcW w:w="1134" w:type="dxa"/>
            <w:vAlign w:val="bottom"/>
          </w:tcPr>
          <w:p>
            <w:pPr>
              <w:pStyle w:val="0"/>
            </w:pPr>
            <w:r>
              <w:rPr>
                <w:sz w:val="20"/>
              </w:rPr>
              <w:t xml:space="preserve">IV</w:t>
            </w:r>
          </w:p>
        </w:tc>
        <w:tc>
          <w:tcPr>
            <w:tcW w:w="1191" w:type="dxa"/>
            <w:vAlign w:val="bottom"/>
          </w:tcPr>
          <w:p>
            <w:pPr>
              <w:pStyle w:val="0"/>
            </w:pPr>
            <w:r>
              <w:rPr>
                <w:sz w:val="20"/>
              </w:rPr>
              <w:t xml:space="preserve">C0, C1</w:t>
            </w:r>
          </w:p>
        </w:tc>
        <w:tc>
          <w:tcPr>
            <w:tcW w:w="1474" w:type="dxa"/>
            <w:vAlign w:val="bottom"/>
          </w:tcPr>
          <w:p>
            <w:pPr>
              <w:pStyle w:val="0"/>
            </w:pPr>
            <w:r>
              <w:rPr>
                <w:sz w:val="20"/>
              </w:rPr>
              <w:t xml:space="preserve">Г, Д</w:t>
            </w:r>
          </w:p>
        </w:tc>
        <w:tc>
          <w:tcPr>
            <w:tcW w:w="1013" w:type="dxa"/>
            <w:vAlign w:val="bottom"/>
          </w:tcPr>
          <w:p>
            <w:pPr>
              <w:pStyle w:val="0"/>
              <w:jc w:val="center"/>
            </w:pPr>
            <w:r>
              <w:rPr>
                <w:sz w:val="20"/>
              </w:rPr>
              <w:t xml:space="preserve">10</w:t>
            </w:r>
          </w:p>
        </w:tc>
        <w:tc>
          <w:tcPr>
            <w:tcW w:w="1013" w:type="dxa"/>
            <w:vAlign w:val="bottom"/>
          </w:tcPr>
          <w:p>
            <w:pPr>
              <w:pStyle w:val="0"/>
              <w:jc w:val="center"/>
            </w:pPr>
            <w:r>
              <w:rPr>
                <w:sz w:val="20"/>
              </w:rPr>
              <w:t xml:space="preserve">15</w:t>
            </w:r>
          </w:p>
        </w:tc>
        <w:tc>
          <w:tcPr>
            <w:tcW w:w="1013" w:type="dxa"/>
            <w:vAlign w:val="bottom"/>
          </w:tcPr>
          <w:p>
            <w:pPr>
              <w:pStyle w:val="0"/>
              <w:jc w:val="center"/>
            </w:pPr>
            <w:r>
              <w:rPr>
                <w:sz w:val="20"/>
              </w:rPr>
              <w:t xml:space="preserve">20</w:t>
            </w:r>
          </w:p>
        </w:tc>
        <w:tc>
          <w:tcPr>
            <w:tcW w:w="1013" w:type="dxa"/>
            <w:vAlign w:val="bottom"/>
          </w:tcPr>
          <w:p>
            <w:pPr>
              <w:pStyle w:val="0"/>
              <w:jc w:val="center"/>
            </w:pPr>
            <w:r>
              <w:rPr>
                <w:sz w:val="20"/>
              </w:rPr>
              <w:t xml:space="preserve">30</w:t>
            </w:r>
          </w:p>
        </w:tc>
        <w:tc>
          <w:tcPr>
            <w:tcW w:w="1013" w:type="dxa"/>
            <w:vAlign w:val="bottom"/>
          </w:tcPr>
          <w:p>
            <w:pPr>
              <w:pStyle w:val="0"/>
              <w:jc w:val="center"/>
            </w:pPr>
            <w:r>
              <w:rPr>
                <w:sz w:val="20"/>
              </w:rPr>
              <w:t xml:space="preserve">40</w:t>
            </w:r>
          </w:p>
        </w:tc>
        <w:tc>
          <w:tcPr>
            <w:tcW w:w="1013" w:type="dxa"/>
            <w:vAlign w:val="bottom"/>
          </w:tcPr>
          <w:p>
            <w:pPr>
              <w:pStyle w:val="0"/>
              <w:jc w:val="center"/>
            </w:pPr>
            <w:r>
              <w:rPr>
                <w:sz w:val="20"/>
              </w:rPr>
              <w:t xml:space="preserve">50</w:t>
            </w:r>
          </w:p>
        </w:tc>
        <w:tc>
          <w:tcPr>
            <w:tcW w:w="1013" w:type="dxa"/>
            <w:vAlign w:val="bottom"/>
          </w:tcPr>
          <w:p>
            <w:pPr>
              <w:pStyle w:val="0"/>
              <w:jc w:val="center"/>
            </w:pPr>
            <w:r>
              <w:rPr>
                <w:sz w:val="20"/>
              </w:rPr>
              <w:t xml:space="preserve">60</w:t>
            </w:r>
          </w:p>
        </w:tc>
        <w:tc>
          <w:tcPr>
            <w:tcW w:w="1020" w:type="dxa"/>
          </w:tcPr>
          <w:p>
            <w:pPr>
              <w:pStyle w:val="0"/>
              <w:jc w:val="center"/>
            </w:pPr>
            <w:r>
              <w:rPr>
                <w:sz w:val="20"/>
              </w:rPr>
              <w:t xml:space="preserve">-</w:t>
            </w:r>
          </w:p>
        </w:tc>
      </w:tr>
      <w:tr>
        <w:tc>
          <w:tcPr>
            <w:tcW w:w="1134" w:type="dxa"/>
            <w:vAlign w:val="bottom"/>
          </w:tcPr>
          <w:p>
            <w:pPr>
              <w:pStyle w:val="0"/>
            </w:pPr>
            <w:r>
              <w:rPr>
                <w:sz w:val="20"/>
              </w:rPr>
              <w:t xml:space="preserve">IV</w:t>
            </w:r>
          </w:p>
        </w:tc>
        <w:tc>
          <w:tcPr>
            <w:tcW w:w="1191" w:type="dxa"/>
            <w:vAlign w:val="bottom"/>
          </w:tcPr>
          <w:p>
            <w:pPr>
              <w:pStyle w:val="0"/>
            </w:pPr>
            <w:r>
              <w:rPr>
                <w:sz w:val="20"/>
              </w:rPr>
              <w:t xml:space="preserve">C0, C1</w:t>
            </w:r>
          </w:p>
        </w:tc>
        <w:tc>
          <w:tcPr>
            <w:tcW w:w="1474" w:type="dxa"/>
            <w:vAlign w:val="bottom"/>
          </w:tcPr>
          <w:p>
            <w:pPr>
              <w:pStyle w:val="0"/>
            </w:pPr>
            <w:r>
              <w:rPr>
                <w:sz w:val="20"/>
              </w:rPr>
              <w:t xml:space="preserve">А, Б, В</w:t>
            </w:r>
          </w:p>
        </w:tc>
        <w:tc>
          <w:tcPr>
            <w:tcW w:w="1013" w:type="dxa"/>
            <w:vAlign w:val="bottom"/>
          </w:tcPr>
          <w:p>
            <w:pPr>
              <w:pStyle w:val="0"/>
              <w:jc w:val="center"/>
            </w:pPr>
            <w:r>
              <w:rPr>
                <w:sz w:val="20"/>
              </w:rPr>
              <w:t xml:space="preserve">15</w:t>
            </w:r>
          </w:p>
        </w:tc>
        <w:tc>
          <w:tcPr>
            <w:tcW w:w="1013" w:type="dxa"/>
            <w:vAlign w:val="bottom"/>
          </w:tcPr>
          <w:p>
            <w:pPr>
              <w:pStyle w:val="0"/>
              <w:jc w:val="center"/>
            </w:pPr>
            <w:r>
              <w:rPr>
                <w:sz w:val="20"/>
              </w:rPr>
              <w:t xml:space="preserve">20</w:t>
            </w:r>
          </w:p>
        </w:tc>
        <w:tc>
          <w:tcPr>
            <w:tcW w:w="1013" w:type="dxa"/>
            <w:vAlign w:val="bottom"/>
          </w:tcPr>
          <w:p>
            <w:pPr>
              <w:pStyle w:val="0"/>
              <w:jc w:val="center"/>
            </w:pPr>
            <w:r>
              <w:rPr>
                <w:sz w:val="20"/>
              </w:rPr>
              <w:t xml:space="preserve">25</w:t>
            </w:r>
          </w:p>
        </w:tc>
        <w:tc>
          <w:tcPr>
            <w:tcW w:w="1013" w:type="dxa"/>
            <w:vAlign w:val="bottom"/>
          </w:tcPr>
          <w:p>
            <w:pPr>
              <w:pStyle w:val="0"/>
              <w:jc w:val="center"/>
            </w:pPr>
            <w:r>
              <w:rPr>
                <w:sz w:val="20"/>
              </w:rPr>
              <w:t xml:space="preserve">40</w:t>
            </w:r>
          </w:p>
        </w:tc>
        <w:tc>
          <w:tcPr>
            <w:tcW w:w="1013" w:type="dxa"/>
            <w:vAlign w:val="bottom"/>
          </w:tcPr>
          <w:p>
            <w:pPr>
              <w:pStyle w:val="0"/>
              <w:jc w:val="center"/>
            </w:pPr>
            <w:r>
              <w:rPr>
                <w:sz w:val="20"/>
              </w:rPr>
              <w:t xml:space="preserve">60</w:t>
            </w:r>
          </w:p>
        </w:tc>
        <w:tc>
          <w:tcPr>
            <w:tcW w:w="1013" w:type="dxa"/>
            <w:vAlign w:val="bottom"/>
          </w:tcPr>
          <w:p>
            <w:pPr>
              <w:pStyle w:val="0"/>
              <w:jc w:val="center"/>
            </w:pPr>
            <w:r>
              <w:rPr>
                <w:sz w:val="20"/>
              </w:rPr>
              <w:t xml:space="preserve">80</w:t>
            </w:r>
          </w:p>
        </w:tc>
        <w:tc>
          <w:tcPr>
            <w:tcW w:w="1013" w:type="dxa"/>
            <w:vAlign w:val="bottom"/>
          </w:tcPr>
          <w:p>
            <w:pPr>
              <w:pStyle w:val="0"/>
              <w:jc w:val="center"/>
            </w:pPr>
            <w:r>
              <w:rPr>
                <w:sz w:val="20"/>
              </w:rPr>
              <w:t xml:space="preserve">100</w:t>
            </w:r>
          </w:p>
        </w:tc>
        <w:tc>
          <w:tcPr>
            <w:tcW w:w="1020" w:type="dxa"/>
            <w:vAlign w:val="center"/>
          </w:tcPr>
          <w:p>
            <w:pPr>
              <w:pStyle w:val="0"/>
              <w:jc w:val="center"/>
            </w:pPr>
            <w:r>
              <w:rPr>
                <w:sz w:val="20"/>
              </w:rPr>
              <w:t xml:space="preserve">-</w:t>
            </w:r>
          </w:p>
        </w:tc>
      </w:tr>
      <w:tr>
        <w:tc>
          <w:tcPr>
            <w:tcW w:w="1134" w:type="dxa"/>
            <w:vAlign w:val="bottom"/>
          </w:tcPr>
          <w:p>
            <w:pPr>
              <w:pStyle w:val="0"/>
            </w:pPr>
            <w:r>
              <w:rPr>
                <w:sz w:val="20"/>
              </w:rPr>
              <w:t xml:space="preserve">IV</w:t>
            </w:r>
          </w:p>
        </w:tc>
        <w:tc>
          <w:tcPr>
            <w:tcW w:w="1191" w:type="dxa"/>
            <w:vAlign w:val="bottom"/>
          </w:tcPr>
          <w:p>
            <w:pPr>
              <w:pStyle w:val="0"/>
            </w:pPr>
            <w:r>
              <w:rPr>
                <w:sz w:val="20"/>
              </w:rPr>
              <w:t xml:space="preserve">C2, C3</w:t>
            </w:r>
          </w:p>
        </w:tc>
        <w:tc>
          <w:tcPr>
            <w:tcW w:w="1474" w:type="dxa"/>
            <w:vAlign w:val="bottom"/>
          </w:tcPr>
          <w:p>
            <w:pPr>
              <w:pStyle w:val="0"/>
            </w:pPr>
            <w:r>
              <w:rPr>
                <w:sz w:val="20"/>
              </w:rPr>
              <w:t xml:space="preserve">Д</w:t>
            </w:r>
          </w:p>
        </w:tc>
        <w:tc>
          <w:tcPr>
            <w:tcW w:w="1013" w:type="dxa"/>
            <w:vAlign w:val="bottom"/>
          </w:tcPr>
          <w:p>
            <w:pPr>
              <w:pStyle w:val="0"/>
              <w:jc w:val="center"/>
            </w:pPr>
            <w:r>
              <w:rPr>
                <w:sz w:val="20"/>
              </w:rPr>
              <w:t xml:space="preserve">10</w:t>
            </w:r>
          </w:p>
        </w:tc>
        <w:tc>
          <w:tcPr>
            <w:tcW w:w="1013" w:type="dxa"/>
            <w:vAlign w:val="bottom"/>
          </w:tcPr>
          <w:p>
            <w:pPr>
              <w:pStyle w:val="0"/>
              <w:jc w:val="center"/>
            </w:pPr>
            <w:r>
              <w:rPr>
                <w:sz w:val="20"/>
              </w:rPr>
              <w:t xml:space="preserve">15</w:t>
            </w:r>
          </w:p>
        </w:tc>
        <w:tc>
          <w:tcPr>
            <w:tcW w:w="1013" w:type="dxa"/>
            <w:vAlign w:val="bottom"/>
          </w:tcPr>
          <w:p>
            <w:pPr>
              <w:pStyle w:val="0"/>
              <w:jc w:val="center"/>
            </w:pPr>
            <w:r>
              <w:rPr>
                <w:sz w:val="20"/>
              </w:rPr>
              <w:t xml:space="preserve">20</w:t>
            </w:r>
          </w:p>
        </w:tc>
        <w:tc>
          <w:tcPr>
            <w:tcW w:w="1013" w:type="dxa"/>
            <w:vAlign w:val="bottom"/>
          </w:tcPr>
          <w:p>
            <w:pPr>
              <w:pStyle w:val="0"/>
              <w:jc w:val="center"/>
            </w:pPr>
            <w:r>
              <w:rPr>
                <w:sz w:val="20"/>
              </w:rPr>
              <w:t xml:space="preserve">30</w:t>
            </w:r>
          </w:p>
        </w:tc>
        <w:tc>
          <w:tcPr>
            <w:tcW w:w="1013" w:type="dxa"/>
            <w:vAlign w:val="bottom"/>
          </w:tcPr>
          <w:p>
            <w:pPr>
              <w:pStyle w:val="0"/>
              <w:jc w:val="center"/>
            </w:pPr>
            <w:r>
              <w:rPr>
                <w:sz w:val="20"/>
              </w:rPr>
              <w:t xml:space="preserve">45</w:t>
            </w:r>
          </w:p>
        </w:tc>
        <w:tc>
          <w:tcPr>
            <w:tcW w:w="1013" w:type="dxa"/>
          </w:tcPr>
          <w:p>
            <w:pPr>
              <w:pStyle w:val="0"/>
              <w:jc w:val="center"/>
            </w:pPr>
            <w:r>
              <w:rPr>
                <w:sz w:val="20"/>
              </w:rPr>
              <w:t xml:space="preserve">-</w:t>
            </w:r>
          </w:p>
        </w:tc>
        <w:tc>
          <w:tcPr>
            <w:tcW w:w="1013"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r>
      <w:tr>
        <w:tc>
          <w:tcPr>
            <w:tcW w:w="1134" w:type="dxa"/>
            <w:vAlign w:val="bottom"/>
          </w:tcPr>
          <w:p>
            <w:pPr>
              <w:pStyle w:val="0"/>
            </w:pPr>
            <w:r>
              <w:rPr>
                <w:sz w:val="20"/>
              </w:rPr>
              <w:t xml:space="preserve">IV</w:t>
            </w:r>
          </w:p>
        </w:tc>
        <w:tc>
          <w:tcPr>
            <w:tcW w:w="1191" w:type="dxa"/>
            <w:vAlign w:val="bottom"/>
          </w:tcPr>
          <w:p>
            <w:pPr>
              <w:pStyle w:val="0"/>
            </w:pPr>
            <w:r>
              <w:rPr>
                <w:sz w:val="20"/>
              </w:rPr>
              <w:t xml:space="preserve">C2, C3</w:t>
            </w:r>
          </w:p>
        </w:tc>
        <w:tc>
          <w:tcPr>
            <w:tcW w:w="1474" w:type="dxa"/>
            <w:vAlign w:val="bottom"/>
          </w:tcPr>
          <w:p>
            <w:pPr>
              <w:pStyle w:val="0"/>
            </w:pPr>
            <w:r>
              <w:rPr>
                <w:sz w:val="20"/>
              </w:rPr>
              <w:t xml:space="preserve">А, Б, В</w:t>
            </w:r>
          </w:p>
        </w:tc>
        <w:tc>
          <w:tcPr>
            <w:tcW w:w="1013" w:type="dxa"/>
            <w:vAlign w:val="bottom"/>
          </w:tcPr>
          <w:p>
            <w:pPr>
              <w:pStyle w:val="0"/>
              <w:jc w:val="center"/>
            </w:pPr>
            <w:r>
              <w:rPr>
                <w:sz w:val="20"/>
              </w:rPr>
              <w:t xml:space="preserve">15</w:t>
            </w:r>
          </w:p>
        </w:tc>
        <w:tc>
          <w:tcPr>
            <w:tcW w:w="1013" w:type="dxa"/>
            <w:vAlign w:val="bottom"/>
          </w:tcPr>
          <w:p>
            <w:pPr>
              <w:pStyle w:val="0"/>
              <w:jc w:val="center"/>
            </w:pPr>
            <w:r>
              <w:rPr>
                <w:sz w:val="20"/>
              </w:rPr>
              <w:t xml:space="preserve">20</w:t>
            </w:r>
          </w:p>
        </w:tc>
        <w:tc>
          <w:tcPr>
            <w:tcW w:w="1013" w:type="dxa"/>
            <w:vAlign w:val="bottom"/>
          </w:tcPr>
          <w:p>
            <w:pPr>
              <w:pStyle w:val="0"/>
              <w:jc w:val="center"/>
            </w:pPr>
            <w:r>
              <w:rPr>
                <w:sz w:val="20"/>
              </w:rPr>
              <w:t xml:space="preserve">25</w:t>
            </w:r>
          </w:p>
        </w:tc>
        <w:tc>
          <w:tcPr>
            <w:tcW w:w="1013" w:type="dxa"/>
            <w:vAlign w:val="bottom"/>
          </w:tcPr>
          <w:p>
            <w:pPr>
              <w:pStyle w:val="0"/>
              <w:jc w:val="center"/>
            </w:pPr>
            <w:r>
              <w:rPr>
                <w:sz w:val="20"/>
              </w:rPr>
              <w:t xml:space="preserve">40</w:t>
            </w:r>
          </w:p>
        </w:tc>
        <w:tc>
          <w:tcPr>
            <w:tcW w:w="1013" w:type="dxa"/>
            <w:vAlign w:val="bottom"/>
          </w:tcPr>
          <w:p>
            <w:pPr>
              <w:pStyle w:val="0"/>
              <w:jc w:val="center"/>
            </w:pPr>
            <w:r>
              <w:rPr>
                <w:sz w:val="20"/>
              </w:rPr>
              <w:t xml:space="preserve">65</w:t>
            </w:r>
          </w:p>
        </w:tc>
        <w:tc>
          <w:tcPr>
            <w:tcW w:w="1013" w:type="dxa"/>
          </w:tcPr>
          <w:p>
            <w:pPr>
              <w:pStyle w:val="0"/>
              <w:jc w:val="center"/>
            </w:pPr>
            <w:r>
              <w:rPr>
                <w:sz w:val="20"/>
              </w:rPr>
              <w:t xml:space="preserve">-</w:t>
            </w:r>
          </w:p>
        </w:tc>
        <w:tc>
          <w:tcPr>
            <w:tcW w:w="1013" w:type="dxa"/>
          </w:tcPr>
          <w:p>
            <w:pPr>
              <w:pStyle w:val="0"/>
              <w:jc w:val="center"/>
            </w:pPr>
            <w:r>
              <w:rPr>
                <w:sz w:val="20"/>
              </w:rPr>
              <w:t xml:space="preserve">-</w:t>
            </w:r>
          </w:p>
        </w:tc>
        <w:tc>
          <w:tcPr>
            <w:tcW w:w="1020" w:type="dxa"/>
          </w:tcPr>
          <w:p>
            <w:pPr>
              <w:pStyle w:val="0"/>
              <w:jc w:val="center"/>
            </w:pPr>
            <w:r>
              <w:rPr>
                <w:sz w:val="20"/>
              </w:rPr>
              <w:t xml:space="preserve">-</w:t>
            </w:r>
          </w:p>
        </w:tc>
      </w:tr>
      <w:tr>
        <w:tc>
          <w:tcPr>
            <w:tcW w:w="1134" w:type="dxa"/>
            <w:vAlign w:val="bottom"/>
          </w:tcPr>
          <w:p>
            <w:pPr>
              <w:pStyle w:val="0"/>
            </w:pPr>
            <w:r>
              <w:rPr>
                <w:sz w:val="20"/>
              </w:rPr>
              <w:t xml:space="preserve">V</w:t>
            </w:r>
          </w:p>
        </w:tc>
        <w:tc>
          <w:tcPr>
            <w:tcW w:w="1191" w:type="dxa"/>
            <w:vAlign w:val="bottom"/>
          </w:tcPr>
          <w:p>
            <w:pPr>
              <w:pStyle w:val="0"/>
            </w:pPr>
            <w:r>
              <w:rPr>
                <w:sz w:val="20"/>
              </w:rPr>
              <w:t xml:space="preserve">Не норм.</w:t>
            </w:r>
          </w:p>
        </w:tc>
        <w:tc>
          <w:tcPr>
            <w:tcW w:w="1474" w:type="dxa"/>
            <w:vAlign w:val="bottom"/>
          </w:tcPr>
          <w:p>
            <w:pPr>
              <w:pStyle w:val="0"/>
            </w:pPr>
            <w:r>
              <w:rPr>
                <w:sz w:val="20"/>
              </w:rPr>
              <w:t xml:space="preserve">Д</w:t>
            </w:r>
          </w:p>
        </w:tc>
        <w:tc>
          <w:tcPr>
            <w:tcW w:w="1013" w:type="dxa"/>
            <w:vAlign w:val="bottom"/>
          </w:tcPr>
          <w:p>
            <w:pPr>
              <w:pStyle w:val="0"/>
              <w:jc w:val="center"/>
            </w:pPr>
            <w:r>
              <w:rPr>
                <w:sz w:val="20"/>
              </w:rPr>
              <w:t xml:space="preserve">10</w:t>
            </w:r>
          </w:p>
        </w:tc>
        <w:tc>
          <w:tcPr>
            <w:tcW w:w="1013" w:type="dxa"/>
            <w:vAlign w:val="bottom"/>
          </w:tcPr>
          <w:p>
            <w:pPr>
              <w:pStyle w:val="0"/>
              <w:jc w:val="center"/>
            </w:pPr>
            <w:r>
              <w:rPr>
                <w:sz w:val="20"/>
              </w:rPr>
              <w:t xml:space="preserve">15</w:t>
            </w:r>
          </w:p>
        </w:tc>
        <w:tc>
          <w:tcPr>
            <w:tcW w:w="1013" w:type="dxa"/>
            <w:vAlign w:val="bottom"/>
          </w:tcPr>
          <w:p>
            <w:pPr>
              <w:pStyle w:val="0"/>
              <w:jc w:val="center"/>
            </w:pPr>
            <w:r>
              <w:rPr>
                <w:sz w:val="20"/>
              </w:rPr>
              <w:t xml:space="preserve">20</w:t>
            </w:r>
          </w:p>
        </w:tc>
        <w:tc>
          <w:tcPr>
            <w:tcW w:w="1013" w:type="dxa"/>
            <w:vAlign w:val="bottom"/>
          </w:tcPr>
          <w:p>
            <w:pPr>
              <w:pStyle w:val="0"/>
              <w:jc w:val="center"/>
            </w:pPr>
            <w:r>
              <w:rPr>
                <w:sz w:val="20"/>
              </w:rPr>
              <w:t xml:space="preserve">30</w:t>
            </w:r>
          </w:p>
        </w:tc>
        <w:tc>
          <w:tcPr>
            <w:tcW w:w="1013" w:type="dxa"/>
            <w:vAlign w:val="bottom"/>
          </w:tcPr>
          <w:p>
            <w:pPr>
              <w:pStyle w:val="0"/>
              <w:jc w:val="center"/>
            </w:pPr>
            <w:r>
              <w:rPr>
                <w:sz w:val="20"/>
              </w:rPr>
              <w:t xml:space="preserve">55</w:t>
            </w:r>
          </w:p>
        </w:tc>
        <w:tc>
          <w:tcPr>
            <w:tcW w:w="1013" w:type="dxa"/>
            <w:vAlign w:val="center"/>
          </w:tcPr>
          <w:p>
            <w:pPr>
              <w:pStyle w:val="0"/>
              <w:jc w:val="center"/>
            </w:pPr>
            <w:r>
              <w:rPr>
                <w:sz w:val="20"/>
              </w:rPr>
              <w:t xml:space="preserve">-</w:t>
            </w:r>
          </w:p>
        </w:tc>
        <w:tc>
          <w:tcPr>
            <w:tcW w:w="1013" w:type="dxa"/>
            <w:vAlign w:val="center"/>
          </w:tcPr>
          <w:p>
            <w:pPr>
              <w:pStyle w:val="0"/>
              <w:jc w:val="center"/>
            </w:pPr>
            <w:r>
              <w:rPr>
                <w:sz w:val="20"/>
              </w:rPr>
              <w:t xml:space="preserve">-</w:t>
            </w:r>
          </w:p>
        </w:tc>
        <w:tc>
          <w:tcPr>
            <w:tcW w:w="1020" w:type="dxa"/>
            <w:vAlign w:val="center"/>
          </w:tcPr>
          <w:p>
            <w:pPr>
              <w:pStyle w:val="0"/>
              <w:jc w:val="center"/>
            </w:pPr>
            <w:r>
              <w:rPr>
                <w:sz w:val="20"/>
              </w:rPr>
              <w:t xml:space="preserve">-</w:t>
            </w:r>
          </w:p>
        </w:tc>
      </w:tr>
      <w:tr>
        <w:tc>
          <w:tcPr>
            <w:tcW w:w="1134" w:type="dxa"/>
          </w:tcPr>
          <w:p>
            <w:pPr>
              <w:pStyle w:val="0"/>
            </w:pPr>
            <w:r>
              <w:rPr>
                <w:sz w:val="20"/>
              </w:rPr>
              <w:t xml:space="preserve">V</w:t>
            </w:r>
          </w:p>
        </w:tc>
        <w:tc>
          <w:tcPr>
            <w:tcW w:w="1191" w:type="dxa"/>
          </w:tcPr>
          <w:p>
            <w:pPr>
              <w:pStyle w:val="0"/>
            </w:pPr>
            <w:r>
              <w:rPr>
                <w:sz w:val="20"/>
              </w:rPr>
              <w:t xml:space="preserve">Не норм.</w:t>
            </w:r>
          </w:p>
        </w:tc>
        <w:tc>
          <w:tcPr>
            <w:tcW w:w="1474" w:type="dxa"/>
          </w:tcPr>
          <w:p>
            <w:pPr>
              <w:pStyle w:val="0"/>
            </w:pPr>
            <w:r>
              <w:rPr>
                <w:sz w:val="20"/>
              </w:rPr>
              <w:t xml:space="preserve">В</w:t>
            </w:r>
          </w:p>
        </w:tc>
        <w:tc>
          <w:tcPr>
            <w:tcW w:w="1013" w:type="dxa"/>
          </w:tcPr>
          <w:p>
            <w:pPr>
              <w:pStyle w:val="0"/>
              <w:jc w:val="center"/>
            </w:pPr>
            <w:r>
              <w:rPr>
                <w:sz w:val="20"/>
              </w:rPr>
              <w:t xml:space="preserve">15</w:t>
            </w:r>
          </w:p>
        </w:tc>
        <w:tc>
          <w:tcPr>
            <w:tcW w:w="1013" w:type="dxa"/>
            <w:vAlign w:val="bottom"/>
          </w:tcPr>
          <w:p>
            <w:pPr>
              <w:pStyle w:val="0"/>
              <w:jc w:val="center"/>
            </w:pPr>
            <w:r>
              <w:rPr>
                <w:sz w:val="20"/>
              </w:rPr>
              <w:t xml:space="preserve">20</w:t>
            </w:r>
          </w:p>
        </w:tc>
        <w:tc>
          <w:tcPr>
            <w:tcW w:w="1013" w:type="dxa"/>
          </w:tcPr>
          <w:p>
            <w:pPr>
              <w:pStyle w:val="0"/>
              <w:jc w:val="center"/>
            </w:pPr>
            <w:r>
              <w:rPr>
                <w:sz w:val="20"/>
              </w:rPr>
              <w:t xml:space="preserve">25</w:t>
            </w:r>
          </w:p>
        </w:tc>
        <w:tc>
          <w:tcPr>
            <w:tcW w:w="1013" w:type="dxa"/>
          </w:tcPr>
          <w:p>
            <w:pPr>
              <w:pStyle w:val="0"/>
              <w:jc w:val="center"/>
            </w:pPr>
            <w:r>
              <w:rPr>
                <w:sz w:val="20"/>
              </w:rPr>
              <w:t xml:space="preserve">40</w:t>
            </w:r>
          </w:p>
        </w:tc>
        <w:tc>
          <w:tcPr>
            <w:tcW w:w="1013" w:type="dxa"/>
          </w:tcPr>
          <w:p>
            <w:pPr>
              <w:pStyle w:val="0"/>
              <w:jc w:val="center"/>
            </w:pPr>
            <w:r>
              <w:rPr>
                <w:sz w:val="20"/>
              </w:rPr>
              <w:t xml:space="preserve">70</w:t>
            </w:r>
          </w:p>
        </w:tc>
        <w:tc>
          <w:tcPr>
            <w:tcW w:w="1013" w:type="dxa"/>
          </w:tcPr>
          <w:p>
            <w:pPr>
              <w:pStyle w:val="0"/>
              <w:jc w:val="center"/>
            </w:pPr>
            <w:r>
              <w:rPr>
                <w:sz w:val="20"/>
              </w:rPr>
              <w:t xml:space="preserve">-</w:t>
            </w:r>
          </w:p>
        </w:tc>
        <w:tc>
          <w:tcPr>
            <w:tcW w:w="1013" w:type="dxa"/>
          </w:tcPr>
          <w:p>
            <w:pPr>
              <w:pStyle w:val="0"/>
              <w:jc w:val="center"/>
            </w:pPr>
            <w:r>
              <w:rPr>
                <w:sz w:val="20"/>
              </w:rPr>
              <w:t xml:space="preserve">-</w:t>
            </w:r>
          </w:p>
        </w:tc>
        <w:tc>
          <w:tcPr>
            <w:tcW w:w="1020" w:type="dxa"/>
          </w:tcPr>
          <w:p>
            <w:pPr>
              <w:pStyle w:val="0"/>
              <w:jc w:val="center"/>
            </w:pPr>
            <w:r>
              <w:rPr>
                <w:sz w:val="20"/>
              </w:rPr>
              <w:t xml:space="preserve">-</w:t>
            </w:r>
          </w:p>
        </w:tc>
      </w:tr>
    </w:tbl>
    <w:p>
      <w:pPr>
        <w:pStyle w:val="0"/>
        <w:jc w:val="both"/>
      </w:pPr>
      <w:r>
        <w:rPr>
          <w:sz w:val="20"/>
        </w:rPr>
      </w:r>
    </w:p>
    <w:p>
      <w:pPr>
        <w:pStyle w:val="0"/>
        <w:jc w:val="right"/>
      </w:pPr>
      <w:r>
        <w:rPr>
          <w:sz w:val="20"/>
        </w:rPr>
        <w:t xml:space="preserve">Таблица 4</w:t>
      </w:r>
    </w:p>
    <w:p>
      <w:pPr>
        <w:pStyle w:val="0"/>
        <w:jc w:val="both"/>
      </w:pPr>
      <w:r>
        <w:rPr>
          <w:sz w:val="20"/>
        </w:rPr>
      </w:r>
    </w:p>
    <w:bookmarkStart w:id="424" w:name="P424"/>
    <w:bookmarkEnd w:id="424"/>
    <w:p>
      <w:pPr>
        <w:pStyle w:val="2"/>
        <w:outlineLvl w:val="2"/>
        <w:jc w:val="center"/>
      </w:pPr>
      <w:r>
        <w:rPr>
          <w:sz w:val="20"/>
        </w:rPr>
        <w:t xml:space="preserve">Расход воды на наружное пожаротушение зданий класса</w:t>
      </w:r>
    </w:p>
    <w:p>
      <w:pPr>
        <w:pStyle w:val="2"/>
        <w:jc w:val="center"/>
      </w:pPr>
      <w:r>
        <w:rPr>
          <w:sz w:val="20"/>
        </w:rPr>
        <w:t xml:space="preserve">функциональной пожарной опасности Ф5 без фонарей шириной</w:t>
      </w:r>
    </w:p>
    <w:p>
      <w:pPr>
        <w:pStyle w:val="2"/>
        <w:jc w:val="center"/>
      </w:pPr>
      <w:r>
        <w:rPr>
          <w:sz w:val="20"/>
        </w:rPr>
        <w:t xml:space="preserve">60 метров и более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247"/>
        <w:gridCol w:w="1262"/>
        <w:gridCol w:w="924"/>
        <w:gridCol w:w="924"/>
        <w:gridCol w:w="924"/>
        <w:gridCol w:w="924"/>
        <w:gridCol w:w="924"/>
        <w:gridCol w:w="924"/>
        <w:gridCol w:w="924"/>
        <w:gridCol w:w="924"/>
        <w:gridCol w:w="931"/>
      </w:tblGrid>
      <w:tr>
        <w:tc>
          <w:tcPr>
            <w:tcW w:w="1077" w:type="dxa"/>
            <w:vMerge w:val="restart"/>
          </w:tcPr>
          <w:p>
            <w:pPr>
              <w:pStyle w:val="0"/>
              <w:jc w:val="center"/>
            </w:pPr>
            <w:r>
              <w:rPr>
                <w:sz w:val="20"/>
              </w:rPr>
              <w:t xml:space="preserve">Степень огнестойкости зданий и сооружений</w:t>
            </w:r>
          </w:p>
        </w:tc>
        <w:tc>
          <w:tcPr>
            <w:tcW w:w="1247" w:type="dxa"/>
            <w:vMerge w:val="restart"/>
          </w:tcPr>
          <w:p>
            <w:pPr>
              <w:pStyle w:val="0"/>
              <w:jc w:val="center"/>
            </w:pPr>
            <w:r>
              <w:rPr>
                <w:sz w:val="20"/>
              </w:rPr>
              <w:t xml:space="preserve">Класс конструктивной пожарной опасности зданий и сооружений</w:t>
            </w:r>
          </w:p>
        </w:tc>
        <w:tc>
          <w:tcPr>
            <w:tcW w:w="1262" w:type="dxa"/>
            <w:vMerge w:val="restart"/>
          </w:tcPr>
          <w:p>
            <w:pPr>
              <w:pStyle w:val="0"/>
              <w:jc w:val="center"/>
            </w:pPr>
            <w:r>
              <w:rPr>
                <w:sz w:val="20"/>
              </w:rPr>
              <w:t xml:space="preserve">Категория зданий по взрывопожарной и пожарной опасности</w:t>
            </w:r>
          </w:p>
        </w:tc>
        <w:tc>
          <w:tcPr>
            <w:gridSpan w:val="9"/>
            <w:tcW w:w="8323" w:type="dxa"/>
          </w:tcPr>
          <w:p>
            <w:pPr>
              <w:pStyle w:val="0"/>
              <w:jc w:val="center"/>
            </w:pPr>
            <w:r>
              <w:rPr>
                <w:sz w:val="20"/>
              </w:rPr>
              <w:t xml:space="preserve">Расход воды на наружное пожаротушение зданий без фонарей шириной 60 м и более на один пожар, л/с, при строительном объеме зданий, тыс. м3</w:t>
            </w:r>
          </w:p>
        </w:tc>
      </w:tr>
      <w:tr>
        <w:tc>
          <w:tcPr>
            <w:vMerge w:val="continue"/>
          </w:tcPr>
          <w:p/>
        </w:tc>
        <w:tc>
          <w:tcPr>
            <w:vMerge w:val="continue"/>
          </w:tcPr>
          <w:p/>
        </w:tc>
        <w:tc>
          <w:tcPr>
            <w:vMerge w:val="continue"/>
          </w:tcPr>
          <w:p/>
        </w:tc>
        <w:tc>
          <w:tcPr>
            <w:tcW w:w="924" w:type="dxa"/>
          </w:tcPr>
          <w:p>
            <w:pPr>
              <w:pStyle w:val="0"/>
              <w:jc w:val="center"/>
            </w:pPr>
            <w:r>
              <w:rPr>
                <w:sz w:val="20"/>
              </w:rPr>
              <w:t xml:space="preserve">не более 50</w:t>
            </w:r>
          </w:p>
        </w:tc>
        <w:tc>
          <w:tcPr>
            <w:tcW w:w="924" w:type="dxa"/>
          </w:tcPr>
          <w:p>
            <w:pPr>
              <w:pStyle w:val="0"/>
              <w:jc w:val="center"/>
            </w:pPr>
            <w:r>
              <w:rPr>
                <w:sz w:val="20"/>
              </w:rPr>
              <w:t xml:space="preserve">более 50, но не более 100</w:t>
            </w:r>
          </w:p>
        </w:tc>
        <w:tc>
          <w:tcPr>
            <w:tcW w:w="924" w:type="dxa"/>
          </w:tcPr>
          <w:p>
            <w:pPr>
              <w:pStyle w:val="0"/>
              <w:jc w:val="center"/>
            </w:pPr>
            <w:r>
              <w:rPr>
                <w:sz w:val="20"/>
              </w:rPr>
              <w:t xml:space="preserve">более 100, но не более 200</w:t>
            </w:r>
          </w:p>
        </w:tc>
        <w:tc>
          <w:tcPr>
            <w:tcW w:w="924" w:type="dxa"/>
          </w:tcPr>
          <w:p>
            <w:pPr>
              <w:pStyle w:val="0"/>
              <w:jc w:val="center"/>
            </w:pPr>
            <w:r>
              <w:rPr>
                <w:sz w:val="20"/>
              </w:rPr>
              <w:t xml:space="preserve">более 200, но не более 300</w:t>
            </w:r>
          </w:p>
        </w:tc>
        <w:tc>
          <w:tcPr>
            <w:tcW w:w="924" w:type="dxa"/>
          </w:tcPr>
          <w:p>
            <w:pPr>
              <w:pStyle w:val="0"/>
              <w:jc w:val="center"/>
            </w:pPr>
            <w:r>
              <w:rPr>
                <w:sz w:val="20"/>
              </w:rPr>
              <w:t xml:space="preserve">более 300, но не более 400</w:t>
            </w:r>
          </w:p>
        </w:tc>
        <w:tc>
          <w:tcPr>
            <w:tcW w:w="924" w:type="dxa"/>
          </w:tcPr>
          <w:p>
            <w:pPr>
              <w:pStyle w:val="0"/>
              <w:jc w:val="center"/>
            </w:pPr>
            <w:r>
              <w:rPr>
                <w:sz w:val="20"/>
              </w:rPr>
              <w:t xml:space="preserve">более 400, но не более 500</w:t>
            </w:r>
          </w:p>
        </w:tc>
        <w:tc>
          <w:tcPr>
            <w:tcW w:w="924" w:type="dxa"/>
          </w:tcPr>
          <w:p>
            <w:pPr>
              <w:pStyle w:val="0"/>
              <w:jc w:val="center"/>
            </w:pPr>
            <w:r>
              <w:rPr>
                <w:sz w:val="20"/>
              </w:rPr>
              <w:t xml:space="preserve">более 500, но не более 600</w:t>
            </w:r>
          </w:p>
        </w:tc>
        <w:tc>
          <w:tcPr>
            <w:tcW w:w="924" w:type="dxa"/>
          </w:tcPr>
          <w:p>
            <w:pPr>
              <w:pStyle w:val="0"/>
              <w:jc w:val="center"/>
            </w:pPr>
            <w:r>
              <w:rPr>
                <w:sz w:val="20"/>
              </w:rPr>
              <w:t xml:space="preserve">более 600, но не более 700</w:t>
            </w:r>
          </w:p>
        </w:tc>
        <w:tc>
          <w:tcPr>
            <w:tcW w:w="931" w:type="dxa"/>
          </w:tcPr>
          <w:p>
            <w:pPr>
              <w:pStyle w:val="0"/>
              <w:jc w:val="center"/>
            </w:pPr>
            <w:r>
              <w:rPr>
                <w:sz w:val="20"/>
              </w:rPr>
              <w:t xml:space="preserve">более 700, но не более 800</w:t>
            </w:r>
          </w:p>
        </w:tc>
      </w:tr>
      <w:tr>
        <w:tc>
          <w:tcPr>
            <w:tcW w:w="1077" w:type="dxa"/>
          </w:tcPr>
          <w:p>
            <w:pPr>
              <w:pStyle w:val="0"/>
            </w:pPr>
            <w:r>
              <w:rPr>
                <w:sz w:val="20"/>
              </w:rPr>
              <w:t xml:space="preserve">I и II</w:t>
            </w:r>
          </w:p>
        </w:tc>
        <w:tc>
          <w:tcPr>
            <w:tcW w:w="1247" w:type="dxa"/>
          </w:tcPr>
          <w:p>
            <w:pPr>
              <w:pStyle w:val="0"/>
            </w:pPr>
            <w:r>
              <w:rPr>
                <w:sz w:val="20"/>
              </w:rPr>
              <w:t xml:space="preserve">C0</w:t>
            </w:r>
          </w:p>
        </w:tc>
        <w:tc>
          <w:tcPr>
            <w:tcW w:w="1262" w:type="dxa"/>
          </w:tcPr>
          <w:p>
            <w:pPr>
              <w:pStyle w:val="0"/>
            </w:pPr>
            <w:r>
              <w:rPr>
                <w:sz w:val="20"/>
              </w:rPr>
              <w:t xml:space="preserve">А, Б, В</w:t>
            </w:r>
          </w:p>
        </w:tc>
        <w:tc>
          <w:tcPr>
            <w:tcW w:w="924" w:type="dxa"/>
          </w:tcPr>
          <w:p>
            <w:pPr>
              <w:pStyle w:val="0"/>
              <w:jc w:val="center"/>
            </w:pPr>
            <w:r>
              <w:rPr>
                <w:sz w:val="20"/>
              </w:rPr>
              <w:t xml:space="preserve">20</w:t>
            </w:r>
          </w:p>
        </w:tc>
        <w:tc>
          <w:tcPr>
            <w:tcW w:w="924" w:type="dxa"/>
          </w:tcPr>
          <w:p>
            <w:pPr>
              <w:pStyle w:val="0"/>
              <w:jc w:val="center"/>
            </w:pPr>
            <w:r>
              <w:rPr>
                <w:sz w:val="20"/>
              </w:rPr>
              <w:t xml:space="preserve">30</w:t>
            </w:r>
          </w:p>
        </w:tc>
        <w:tc>
          <w:tcPr>
            <w:tcW w:w="924" w:type="dxa"/>
          </w:tcPr>
          <w:p>
            <w:pPr>
              <w:pStyle w:val="0"/>
              <w:jc w:val="center"/>
            </w:pPr>
            <w:r>
              <w:rPr>
                <w:sz w:val="20"/>
              </w:rPr>
              <w:t xml:space="preserve">40</w:t>
            </w:r>
          </w:p>
        </w:tc>
        <w:tc>
          <w:tcPr>
            <w:tcW w:w="924" w:type="dxa"/>
          </w:tcPr>
          <w:p>
            <w:pPr>
              <w:pStyle w:val="0"/>
              <w:jc w:val="center"/>
            </w:pPr>
            <w:r>
              <w:rPr>
                <w:sz w:val="20"/>
              </w:rPr>
              <w:t xml:space="preserve">50</w:t>
            </w:r>
          </w:p>
        </w:tc>
        <w:tc>
          <w:tcPr>
            <w:tcW w:w="924" w:type="dxa"/>
          </w:tcPr>
          <w:p>
            <w:pPr>
              <w:pStyle w:val="0"/>
              <w:jc w:val="center"/>
            </w:pPr>
            <w:r>
              <w:rPr>
                <w:sz w:val="20"/>
              </w:rPr>
              <w:t xml:space="preserve">60</w:t>
            </w:r>
          </w:p>
        </w:tc>
        <w:tc>
          <w:tcPr>
            <w:tcW w:w="924" w:type="dxa"/>
          </w:tcPr>
          <w:p>
            <w:pPr>
              <w:pStyle w:val="0"/>
              <w:jc w:val="center"/>
            </w:pPr>
            <w:r>
              <w:rPr>
                <w:sz w:val="20"/>
              </w:rPr>
              <w:t xml:space="preserve">70</w:t>
            </w:r>
          </w:p>
        </w:tc>
        <w:tc>
          <w:tcPr>
            <w:tcW w:w="924" w:type="dxa"/>
          </w:tcPr>
          <w:p>
            <w:pPr>
              <w:pStyle w:val="0"/>
              <w:jc w:val="center"/>
            </w:pPr>
            <w:r>
              <w:rPr>
                <w:sz w:val="20"/>
              </w:rPr>
              <w:t xml:space="preserve">80</w:t>
            </w:r>
          </w:p>
        </w:tc>
        <w:tc>
          <w:tcPr>
            <w:tcW w:w="924" w:type="dxa"/>
          </w:tcPr>
          <w:p>
            <w:pPr>
              <w:pStyle w:val="0"/>
              <w:jc w:val="center"/>
            </w:pPr>
            <w:r>
              <w:rPr>
                <w:sz w:val="20"/>
              </w:rPr>
              <w:t xml:space="preserve">90</w:t>
            </w:r>
          </w:p>
        </w:tc>
        <w:tc>
          <w:tcPr>
            <w:tcW w:w="931" w:type="dxa"/>
          </w:tcPr>
          <w:p>
            <w:pPr>
              <w:pStyle w:val="0"/>
              <w:jc w:val="center"/>
            </w:pPr>
            <w:r>
              <w:rPr>
                <w:sz w:val="20"/>
              </w:rPr>
              <w:t xml:space="preserve">100</w:t>
            </w:r>
          </w:p>
        </w:tc>
      </w:tr>
      <w:tr>
        <w:tc>
          <w:tcPr>
            <w:tcW w:w="1077" w:type="dxa"/>
          </w:tcPr>
          <w:p>
            <w:pPr>
              <w:pStyle w:val="0"/>
            </w:pPr>
            <w:r>
              <w:rPr>
                <w:sz w:val="20"/>
              </w:rPr>
              <w:t xml:space="preserve">I и II</w:t>
            </w:r>
          </w:p>
        </w:tc>
        <w:tc>
          <w:tcPr>
            <w:tcW w:w="1247" w:type="dxa"/>
          </w:tcPr>
          <w:p>
            <w:pPr>
              <w:pStyle w:val="0"/>
            </w:pPr>
            <w:r>
              <w:rPr>
                <w:sz w:val="20"/>
              </w:rPr>
              <w:t xml:space="preserve">C0</w:t>
            </w:r>
          </w:p>
        </w:tc>
        <w:tc>
          <w:tcPr>
            <w:tcW w:w="1262" w:type="dxa"/>
          </w:tcPr>
          <w:p>
            <w:pPr>
              <w:pStyle w:val="0"/>
            </w:pPr>
            <w:r>
              <w:rPr>
                <w:sz w:val="20"/>
              </w:rPr>
              <w:t xml:space="preserve">Г, Д</w:t>
            </w:r>
          </w:p>
        </w:tc>
        <w:tc>
          <w:tcPr>
            <w:tcW w:w="924" w:type="dxa"/>
            <w:vAlign w:val="bottom"/>
          </w:tcPr>
          <w:p>
            <w:pPr>
              <w:pStyle w:val="0"/>
              <w:jc w:val="center"/>
            </w:pPr>
            <w:r>
              <w:rPr>
                <w:sz w:val="20"/>
              </w:rPr>
              <w:t xml:space="preserve">10</w:t>
            </w:r>
          </w:p>
        </w:tc>
        <w:tc>
          <w:tcPr>
            <w:tcW w:w="924" w:type="dxa"/>
          </w:tcPr>
          <w:p>
            <w:pPr>
              <w:pStyle w:val="0"/>
              <w:jc w:val="center"/>
            </w:pPr>
            <w:r>
              <w:rPr>
                <w:sz w:val="20"/>
              </w:rPr>
              <w:t xml:space="preserve">15</w:t>
            </w:r>
          </w:p>
        </w:tc>
        <w:tc>
          <w:tcPr>
            <w:tcW w:w="924" w:type="dxa"/>
            <w:vAlign w:val="bottom"/>
          </w:tcPr>
          <w:p>
            <w:pPr>
              <w:pStyle w:val="0"/>
              <w:jc w:val="center"/>
            </w:pPr>
            <w:r>
              <w:rPr>
                <w:sz w:val="20"/>
              </w:rPr>
              <w:t xml:space="preserve">20</w:t>
            </w:r>
          </w:p>
        </w:tc>
        <w:tc>
          <w:tcPr>
            <w:tcW w:w="924" w:type="dxa"/>
          </w:tcPr>
          <w:p>
            <w:pPr>
              <w:pStyle w:val="0"/>
              <w:jc w:val="center"/>
            </w:pPr>
            <w:r>
              <w:rPr>
                <w:sz w:val="20"/>
              </w:rPr>
              <w:t xml:space="preserve">25</w:t>
            </w:r>
          </w:p>
        </w:tc>
        <w:tc>
          <w:tcPr>
            <w:tcW w:w="924" w:type="dxa"/>
          </w:tcPr>
          <w:p>
            <w:pPr>
              <w:pStyle w:val="0"/>
              <w:jc w:val="center"/>
            </w:pPr>
            <w:r>
              <w:rPr>
                <w:sz w:val="20"/>
              </w:rPr>
              <w:t xml:space="preserve">30</w:t>
            </w:r>
          </w:p>
        </w:tc>
        <w:tc>
          <w:tcPr>
            <w:tcW w:w="924" w:type="dxa"/>
          </w:tcPr>
          <w:p>
            <w:pPr>
              <w:pStyle w:val="0"/>
              <w:jc w:val="center"/>
            </w:pPr>
            <w:r>
              <w:rPr>
                <w:sz w:val="20"/>
              </w:rPr>
              <w:t xml:space="preserve">35</w:t>
            </w:r>
          </w:p>
        </w:tc>
        <w:tc>
          <w:tcPr>
            <w:tcW w:w="924" w:type="dxa"/>
          </w:tcPr>
          <w:p>
            <w:pPr>
              <w:pStyle w:val="0"/>
              <w:jc w:val="center"/>
            </w:pPr>
            <w:r>
              <w:rPr>
                <w:sz w:val="20"/>
              </w:rPr>
              <w:t xml:space="preserve">40</w:t>
            </w:r>
          </w:p>
        </w:tc>
        <w:tc>
          <w:tcPr>
            <w:tcW w:w="924" w:type="dxa"/>
          </w:tcPr>
          <w:p>
            <w:pPr>
              <w:pStyle w:val="0"/>
              <w:jc w:val="center"/>
            </w:pPr>
            <w:r>
              <w:rPr>
                <w:sz w:val="20"/>
              </w:rPr>
              <w:t xml:space="preserve">45</w:t>
            </w:r>
          </w:p>
        </w:tc>
        <w:tc>
          <w:tcPr>
            <w:tcW w:w="931" w:type="dxa"/>
          </w:tcPr>
          <w:p>
            <w:pPr>
              <w:pStyle w:val="0"/>
              <w:jc w:val="center"/>
            </w:pPr>
            <w:r>
              <w:rPr>
                <w:sz w:val="20"/>
              </w:rPr>
              <w:t xml:space="preserve">50</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Примечания к таблицам 3 и 4:</w:t>
      </w:r>
    </w:p>
    <w:p>
      <w:pPr>
        <w:pStyle w:val="0"/>
        <w:spacing w:before="200" w:line-rule="auto"/>
        <w:ind w:firstLine="540"/>
        <w:jc w:val="both"/>
      </w:pPr>
      <w:r>
        <w:rPr>
          <w:sz w:val="20"/>
        </w:rPr>
        <w:t xml:space="preserve">1. При двух расчетных пожарах на промышленном или сельскохозяйственном предприятии в соответствии с </w:t>
      </w:r>
      <w:hyperlink w:history="0" w:anchor="P653" w:tooltip="5.15. Расчетное количество одновременных пожаров на промышленном или сельскохозяйственном предприятии следует принимать в зависимости от занимаемой ими площади: один пожар - при площади до 150 га, два пожара - при площади более 150 га.">
        <w:r>
          <w:rPr>
            <w:sz w:val="20"/>
            <w:color w:val="0000ff"/>
          </w:rPr>
          <w:t xml:space="preserve">пунктом 5.15</w:t>
        </w:r>
      </w:hyperlink>
      <w:r>
        <w:rPr>
          <w:sz w:val="20"/>
        </w:rPr>
        <w:t xml:space="preserve"> настоящего свода правил расчетный расход воды на наружное пожаротушение следует принимать в соответствии с </w:t>
      </w:r>
      <w:hyperlink w:history="0" w:anchor="P296" w:tooltip="Расход воды на наружное пожаротушение зданий класса">
        <w:r>
          <w:rPr>
            <w:sz w:val="20"/>
            <w:color w:val="0000ff"/>
          </w:rPr>
          <w:t xml:space="preserve">таблицами 3</w:t>
        </w:r>
      </w:hyperlink>
      <w:r>
        <w:rPr>
          <w:sz w:val="20"/>
        </w:rPr>
        <w:t xml:space="preserve"> и </w:t>
      </w:r>
      <w:hyperlink w:history="0" w:anchor="P424" w:tooltip="Расход воды на наружное пожаротушение зданий класса">
        <w:r>
          <w:rPr>
            <w:sz w:val="20"/>
            <w:color w:val="0000ff"/>
          </w:rPr>
          <w:t xml:space="preserve">4</w:t>
        </w:r>
      </w:hyperlink>
      <w:r>
        <w:rPr>
          <w:sz w:val="20"/>
        </w:rPr>
        <w:t xml:space="preserve"> для двух зданий, требующих наибольшего расхода воды.</w:t>
      </w:r>
    </w:p>
    <w:p>
      <w:pPr>
        <w:pStyle w:val="0"/>
        <w:spacing w:before="200" w:line-rule="auto"/>
        <w:ind w:firstLine="540"/>
        <w:jc w:val="both"/>
      </w:pPr>
      <w:r>
        <w:rPr>
          <w:sz w:val="20"/>
        </w:rPr>
        <w:t xml:space="preserve">2. Расход воды на наружное пожаротушение отдельно стоящих административных и бытовых зданий предприятий следует определять по </w:t>
      </w:r>
      <w:hyperlink w:history="0" w:anchor="P205" w:tooltip="Расход воды на наружное пожаротушение зданий классов">
        <w:r>
          <w:rPr>
            <w:sz w:val="20"/>
            <w:color w:val="0000ff"/>
          </w:rPr>
          <w:t xml:space="preserve">таблице 2</w:t>
        </w:r>
      </w:hyperlink>
      <w:r>
        <w:rPr>
          <w:sz w:val="20"/>
        </w:rPr>
        <w:t xml:space="preserve"> как для зданий класса функциональной пожарной опасности Ф3, Ф4, а встроенных в здания класса функциональной пожарной опасности Ф5 - по общему объему здания по </w:t>
      </w:r>
      <w:hyperlink w:history="0" w:anchor="P296" w:tooltip="Расход воды на наружное пожаротушение зданий класса">
        <w:r>
          <w:rPr>
            <w:sz w:val="20"/>
            <w:color w:val="0000ff"/>
          </w:rPr>
          <w:t xml:space="preserve">таблицам 3</w:t>
        </w:r>
      </w:hyperlink>
      <w:r>
        <w:rPr>
          <w:sz w:val="20"/>
        </w:rPr>
        <w:t xml:space="preserve"> и </w:t>
      </w:r>
      <w:hyperlink w:history="0" w:anchor="P424" w:tooltip="Расход воды на наружное пожаротушение зданий класса">
        <w:r>
          <w:rPr>
            <w:sz w:val="20"/>
            <w:color w:val="0000ff"/>
          </w:rPr>
          <w:t xml:space="preserve">4</w:t>
        </w:r>
      </w:hyperlink>
      <w:r>
        <w:rPr>
          <w:sz w:val="20"/>
        </w:rPr>
        <w:t xml:space="preserve">.</w:t>
      </w:r>
    </w:p>
    <w:p>
      <w:pPr>
        <w:pStyle w:val="0"/>
        <w:spacing w:before="200" w:line-rule="auto"/>
        <w:ind w:firstLine="540"/>
        <w:jc w:val="both"/>
      </w:pPr>
      <w:r>
        <w:rPr>
          <w:sz w:val="20"/>
        </w:rPr>
        <w:t xml:space="preserve">3. Расход воды на наружное пожаротушение зданий сельскохозяйственных предприятий I и II степеней огнестойкости классов конструктивной пожарной опасности C0, C1 объемом не более 5 тыс. м</w:t>
      </w:r>
      <w:r>
        <w:rPr>
          <w:sz w:val="20"/>
          <w:vertAlign w:val="superscript"/>
        </w:rPr>
        <w:t xml:space="preserve">3</w:t>
      </w:r>
      <w:r>
        <w:rPr>
          <w:sz w:val="20"/>
        </w:rPr>
        <w:t xml:space="preserve"> с категориями Г и Д по пожарной опасности следует принимать 5 л/с.</w:t>
      </w:r>
    </w:p>
    <w:p>
      <w:pPr>
        <w:pStyle w:val="0"/>
        <w:spacing w:before="200" w:line-rule="auto"/>
        <w:ind w:firstLine="540"/>
        <w:jc w:val="both"/>
      </w:pPr>
      <w:r>
        <w:rPr>
          <w:sz w:val="20"/>
        </w:rPr>
        <w:t xml:space="preserve">4. Расход воды на наружное пожаротушение зданий передающих и приемных радиостанций, радиотелевизионных передающих станций (РПС) и радиотелевизионных ретрансляторов независимо от объема зданий и числа проживающих в населенном пункте людей надлежит принимать не менее 15 л/с, если по </w:t>
      </w:r>
      <w:hyperlink w:history="0" w:anchor="P296" w:tooltip="Расход воды на наружное пожаротушение зданий класса">
        <w:r>
          <w:rPr>
            <w:sz w:val="20"/>
            <w:color w:val="0000ff"/>
          </w:rPr>
          <w:t xml:space="preserve">таблицам 3</w:t>
        </w:r>
      </w:hyperlink>
      <w:r>
        <w:rPr>
          <w:sz w:val="20"/>
        </w:rPr>
        <w:t xml:space="preserve"> и </w:t>
      </w:r>
      <w:hyperlink w:history="0" w:anchor="P424" w:tooltip="Расход воды на наружное пожаротушение зданий класса">
        <w:r>
          <w:rPr>
            <w:sz w:val="20"/>
            <w:color w:val="0000ff"/>
          </w:rPr>
          <w:t xml:space="preserve">4</w:t>
        </w:r>
      </w:hyperlink>
      <w:r>
        <w:rPr>
          <w:sz w:val="20"/>
        </w:rPr>
        <w:t xml:space="preserve"> не требуется больший расход воды. Указанные требования не распространяются на радиотелевизионные ретрансляторы, устанавливаемые на существующих и проектируемых объектах связи, а также передвижные радиостанции и радиостанции контейнерного типа.</w:t>
      </w:r>
    </w:p>
    <w:p>
      <w:pPr>
        <w:pStyle w:val="0"/>
        <w:spacing w:before="200" w:line-rule="auto"/>
        <w:ind w:firstLine="540"/>
        <w:jc w:val="both"/>
      </w:pPr>
      <w:r>
        <w:rPr>
          <w:sz w:val="20"/>
        </w:rPr>
        <w:t xml:space="preserve">5. Для зданий II степени огнестойкости с деревянными конструкциями расход воды на наружное пожаротушение следует принимать на 5 л/с больше указанного в </w:t>
      </w:r>
      <w:hyperlink w:history="0" w:anchor="P296" w:tooltip="Расход воды на наружное пожаротушение зданий класса">
        <w:r>
          <w:rPr>
            <w:sz w:val="20"/>
            <w:color w:val="0000ff"/>
          </w:rPr>
          <w:t xml:space="preserve">таблицах 3</w:t>
        </w:r>
      </w:hyperlink>
      <w:r>
        <w:rPr>
          <w:sz w:val="20"/>
        </w:rPr>
        <w:t xml:space="preserve"> или </w:t>
      </w:r>
      <w:hyperlink w:history="0" w:anchor="P424" w:tooltip="Расход воды на наружное пожаротушение зданий класса">
        <w:r>
          <w:rPr>
            <w:sz w:val="20"/>
            <w:color w:val="0000ff"/>
          </w:rPr>
          <w:t xml:space="preserve">4</w:t>
        </w:r>
      </w:hyperlink>
      <w:r>
        <w:rPr>
          <w:sz w:val="20"/>
        </w:rPr>
        <w:t xml:space="preserve">.</w:t>
      </w:r>
    </w:p>
    <w:p>
      <w:pPr>
        <w:pStyle w:val="0"/>
        <w:jc w:val="both"/>
      </w:pPr>
      <w:r>
        <w:rPr>
          <w:sz w:val="20"/>
        </w:rPr>
      </w:r>
    </w:p>
    <w:p>
      <w:pPr>
        <w:pStyle w:val="0"/>
        <w:ind w:firstLine="540"/>
        <w:jc w:val="both"/>
      </w:pPr>
      <w:r>
        <w:rPr>
          <w:sz w:val="20"/>
        </w:rPr>
        <w:t xml:space="preserve">5.4. Расход воды на наружное пожаротушение зданий, разделенных на пожарные отсеки противопожарными стенами, следует принимать по тому пожарному отсеку, где требуется наибольший расход воды. В том случае, если здание разделено на пожарные отсеки только противопожарными перекрытиями, расход воды на наружное пожаротушение следует определять по общему объему здания.</w:t>
      </w:r>
    </w:p>
    <w:p>
      <w:pPr>
        <w:pStyle w:val="0"/>
        <w:spacing w:before="200" w:line-rule="auto"/>
        <w:ind w:firstLine="540"/>
        <w:jc w:val="both"/>
      </w:pPr>
      <w:r>
        <w:rPr>
          <w:sz w:val="20"/>
        </w:rPr>
        <w:t xml:space="preserve">Расход воды на наружное пожаротушение для зданий, разделенных на надземные и подземные пожарные отсеки, следует определять по тому пожарному отсеку здания, где требуется наибольший расход воды.</w:t>
      </w:r>
    </w:p>
    <w:p>
      <w:pPr>
        <w:pStyle w:val="0"/>
        <w:spacing w:before="200" w:line-rule="auto"/>
        <w:ind w:firstLine="540"/>
        <w:jc w:val="both"/>
      </w:pPr>
      <w:r>
        <w:rPr>
          <w:sz w:val="20"/>
        </w:rPr>
        <w:t xml:space="preserve">5.5. Расход воды на наружное пожаротушение одно-, двухэтажных зданий класса функциональной пожарной опасности Ф5.1 и одноэтажных зданий класса функциональной пожарной опасности Ф5.2 высотой не более 18 м с несущими металлическими конструкциями и ограждающими конструкциями из металлических профилированных или асбестоцементных листов с утеплителями, имеющими группу горючести Г2, Г3, Г4, необходимо принимать на 10 л/с более указанных в </w:t>
      </w:r>
      <w:hyperlink w:history="0" w:anchor="P296" w:tooltip="Расход воды на наружное пожаротушение зданий класса">
        <w:r>
          <w:rPr>
            <w:sz w:val="20"/>
            <w:color w:val="0000ff"/>
          </w:rPr>
          <w:t xml:space="preserve">таблицах 3</w:t>
        </w:r>
      </w:hyperlink>
      <w:r>
        <w:rPr>
          <w:sz w:val="20"/>
        </w:rPr>
        <w:t xml:space="preserve"> и </w:t>
      </w:r>
      <w:hyperlink w:history="0" w:anchor="P424" w:tooltip="Расход воды на наружное пожаротушение зданий класса">
        <w:r>
          <w:rPr>
            <w:sz w:val="20"/>
            <w:color w:val="0000ff"/>
          </w:rPr>
          <w:t xml:space="preserve">4</w:t>
        </w:r>
      </w:hyperlink>
      <w:r>
        <w:rPr>
          <w:sz w:val="20"/>
        </w:rPr>
        <w:t xml:space="preserve">.</w:t>
      </w:r>
    </w:p>
    <w:p>
      <w:pPr>
        <w:pStyle w:val="0"/>
        <w:spacing w:before="200" w:line-rule="auto"/>
        <w:ind w:firstLine="540"/>
        <w:jc w:val="both"/>
      </w:pPr>
      <w:r>
        <w:rPr>
          <w:sz w:val="20"/>
        </w:rPr>
        <w:t xml:space="preserve">5.6. Расход воды на наружное пожаротушение для закрытых и открытых складов лесоматериалов по </w:t>
      </w:r>
      <w:hyperlink w:history="0" r:id="rId38" w:tooltip="&quot;СП 114.13330.2016. Свод правил. Склады лесных материалов. Противопожарные нормы. Актуализированная редакция СНиП 21-03-2003&quot; (утв. Приказом Минстроя России от 09.09.2016 N 627/пр) {КонсультантПлюс}">
        <w:r>
          <w:rPr>
            <w:sz w:val="20"/>
            <w:color w:val="0000ff"/>
          </w:rPr>
          <w:t xml:space="preserve">СП 114.13330.2016</w:t>
        </w:r>
      </w:hyperlink>
      <w:r>
        <w:rPr>
          <w:sz w:val="20"/>
        </w:rPr>
        <w:t xml:space="preserve"> Склады лесных материалов. Противопожарные нормы. Актуализированная редакция СНиП 21-03-2003 на один пожар следует принимать не менее величин, указанных в таблице 5.</w:t>
      </w:r>
    </w:p>
    <w:p>
      <w:pPr>
        <w:pStyle w:val="0"/>
        <w:jc w:val="both"/>
      </w:pPr>
      <w:r>
        <w:rPr>
          <w:sz w:val="20"/>
        </w:rPr>
      </w:r>
    </w:p>
    <w:p>
      <w:pPr>
        <w:pStyle w:val="0"/>
        <w:jc w:val="right"/>
      </w:pPr>
      <w:r>
        <w:rPr>
          <w:sz w:val="20"/>
        </w:rPr>
        <w:t xml:space="preserve">Таблица 5</w:t>
      </w:r>
    </w:p>
    <w:p>
      <w:pPr>
        <w:pStyle w:val="0"/>
        <w:jc w:val="both"/>
      </w:pPr>
      <w:r>
        <w:rPr>
          <w:sz w:val="20"/>
        </w:rPr>
      </w:r>
    </w:p>
    <w:p>
      <w:pPr>
        <w:pStyle w:val="2"/>
        <w:outlineLvl w:val="2"/>
        <w:jc w:val="center"/>
      </w:pPr>
      <w:r>
        <w:rPr>
          <w:sz w:val="20"/>
        </w:rPr>
        <w:t xml:space="preserve">Расход воды на наружное пожаротушение закрытых и открытых</w:t>
      </w:r>
    </w:p>
    <w:p>
      <w:pPr>
        <w:pStyle w:val="2"/>
        <w:jc w:val="center"/>
      </w:pPr>
      <w:r>
        <w:rPr>
          <w:sz w:val="20"/>
        </w:rPr>
        <w:t xml:space="preserve">складов лесоматериалов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4422"/>
        <w:gridCol w:w="1789"/>
        <w:gridCol w:w="1789"/>
        <w:gridCol w:w="1789"/>
        <w:gridCol w:w="1789"/>
      </w:tblGrid>
      <w:tr>
        <w:tc>
          <w:tcPr>
            <w:gridSpan w:val="2"/>
            <w:tcW w:w="4762" w:type="dxa"/>
            <w:vMerge w:val="restart"/>
          </w:tcPr>
          <w:p>
            <w:pPr>
              <w:pStyle w:val="0"/>
              <w:jc w:val="center"/>
            </w:pPr>
            <w:r>
              <w:rPr>
                <w:sz w:val="20"/>
              </w:rPr>
              <w:t xml:space="preserve">Вид и способ хранения лесоматериалов</w:t>
            </w:r>
          </w:p>
        </w:tc>
        <w:tc>
          <w:tcPr>
            <w:gridSpan w:val="4"/>
            <w:tcW w:w="7156" w:type="dxa"/>
          </w:tcPr>
          <w:p>
            <w:pPr>
              <w:pStyle w:val="0"/>
              <w:jc w:val="center"/>
            </w:pPr>
            <w:r>
              <w:rPr>
                <w:sz w:val="20"/>
              </w:rPr>
              <w:t xml:space="preserve">Расход воды на тушение пожара, л/с при суммарной вместимости складов лесоматериалов, плотных м</w:t>
            </w:r>
            <w:r>
              <w:rPr>
                <w:sz w:val="20"/>
                <w:vertAlign w:val="superscript"/>
              </w:rPr>
              <w:t xml:space="preserve">3</w:t>
            </w:r>
          </w:p>
        </w:tc>
      </w:tr>
      <w:tr>
        <w:tc>
          <w:tcPr>
            <w:gridSpan w:val="2"/>
            <w:vMerge w:val="continue"/>
          </w:tcPr>
          <w:p/>
        </w:tc>
        <w:tc>
          <w:tcPr>
            <w:tcW w:w="1789" w:type="dxa"/>
          </w:tcPr>
          <w:p>
            <w:pPr>
              <w:pStyle w:val="0"/>
              <w:jc w:val="center"/>
            </w:pPr>
            <w:r>
              <w:rPr>
                <w:sz w:val="20"/>
              </w:rPr>
              <w:t xml:space="preserve">до</w:t>
            </w:r>
          </w:p>
          <w:p>
            <w:pPr>
              <w:pStyle w:val="0"/>
              <w:jc w:val="center"/>
            </w:pPr>
            <w:r>
              <w:rPr>
                <w:sz w:val="20"/>
              </w:rPr>
              <w:t xml:space="preserve">10 000</w:t>
            </w:r>
          </w:p>
        </w:tc>
        <w:tc>
          <w:tcPr>
            <w:tcW w:w="1789" w:type="dxa"/>
          </w:tcPr>
          <w:p>
            <w:pPr>
              <w:pStyle w:val="0"/>
              <w:jc w:val="center"/>
            </w:pPr>
            <w:r>
              <w:rPr>
                <w:sz w:val="20"/>
              </w:rPr>
              <w:t xml:space="preserve">св. 10 000</w:t>
            </w:r>
          </w:p>
          <w:p>
            <w:pPr>
              <w:pStyle w:val="0"/>
              <w:jc w:val="center"/>
            </w:pPr>
            <w:r>
              <w:rPr>
                <w:sz w:val="20"/>
              </w:rPr>
              <w:t xml:space="preserve">до 100 000</w:t>
            </w:r>
          </w:p>
        </w:tc>
        <w:tc>
          <w:tcPr>
            <w:tcW w:w="1789" w:type="dxa"/>
          </w:tcPr>
          <w:p>
            <w:pPr>
              <w:pStyle w:val="0"/>
              <w:jc w:val="center"/>
            </w:pPr>
            <w:r>
              <w:rPr>
                <w:sz w:val="20"/>
              </w:rPr>
              <w:t xml:space="preserve">св. 100 000</w:t>
            </w:r>
          </w:p>
          <w:p>
            <w:pPr>
              <w:pStyle w:val="0"/>
              <w:jc w:val="center"/>
            </w:pPr>
            <w:r>
              <w:rPr>
                <w:sz w:val="20"/>
              </w:rPr>
              <w:t xml:space="preserve">до 500 000</w:t>
            </w:r>
          </w:p>
        </w:tc>
        <w:tc>
          <w:tcPr>
            <w:tcW w:w="1789" w:type="dxa"/>
          </w:tcPr>
          <w:p>
            <w:pPr>
              <w:pStyle w:val="0"/>
              <w:jc w:val="center"/>
            </w:pPr>
            <w:r>
              <w:rPr>
                <w:sz w:val="20"/>
              </w:rPr>
              <w:t xml:space="preserve">св.</w:t>
            </w:r>
          </w:p>
          <w:p>
            <w:pPr>
              <w:pStyle w:val="0"/>
              <w:jc w:val="center"/>
            </w:pPr>
            <w:r>
              <w:rPr>
                <w:sz w:val="20"/>
              </w:rPr>
              <w:t xml:space="preserve">500 000</w:t>
            </w:r>
          </w:p>
        </w:tc>
      </w:tr>
      <w:tr>
        <w:tc>
          <w:tcPr>
            <w:tcW w:w="340" w:type="dxa"/>
            <w:vAlign w:val="bottom"/>
            <w:tcBorders>
              <w:right w:val="nil"/>
            </w:tcBorders>
          </w:tcPr>
          <w:p>
            <w:pPr>
              <w:pStyle w:val="0"/>
            </w:pPr>
            <w:r>
              <w:rPr>
                <w:sz w:val="20"/>
              </w:rPr>
            </w:r>
          </w:p>
        </w:tc>
        <w:tc>
          <w:tcPr>
            <w:tcW w:w="4422" w:type="dxa"/>
            <w:tcBorders>
              <w:left w:val="nil"/>
            </w:tcBorders>
          </w:tcPr>
          <w:p>
            <w:pPr>
              <w:pStyle w:val="0"/>
              <w:jc w:val="both"/>
            </w:pPr>
            <w:r>
              <w:rPr>
                <w:sz w:val="20"/>
              </w:rPr>
              <w:t xml:space="preserve">Закрытые склады:</w:t>
            </w:r>
          </w:p>
        </w:tc>
        <w:tc>
          <w:tcPr>
            <w:tcW w:w="1789" w:type="dxa"/>
          </w:tcPr>
          <w:p>
            <w:pPr>
              <w:pStyle w:val="0"/>
            </w:pPr>
            <w:r>
              <w:rPr>
                <w:sz w:val="20"/>
              </w:rPr>
            </w:r>
          </w:p>
        </w:tc>
        <w:tc>
          <w:tcPr>
            <w:tcW w:w="1789" w:type="dxa"/>
          </w:tcPr>
          <w:p>
            <w:pPr>
              <w:pStyle w:val="0"/>
            </w:pPr>
            <w:r>
              <w:rPr>
                <w:sz w:val="20"/>
              </w:rPr>
            </w:r>
          </w:p>
        </w:tc>
        <w:tc>
          <w:tcPr>
            <w:tcW w:w="1789" w:type="dxa"/>
          </w:tcPr>
          <w:p>
            <w:pPr>
              <w:pStyle w:val="0"/>
            </w:pPr>
            <w:r>
              <w:rPr>
                <w:sz w:val="20"/>
              </w:rPr>
            </w:r>
          </w:p>
        </w:tc>
        <w:tc>
          <w:tcPr>
            <w:tcW w:w="1789" w:type="dxa"/>
          </w:tcPr>
          <w:p>
            <w:pPr>
              <w:pStyle w:val="0"/>
            </w:pPr>
            <w:r>
              <w:rPr>
                <w:sz w:val="20"/>
              </w:rPr>
            </w:r>
          </w:p>
        </w:tc>
      </w:tr>
      <w:tr>
        <w:tc>
          <w:tcPr>
            <w:gridSpan w:val="2"/>
            <w:tcW w:w="4762" w:type="dxa"/>
            <w:vAlign w:val="bottom"/>
          </w:tcPr>
          <w:p>
            <w:pPr>
              <w:pStyle w:val="0"/>
            </w:pPr>
            <w:r>
              <w:rPr>
                <w:sz w:val="20"/>
              </w:rPr>
              <w:t xml:space="preserve">пиломатериалы</w:t>
            </w:r>
          </w:p>
        </w:tc>
        <w:tc>
          <w:tcPr>
            <w:tcW w:w="1789" w:type="dxa"/>
            <w:vAlign w:val="bottom"/>
          </w:tcPr>
          <w:p>
            <w:pPr>
              <w:pStyle w:val="0"/>
              <w:jc w:val="center"/>
            </w:pPr>
            <w:r>
              <w:rPr>
                <w:sz w:val="20"/>
              </w:rPr>
              <w:t xml:space="preserve">60</w:t>
            </w:r>
          </w:p>
        </w:tc>
        <w:tc>
          <w:tcPr>
            <w:tcW w:w="1789" w:type="dxa"/>
            <w:vAlign w:val="bottom"/>
          </w:tcPr>
          <w:p>
            <w:pPr>
              <w:pStyle w:val="0"/>
              <w:jc w:val="center"/>
            </w:pPr>
            <w:r>
              <w:rPr>
                <w:sz w:val="20"/>
              </w:rPr>
              <w:t xml:space="preserve">90</w:t>
            </w:r>
          </w:p>
        </w:tc>
        <w:tc>
          <w:tcPr>
            <w:tcW w:w="1789" w:type="dxa"/>
            <w:vAlign w:val="bottom"/>
          </w:tcPr>
          <w:p>
            <w:pPr>
              <w:pStyle w:val="0"/>
              <w:jc w:val="center"/>
            </w:pPr>
            <w:r>
              <w:rPr>
                <w:sz w:val="20"/>
              </w:rPr>
              <w:t xml:space="preserve">120</w:t>
            </w:r>
          </w:p>
        </w:tc>
        <w:tc>
          <w:tcPr>
            <w:tcW w:w="1789" w:type="dxa"/>
            <w:vAlign w:val="bottom"/>
          </w:tcPr>
          <w:p>
            <w:pPr>
              <w:pStyle w:val="0"/>
              <w:jc w:val="center"/>
            </w:pPr>
            <w:r>
              <w:rPr>
                <w:sz w:val="20"/>
              </w:rPr>
              <w:t xml:space="preserve">150</w:t>
            </w:r>
          </w:p>
        </w:tc>
      </w:tr>
      <w:tr>
        <w:tc>
          <w:tcPr>
            <w:gridSpan w:val="2"/>
            <w:tcW w:w="4762" w:type="dxa"/>
            <w:vAlign w:val="bottom"/>
          </w:tcPr>
          <w:p>
            <w:pPr>
              <w:pStyle w:val="0"/>
            </w:pPr>
            <w:r>
              <w:rPr>
                <w:sz w:val="20"/>
              </w:rPr>
              <w:t xml:space="preserve">щепа и опилки</w:t>
            </w:r>
          </w:p>
        </w:tc>
        <w:tc>
          <w:tcPr>
            <w:tcW w:w="1789" w:type="dxa"/>
            <w:vAlign w:val="bottom"/>
          </w:tcPr>
          <w:p>
            <w:pPr>
              <w:pStyle w:val="0"/>
              <w:jc w:val="center"/>
            </w:pPr>
            <w:r>
              <w:rPr>
                <w:sz w:val="20"/>
              </w:rPr>
              <w:t xml:space="preserve">30</w:t>
            </w:r>
          </w:p>
        </w:tc>
        <w:tc>
          <w:tcPr>
            <w:tcW w:w="1789" w:type="dxa"/>
            <w:vAlign w:val="bottom"/>
          </w:tcPr>
          <w:p>
            <w:pPr>
              <w:pStyle w:val="0"/>
              <w:jc w:val="center"/>
            </w:pPr>
            <w:r>
              <w:rPr>
                <w:sz w:val="20"/>
              </w:rPr>
              <w:t xml:space="preserve">60</w:t>
            </w:r>
          </w:p>
        </w:tc>
        <w:tc>
          <w:tcPr>
            <w:tcW w:w="1789" w:type="dxa"/>
            <w:vAlign w:val="bottom"/>
          </w:tcPr>
          <w:p>
            <w:pPr>
              <w:pStyle w:val="0"/>
              <w:jc w:val="center"/>
            </w:pPr>
            <w:r>
              <w:rPr>
                <w:sz w:val="20"/>
              </w:rPr>
              <w:t xml:space="preserve">90</w:t>
            </w:r>
          </w:p>
        </w:tc>
        <w:tc>
          <w:tcPr>
            <w:tcW w:w="1789" w:type="dxa"/>
            <w:vAlign w:val="bottom"/>
          </w:tcPr>
          <w:p>
            <w:pPr>
              <w:pStyle w:val="0"/>
              <w:jc w:val="center"/>
            </w:pPr>
            <w:r>
              <w:rPr>
                <w:sz w:val="20"/>
              </w:rPr>
              <w:t xml:space="preserve">120</w:t>
            </w:r>
          </w:p>
        </w:tc>
      </w:tr>
      <w:tr>
        <w:tc>
          <w:tcPr>
            <w:tcW w:w="340" w:type="dxa"/>
            <w:vAlign w:val="center"/>
            <w:tcBorders>
              <w:right w:val="nil"/>
            </w:tcBorders>
          </w:tcPr>
          <w:p>
            <w:pPr>
              <w:pStyle w:val="0"/>
            </w:pPr>
            <w:r>
              <w:rPr>
                <w:sz w:val="20"/>
              </w:rPr>
            </w:r>
          </w:p>
        </w:tc>
        <w:tc>
          <w:tcPr>
            <w:tcW w:w="4422" w:type="dxa"/>
            <w:tcBorders>
              <w:left w:val="nil"/>
            </w:tcBorders>
          </w:tcPr>
          <w:p>
            <w:pPr>
              <w:pStyle w:val="0"/>
              <w:jc w:val="both"/>
            </w:pPr>
            <w:r>
              <w:rPr>
                <w:sz w:val="20"/>
              </w:rPr>
              <w:t xml:space="preserve">Открытые склады:</w:t>
            </w:r>
          </w:p>
        </w:tc>
        <w:tc>
          <w:tcPr>
            <w:tcW w:w="1789" w:type="dxa"/>
            <w:vAlign w:val="center"/>
          </w:tcPr>
          <w:p>
            <w:pPr>
              <w:pStyle w:val="0"/>
              <w:jc w:val="center"/>
            </w:pPr>
            <w:r>
              <w:rPr>
                <w:sz w:val="20"/>
              </w:rPr>
              <w:t xml:space="preserve">-</w:t>
            </w:r>
          </w:p>
        </w:tc>
        <w:tc>
          <w:tcPr>
            <w:tcW w:w="1789" w:type="dxa"/>
            <w:vAlign w:val="center"/>
          </w:tcPr>
          <w:p>
            <w:pPr>
              <w:pStyle w:val="0"/>
              <w:jc w:val="center"/>
            </w:pPr>
            <w:r>
              <w:rPr>
                <w:sz w:val="20"/>
              </w:rPr>
              <w:t xml:space="preserve">-</w:t>
            </w:r>
          </w:p>
        </w:tc>
        <w:tc>
          <w:tcPr>
            <w:tcW w:w="1789" w:type="dxa"/>
            <w:vAlign w:val="center"/>
          </w:tcPr>
          <w:p>
            <w:pPr>
              <w:pStyle w:val="0"/>
              <w:jc w:val="center"/>
            </w:pPr>
            <w:r>
              <w:rPr>
                <w:sz w:val="20"/>
              </w:rPr>
              <w:t xml:space="preserve">-</w:t>
            </w:r>
          </w:p>
        </w:tc>
        <w:tc>
          <w:tcPr>
            <w:tcW w:w="1789" w:type="dxa"/>
            <w:vAlign w:val="center"/>
          </w:tcPr>
          <w:p>
            <w:pPr>
              <w:pStyle w:val="0"/>
              <w:jc w:val="center"/>
            </w:pPr>
            <w:r>
              <w:rPr>
                <w:sz w:val="20"/>
              </w:rPr>
              <w:t xml:space="preserve">-</w:t>
            </w:r>
          </w:p>
        </w:tc>
      </w:tr>
      <w:tr>
        <w:tc>
          <w:tcPr>
            <w:gridSpan w:val="2"/>
            <w:tcW w:w="4762" w:type="dxa"/>
            <w:vAlign w:val="center"/>
          </w:tcPr>
          <w:p>
            <w:pPr>
              <w:pStyle w:val="0"/>
            </w:pPr>
            <w:r>
              <w:rPr>
                <w:sz w:val="20"/>
              </w:rPr>
              <w:t xml:space="preserve">пиломатериалы в штабелях</w:t>
            </w:r>
          </w:p>
        </w:tc>
        <w:tc>
          <w:tcPr>
            <w:tcW w:w="1789" w:type="dxa"/>
            <w:vAlign w:val="bottom"/>
          </w:tcPr>
          <w:p>
            <w:pPr>
              <w:pStyle w:val="0"/>
              <w:jc w:val="center"/>
            </w:pPr>
            <w:r>
              <w:rPr>
                <w:sz w:val="20"/>
              </w:rPr>
              <w:t xml:space="preserve">60</w:t>
            </w:r>
          </w:p>
        </w:tc>
        <w:tc>
          <w:tcPr>
            <w:tcW w:w="1789" w:type="dxa"/>
            <w:vAlign w:val="bottom"/>
          </w:tcPr>
          <w:p>
            <w:pPr>
              <w:pStyle w:val="0"/>
              <w:jc w:val="center"/>
            </w:pPr>
            <w:r>
              <w:rPr>
                <w:sz w:val="20"/>
              </w:rPr>
              <w:t xml:space="preserve">120</w:t>
            </w:r>
          </w:p>
        </w:tc>
        <w:tc>
          <w:tcPr>
            <w:tcW w:w="1789" w:type="dxa"/>
            <w:vAlign w:val="center"/>
          </w:tcPr>
          <w:p>
            <w:pPr>
              <w:pStyle w:val="0"/>
              <w:jc w:val="center"/>
            </w:pPr>
            <w:r>
              <w:rPr>
                <w:sz w:val="20"/>
              </w:rPr>
              <w:t xml:space="preserve">150</w:t>
            </w:r>
          </w:p>
        </w:tc>
        <w:tc>
          <w:tcPr>
            <w:tcW w:w="1789" w:type="dxa"/>
            <w:vAlign w:val="bottom"/>
          </w:tcPr>
          <w:p>
            <w:pPr>
              <w:pStyle w:val="0"/>
              <w:jc w:val="center"/>
            </w:pPr>
            <w:r>
              <w:rPr>
                <w:sz w:val="20"/>
              </w:rPr>
              <w:t xml:space="preserve">180</w:t>
            </w:r>
          </w:p>
        </w:tc>
      </w:tr>
      <w:tr>
        <w:tc>
          <w:tcPr>
            <w:gridSpan w:val="2"/>
            <w:tcW w:w="4762" w:type="dxa"/>
            <w:vAlign w:val="bottom"/>
          </w:tcPr>
          <w:p>
            <w:pPr>
              <w:pStyle w:val="0"/>
            </w:pPr>
            <w:r>
              <w:rPr>
                <w:sz w:val="20"/>
              </w:rPr>
              <w:t xml:space="preserve">круглые лесоматериалы в штабелях</w:t>
            </w:r>
          </w:p>
        </w:tc>
        <w:tc>
          <w:tcPr>
            <w:tcW w:w="1789" w:type="dxa"/>
            <w:vAlign w:val="bottom"/>
          </w:tcPr>
          <w:p>
            <w:pPr>
              <w:pStyle w:val="0"/>
              <w:jc w:val="center"/>
            </w:pPr>
            <w:r>
              <w:rPr>
                <w:sz w:val="20"/>
              </w:rPr>
              <w:t xml:space="preserve">60</w:t>
            </w:r>
          </w:p>
        </w:tc>
        <w:tc>
          <w:tcPr>
            <w:tcW w:w="1789" w:type="dxa"/>
            <w:vAlign w:val="bottom"/>
          </w:tcPr>
          <w:p>
            <w:pPr>
              <w:pStyle w:val="0"/>
              <w:jc w:val="center"/>
            </w:pPr>
            <w:r>
              <w:rPr>
                <w:sz w:val="20"/>
              </w:rPr>
              <w:t xml:space="preserve">90</w:t>
            </w:r>
          </w:p>
        </w:tc>
        <w:tc>
          <w:tcPr>
            <w:tcW w:w="1789" w:type="dxa"/>
            <w:vAlign w:val="bottom"/>
          </w:tcPr>
          <w:p>
            <w:pPr>
              <w:pStyle w:val="0"/>
              <w:jc w:val="center"/>
            </w:pPr>
            <w:r>
              <w:rPr>
                <w:sz w:val="20"/>
              </w:rPr>
              <w:t xml:space="preserve">120</w:t>
            </w:r>
          </w:p>
        </w:tc>
        <w:tc>
          <w:tcPr>
            <w:tcW w:w="1789" w:type="dxa"/>
            <w:vAlign w:val="bottom"/>
          </w:tcPr>
          <w:p>
            <w:pPr>
              <w:pStyle w:val="0"/>
              <w:jc w:val="center"/>
            </w:pPr>
            <w:r>
              <w:rPr>
                <w:sz w:val="20"/>
              </w:rPr>
              <w:t xml:space="preserve">150</w:t>
            </w:r>
          </w:p>
        </w:tc>
      </w:tr>
      <w:tr>
        <w:tc>
          <w:tcPr>
            <w:gridSpan w:val="2"/>
            <w:tcW w:w="4762" w:type="dxa"/>
            <w:vAlign w:val="bottom"/>
          </w:tcPr>
          <w:p>
            <w:pPr>
              <w:pStyle w:val="0"/>
            </w:pPr>
            <w:r>
              <w:rPr>
                <w:sz w:val="20"/>
              </w:rPr>
              <w:t xml:space="preserve">балансовая древесина, осмол и дрова в кучах</w:t>
            </w:r>
          </w:p>
        </w:tc>
        <w:tc>
          <w:tcPr>
            <w:tcW w:w="1789" w:type="dxa"/>
            <w:vAlign w:val="bottom"/>
          </w:tcPr>
          <w:p>
            <w:pPr>
              <w:pStyle w:val="0"/>
              <w:jc w:val="center"/>
            </w:pPr>
            <w:r>
              <w:rPr>
                <w:sz w:val="20"/>
              </w:rPr>
              <w:t xml:space="preserve">90</w:t>
            </w:r>
          </w:p>
        </w:tc>
        <w:tc>
          <w:tcPr>
            <w:tcW w:w="1789" w:type="dxa"/>
            <w:vAlign w:val="bottom"/>
          </w:tcPr>
          <w:p>
            <w:pPr>
              <w:pStyle w:val="0"/>
              <w:jc w:val="center"/>
            </w:pPr>
            <w:r>
              <w:rPr>
                <w:sz w:val="20"/>
              </w:rPr>
              <w:t xml:space="preserve">120</w:t>
            </w:r>
          </w:p>
        </w:tc>
        <w:tc>
          <w:tcPr>
            <w:tcW w:w="1789" w:type="dxa"/>
            <w:vAlign w:val="bottom"/>
          </w:tcPr>
          <w:p>
            <w:pPr>
              <w:pStyle w:val="0"/>
              <w:jc w:val="center"/>
            </w:pPr>
            <w:r>
              <w:rPr>
                <w:sz w:val="20"/>
              </w:rPr>
              <w:t xml:space="preserve">180</w:t>
            </w:r>
          </w:p>
        </w:tc>
        <w:tc>
          <w:tcPr>
            <w:tcW w:w="1789" w:type="dxa"/>
            <w:vAlign w:val="bottom"/>
          </w:tcPr>
          <w:p>
            <w:pPr>
              <w:pStyle w:val="0"/>
              <w:jc w:val="center"/>
            </w:pPr>
            <w:r>
              <w:rPr>
                <w:sz w:val="20"/>
              </w:rPr>
              <w:t xml:space="preserve">240</w:t>
            </w:r>
          </w:p>
        </w:tc>
      </w:tr>
      <w:tr>
        <w:tc>
          <w:tcPr>
            <w:gridSpan w:val="2"/>
            <w:tcW w:w="4762" w:type="dxa"/>
            <w:vAlign w:val="bottom"/>
          </w:tcPr>
          <w:p>
            <w:pPr>
              <w:pStyle w:val="0"/>
            </w:pPr>
            <w:r>
              <w:rPr>
                <w:sz w:val="20"/>
              </w:rPr>
              <w:t xml:space="preserve">щепа и опилки в кучах</w:t>
            </w:r>
          </w:p>
        </w:tc>
        <w:tc>
          <w:tcPr>
            <w:tcW w:w="1789" w:type="dxa"/>
            <w:vAlign w:val="bottom"/>
          </w:tcPr>
          <w:p>
            <w:pPr>
              <w:pStyle w:val="0"/>
              <w:jc w:val="center"/>
            </w:pPr>
            <w:r>
              <w:rPr>
                <w:sz w:val="20"/>
              </w:rPr>
              <w:t xml:space="preserve">30</w:t>
            </w:r>
          </w:p>
        </w:tc>
        <w:tc>
          <w:tcPr>
            <w:tcW w:w="1789" w:type="dxa"/>
            <w:vAlign w:val="bottom"/>
          </w:tcPr>
          <w:p>
            <w:pPr>
              <w:pStyle w:val="0"/>
              <w:jc w:val="center"/>
            </w:pPr>
            <w:r>
              <w:rPr>
                <w:sz w:val="20"/>
              </w:rPr>
              <w:t xml:space="preserve">60</w:t>
            </w:r>
          </w:p>
        </w:tc>
        <w:tc>
          <w:tcPr>
            <w:tcW w:w="1789" w:type="dxa"/>
            <w:vAlign w:val="bottom"/>
          </w:tcPr>
          <w:p>
            <w:pPr>
              <w:pStyle w:val="0"/>
              <w:jc w:val="center"/>
            </w:pPr>
            <w:r>
              <w:rPr>
                <w:sz w:val="20"/>
              </w:rPr>
              <w:t xml:space="preserve">90</w:t>
            </w:r>
          </w:p>
        </w:tc>
        <w:tc>
          <w:tcPr>
            <w:tcW w:w="1789" w:type="dxa"/>
            <w:vAlign w:val="bottom"/>
          </w:tcPr>
          <w:p>
            <w:pPr>
              <w:pStyle w:val="0"/>
              <w:jc w:val="center"/>
            </w:pPr>
            <w:r>
              <w:rPr>
                <w:sz w:val="20"/>
              </w:rPr>
              <w:t xml:space="preserve">120</w:t>
            </w:r>
          </w:p>
        </w:tc>
      </w:tr>
      <w:tr>
        <w:tc>
          <w:tcPr>
            <w:gridSpan w:val="2"/>
            <w:tcW w:w="4762" w:type="dxa"/>
            <w:vAlign w:val="bottom"/>
          </w:tcPr>
          <w:p>
            <w:pPr>
              <w:pStyle w:val="0"/>
            </w:pPr>
            <w:r>
              <w:rPr>
                <w:sz w:val="20"/>
              </w:rPr>
              <w:t xml:space="preserve">древесные отходы в кучах</w:t>
            </w:r>
          </w:p>
        </w:tc>
        <w:tc>
          <w:tcPr>
            <w:tcW w:w="1789" w:type="dxa"/>
            <w:vAlign w:val="bottom"/>
          </w:tcPr>
          <w:p>
            <w:pPr>
              <w:pStyle w:val="0"/>
              <w:jc w:val="center"/>
            </w:pPr>
            <w:r>
              <w:rPr>
                <w:sz w:val="20"/>
              </w:rPr>
              <w:t xml:space="preserve">30</w:t>
            </w:r>
          </w:p>
        </w:tc>
        <w:tc>
          <w:tcPr>
            <w:tcW w:w="1789" w:type="dxa"/>
            <w:vAlign w:val="bottom"/>
          </w:tcPr>
          <w:p>
            <w:pPr>
              <w:pStyle w:val="0"/>
              <w:jc w:val="center"/>
            </w:pPr>
            <w:r>
              <w:rPr>
                <w:sz w:val="20"/>
              </w:rPr>
              <w:t xml:space="preserve">60</w:t>
            </w:r>
          </w:p>
        </w:tc>
        <w:tc>
          <w:tcPr>
            <w:tcW w:w="1789" w:type="dxa"/>
            <w:vAlign w:val="bottom"/>
          </w:tcPr>
          <w:p>
            <w:pPr>
              <w:pStyle w:val="0"/>
              <w:jc w:val="center"/>
            </w:pPr>
            <w:r>
              <w:rPr>
                <w:sz w:val="20"/>
              </w:rPr>
              <w:t xml:space="preserve">90</w:t>
            </w:r>
          </w:p>
        </w:tc>
        <w:tc>
          <w:tcPr>
            <w:tcW w:w="1789" w:type="dxa"/>
            <w:vAlign w:val="bottom"/>
          </w:tcPr>
          <w:p>
            <w:pPr>
              <w:pStyle w:val="0"/>
              <w:jc w:val="center"/>
            </w:pPr>
            <w:r>
              <w:rPr>
                <w:sz w:val="20"/>
              </w:rPr>
              <w:t xml:space="preserve">120</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5.7. Расход воды на наружное пожаротушение для открытых площадок хранения контейнеров промышленных предприятий по </w:t>
      </w:r>
      <w:hyperlink w:history="0" r:id="rId39" w:tooltip="&quot;СП 37.13330.2012. Свод правил. Промышленный транспорт. Актуализированная редакция СНиП 2.05.07-91*&quot; (утв. Приказом Минрегиона России от 29.12.2011 N 635/7) (ред. от 29.12.2020) {КонсультантПлюс}">
        <w:r>
          <w:rPr>
            <w:sz w:val="20"/>
            <w:color w:val="0000ff"/>
          </w:rPr>
          <w:t xml:space="preserve">СП 37.13330.2012</w:t>
        </w:r>
      </w:hyperlink>
      <w:r>
        <w:rPr>
          <w:sz w:val="20"/>
        </w:rPr>
        <w:t xml:space="preserve"> Промышленный транспорт. Актуализированная редакция СНиП 2.05.07-91* с грузом до 30 т следует принимать при количестве контейнеров:</w:t>
      </w:r>
    </w:p>
    <w:p>
      <w:pPr>
        <w:pStyle w:val="0"/>
        <w:spacing w:before="200" w:line-rule="auto"/>
        <w:ind w:firstLine="540"/>
        <w:jc w:val="both"/>
      </w:pPr>
      <w:r>
        <w:rPr>
          <w:sz w:val="20"/>
        </w:rPr>
        <w:t xml:space="preserve">30 - 50 шт. - 15 л/с;</w:t>
      </w:r>
    </w:p>
    <w:p>
      <w:pPr>
        <w:pStyle w:val="0"/>
        <w:spacing w:before="200" w:line-rule="auto"/>
        <w:ind w:firstLine="540"/>
        <w:jc w:val="both"/>
      </w:pPr>
      <w:r>
        <w:rPr>
          <w:sz w:val="20"/>
        </w:rPr>
        <w:t xml:space="preserve">51 - 100 шт. - 20 л/с;</w:t>
      </w:r>
    </w:p>
    <w:p>
      <w:pPr>
        <w:pStyle w:val="0"/>
        <w:spacing w:before="200" w:line-rule="auto"/>
        <w:ind w:firstLine="540"/>
        <w:jc w:val="both"/>
      </w:pPr>
      <w:r>
        <w:rPr>
          <w:sz w:val="20"/>
        </w:rPr>
        <w:t xml:space="preserve">101 - 300 шт. - 25 л/с;</w:t>
      </w:r>
    </w:p>
    <w:p>
      <w:pPr>
        <w:pStyle w:val="0"/>
        <w:spacing w:before="200" w:line-rule="auto"/>
        <w:ind w:firstLine="540"/>
        <w:jc w:val="both"/>
      </w:pPr>
      <w:r>
        <w:rPr>
          <w:sz w:val="20"/>
        </w:rPr>
        <w:t xml:space="preserve">301 - 1000 шт. - 40 л/с;</w:t>
      </w:r>
    </w:p>
    <w:p>
      <w:pPr>
        <w:pStyle w:val="0"/>
        <w:spacing w:before="200" w:line-rule="auto"/>
        <w:ind w:firstLine="540"/>
        <w:jc w:val="both"/>
      </w:pPr>
      <w:r>
        <w:rPr>
          <w:sz w:val="20"/>
        </w:rPr>
        <w:t xml:space="preserve">1001 - 1500 шт. - 60 л/с;</w:t>
      </w:r>
    </w:p>
    <w:p>
      <w:pPr>
        <w:pStyle w:val="0"/>
        <w:spacing w:before="200" w:line-rule="auto"/>
        <w:ind w:firstLine="540"/>
        <w:jc w:val="both"/>
      </w:pPr>
      <w:r>
        <w:rPr>
          <w:sz w:val="20"/>
        </w:rPr>
        <w:t xml:space="preserve">1501 - 2000 шт. - 80 л/с;</w:t>
      </w:r>
    </w:p>
    <w:p>
      <w:pPr>
        <w:pStyle w:val="0"/>
        <w:spacing w:before="200" w:line-rule="auto"/>
        <w:ind w:firstLine="540"/>
        <w:jc w:val="both"/>
      </w:pPr>
      <w:r>
        <w:rPr>
          <w:sz w:val="20"/>
        </w:rPr>
        <w:t xml:space="preserve">Свыше 2000 шт. - 100 л/с.</w:t>
      </w:r>
    </w:p>
    <w:p>
      <w:pPr>
        <w:pStyle w:val="0"/>
        <w:spacing w:before="200" w:line-rule="auto"/>
        <w:ind w:firstLine="540"/>
        <w:jc w:val="both"/>
      </w:pPr>
      <w:r>
        <w:rPr>
          <w:sz w:val="20"/>
        </w:rPr>
        <w:t xml:space="preserve">5.8. Расчетный расход воды на тушение пожара при объединенном водопроводе для автоматических установок пожаротушения, внутренних пожарных кранов и пожарных гидрантов на время их совместной работы следует принимать как сумму наибольших расходов, определенных в соответствии с требованиями </w:t>
      </w:r>
      <w:hyperlink w:history="0" r:id="rId40"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с изм. от 31.08.2020)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 Утратил силу или отменен {КонсультантПлюс}">
        <w:r>
          <w:rPr>
            <w:sz w:val="20"/>
            <w:color w:val="0000ff"/>
          </w:rPr>
          <w:t xml:space="preserve">СП 5.13130.2009</w:t>
        </w:r>
      </w:hyperlink>
      <w:r>
        <w:rPr>
          <w:sz w:val="20"/>
        </w:rPr>
        <w:t xml:space="preserve"> Системы противопожарной защиты. Установки пожарной сигнализации и пожаротушения автоматические. Нормы и правила проектирования, </w:t>
      </w:r>
      <w:hyperlink w:history="0" r:id="rId41"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СП 10.13130.2009</w:t>
        </w:r>
      </w:hyperlink>
      <w:r>
        <w:rPr>
          <w:sz w:val="20"/>
        </w:rPr>
        <w:t xml:space="preserve"> Системы противопожарной защиты. Внутренний противопожарный водопровод. Требования пожарной безопасности и настоящего раздела.</w:t>
      </w:r>
    </w:p>
    <w:p>
      <w:pPr>
        <w:pStyle w:val="0"/>
        <w:spacing w:before="200" w:line-rule="auto"/>
        <w:ind w:firstLine="540"/>
        <w:jc w:val="both"/>
      </w:pPr>
      <w:r>
        <w:rPr>
          <w:sz w:val="20"/>
        </w:rPr>
        <w:t xml:space="preserve">Расход воды, необходимый на время тушения пожара после отключения автоматических установок пожаротушения, следует принимать согласно </w:t>
      </w:r>
      <w:hyperlink w:history="0" w:anchor="P201" w:tooltip="5.2. Для расчета соединительных и распределительных линий водопроводной сети населенного пункта, а также водопроводной сети внутри микрорайона или квартала расход воды на наружное пожаротушение (на один пожар) следует принимать по таблице 2 для здания, требующего наибольшего расхода воды.">
        <w:r>
          <w:rPr>
            <w:sz w:val="20"/>
            <w:color w:val="0000ff"/>
          </w:rPr>
          <w:t xml:space="preserve">пунктам 5.2</w:t>
        </w:r>
      </w:hyperlink>
      <w:r>
        <w:rPr>
          <w:sz w:val="20"/>
        </w:rPr>
        <w:t xml:space="preserve">, </w:t>
      </w:r>
      <w:hyperlink w:history="0" w:anchor="P292" w:tooltip="5.3. Расход воды на наружное пожаротушение на промышленных и сельскохозяйственных предприятиях на один пожар должен приниматься для здания, требующего наибольшего расхода воды, по таблицам 3 и 4.">
        <w:r>
          <w:rPr>
            <w:sz w:val="20"/>
            <w:color w:val="0000ff"/>
          </w:rPr>
          <w:t xml:space="preserve">5.3</w:t>
        </w:r>
      </w:hyperlink>
      <w:r>
        <w:rPr>
          <w:sz w:val="20"/>
        </w:rPr>
        <w:t xml:space="preserve">, </w:t>
      </w:r>
      <w:hyperlink w:history="0" w:anchor="P553" w:tooltip="5.9. Если подача воды на наружное пожаротушение предусматривается стационарными установками пожаротушения, дополнительно к расходу воды на установки пожаротушения следует предусматривать расход воды из пожарных гидрантов в размере 25% от принятого в соответствии с пунктом 5.3 настоящего свода правил. При этом суммарный расход воды должен быть не менее расхода для здания, определенного по таблице 3 или 4.">
        <w:r>
          <w:rPr>
            <w:sz w:val="20"/>
            <w:color w:val="0000ff"/>
          </w:rPr>
          <w:t xml:space="preserve">5.9</w:t>
        </w:r>
      </w:hyperlink>
      <w:r>
        <w:rPr>
          <w:sz w:val="20"/>
        </w:rPr>
        <w:t xml:space="preserve"> и </w:t>
      </w:r>
      <w:hyperlink w:history="0" w:anchor="P554" w:tooltip="5.10. На пожаротушение зданий, оборудованных внутренними пожарными кранами, следует учитывать дополнительный расход воды к расходам, указанным в таблицах 2 - 4, который следует принимать в соответствии с СП 10.13130.2009 Системы противопожарной защиты. Внутренний противопожарный водопровод. Требования пожарной безопасности для здания, требующего наибольшего расхода воды.">
        <w:r>
          <w:rPr>
            <w:sz w:val="20"/>
            <w:color w:val="0000ff"/>
          </w:rPr>
          <w:t xml:space="preserve">5.10</w:t>
        </w:r>
      </w:hyperlink>
      <w:r>
        <w:rPr>
          <w:sz w:val="20"/>
        </w:rPr>
        <w:t xml:space="preserve"> настоящего свода правил.</w:t>
      </w:r>
    </w:p>
    <w:p>
      <w:pPr>
        <w:pStyle w:val="0"/>
        <w:spacing w:before="200" w:line-rule="auto"/>
        <w:ind w:firstLine="540"/>
        <w:jc w:val="both"/>
      </w:pPr>
      <w:r>
        <w:rPr>
          <w:sz w:val="20"/>
        </w:rPr>
        <w:t xml:space="preserve">Примечание: одновременность действия автоматических установок пожаротушения следует учитывать в зависимости от условий пожаротушения.</w:t>
      </w:r>
    </w:p>
    <w:p>
      <w:pPr>
        <w:pStyle w:val="0"/>
        <w:jc w:val="both"/>
      </w:pPr>
      <w:r>
        <w:rPr>
          <w:sz w:val="20"/>
        </w:rPr>
      </w:r>
    </w:p>
    <w:bookmarkStart w:id="553" w:name="P553"/>
    <w:bookmarkEnd w:id="553"/>
    <w:p>
      <w:pPr>
        <w:pStyle w:val="0"/>
        <w:ind w:firstLine="540"/>
        <w:jc w:val="both"/>
      </w:pPr>
      <w:r>
        <w:rPr>
          <w:sz w:val="20"/>
        </w:rPr>
        <w:t xml:space="preserve">5.9. Если подача воды на наружное пожаротушение предусматривается стационарными установками пожаротушения, дополнительно к расходу воды на установки пожаротушения следует предусматривать расход воды из пожарных гидрантов в размере 25% от принятого в соответствии с </w:t>
      </w:r>
      <w:hyperlink w:history="0" w:anchor="P292" w:tooltip="5.3. Расход воды на наружное пожаротушение на промышленных и сельскохозяйственных предприятиях на один пожар должен приниматься для здания, требующего наибольшего расхода воды, по таблицам 3 и 4.">
        <w:r>
          <w:rPr>
            <w:sz w:val="20"/>
            <w:color w:val="0000ff"/>
          </w:rPr>
          <w:t xml:space="preserve">пунктом 5.3</w:t>
        </w:r>
      </w:hyperlink>
      <w:r>
        <w:rPr>
          <w:sz w:val="20"/>
        </w:rPr>
        <w:t xml:space="preserve"> настоящего свода правил. При этом суммарный расход воды должен быть не менее расхода для здания, определенного по </w:t>
      </w:r>
      <w:hyperlink w:history="0" w:anchor="P296" w:tooltip="Расход воды на наружное пожаротушение зданий класса">
        <w:r>
          <w:rPr>
            <w:sz w:val="20"/>
            <w:color w:val="0000ff"/>
          </w:rPr>
          <w:t xml:space="preserve">таблице 3</w:t>
        </w:r>
      </w:hyperlink>
      <w:r>
        <w:rPr>
          <w:sz w:val="20"/>
        </w:rPr>
        <w:t xml:space="preserve"> или </w:t>
      </w:r>
      <w:hyperlink w:history="0" w:anchor="P424" w:tooltip="Расход воды на наружное пожаротушение зданий класса">
        <w:r>
          <w:rPr>
            <w:sz w:val="20"/>
            <w:color w:val="0000ff"/>
          </w:rPr>
          <w:t xml:space="preserve">4</w:t>
        </w:r>
      </w:hyperlink>
      <w:r>
        <w:rPr>
          <w:sz w:val="20"/>
        </w:rPr>
        <w:t xml:space="preserve">.</w:t>
      </w:r>
    </w:p>
    <w:bookmarkStart w:id="554" w:name="P554"/>
    <w:bookmarkEnd w:id="554"/>
    <w:p>
      <w:pPr>
        <w:pStyle w:val="0"/>
        <w:spacing w:before="200" w:line-rule="auto"/>
        <w:ind w:firstLine="540"/>
        <w:jc w:val="both"/>
      </w:pPr>
      <w:r>
        <w:rPr>
          <w:sz w:val="20"/>
        </w:rPr>
        <w:t xml:space="preserve">5.10. На пожаротушение зданий, оборудованных внутренними пожарными кранами, следует учитывать дополнительный расход воды к расходам, указанным в </w:t>
      </w:r>
      <w:hyperlink w:history="0" w:anchor="P205" w:tooltip="Расход воды на наружное пожаротушение зданий классов">
        <w:r>
          <w:rPr>
            <w:sz w:val="20"/>
            <w:color w:val="0000ff"/>
          </w:rPr>
          <w:t xml:space="preserve">таблицах 2</w:t>
        </w:r>
      </w:hyperlink>
      <w:r>
        <w:rPr>
          <w:sz w:val="20"/>
        </w:rPr>
        <w:t xml:space="preserve"> - </w:t>
      </w:r>
      <w:hyperlink w:history="0" w:anchor="P424" w:tooltip="Расход воды на наружное пожаротушение зданий класса">
        <w:r>
          <w:rPr>
            <w:sz w:val="20"/>
            <w:color w:val="0000ff"/>
          </w:rPr>
          <w:t xml:space="preserve">4</w:t>
        </w:r>
      </w:hyperlink>
      <w:r>
        <w:rPr>
          <w:sz w:val="20"/>
        </w:rPr>
        <w:t xml:space="preserve">, который следует принимать в соответствии с </w:t>
      </w:r>
      <w:hyperlink w:history="0" r:id="rId42"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СП 10.13130.2009</w:t>
        </w:r>
      </w:hyperlink>
      <w:r>
        <w:rPr>
          <w:sz w:val="20"/>
        </w:rPr>
        <w:t xml:space="preserve"> Системы противопожарной защиты. Внутренний противопожарный водопровод. Требования пожарной безопасности для здания, требующего наибольшего расхода воды.</w:t>
      </w:r>
    </w:p>
    <w:p>
      <w:pPr>
        <w:pStyle w:val="0"/>
        <w:spacing w:before="200" w:line-rule="auto"/>
        <w:ind w:firstLine="540"/>
        <w:jc w:val="both"/>
      </w:pPr>
      <w:r>
        <w:rPr>
          <w:sz w:val="20"/>
        </w:rPr>
        <w:t xml:space="preserve">5.11. Расчетный расход воды объединенного водопровода на тушение пожара должен быть обеспечен при наибольшем расходе воды на другие нужды, предусмотренные </w:t>
      </w:r>
      <w:hyperlink w:history="0" r:id="rId43"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w:t>
      </w:r>
    </w:p>
    <w:p>
      <w:pPr>
        <w:pStyle w:val="0"/>
        <w:spacing w:before="200" w:line-rule="auto"/>
        <w:ind w:firstLine="540"/>
        <w:jc w:val="both"/>
      </w:pPr>
      <w:r>
        <w:rPr>
          <w:sz w:val="20"/>
        </w:rPr>
        <w:t xml:space="preserve">В случаях, когда по условиям технологического процесса возможно использование производственной воды на пожаротушение, следует предусматривать установку гидрантов на сети производственного водопровода дополнительно к гидрантам, установленным на сети противопожарного водопровода, обеспечивающего требуемый расход воды на пожаротушение.</w:t>
      </w:r>
    </w:p>
    <w:p>
      <w:pPr>
        <w:pStyle w:val="0"/>
        <w:spacing w:before="200" w:line-rule="auto"/>
        <w:ind w:firstLine="540"/>
        <w:jc w:val="both"/>
      </w:pPr>
      <w:r>
        <w:rPr>
          <w:sz w:val="20"/>
        </w:rPr>
        <w:t xml:space="preserve">5.12. Расход воды на наружное пожаротушение автостоянок в соответствии с </w:t>
      </w:r>
      <w:hyperlink w:history="0" r:id="rId44" w:tooltip="&quot;СП 113.13330.2016. Свод правил. Стоянки автомобилей. Актуализированная редакция СНиП 21-02-99*&quot; (утв. Приказом Минстроя России от 07.11.2016 N 776/пр) (ред. от 17.09.2019) {КонсультантПлюс}">
        <w:r>
          <w:rPr>
            <w:sz w:val="20"/>
            <w:color w:val="0000ff"/>
          </w:rPr>
          <w:t xml:space="preserve">СП 113.13330.2016</w:t>
        </w:r>
      </w:hyperlink>
      <w:r>
        <w:rPr>
          <w:sz w:val="20"/>
        </w:rPr>
        <w:t xml:space="preserve"> Стоянки автомобилей. Актуализированная редакция СНиП 21-02-99* следует принимать: надземных автостоянок закрытого и открытого типов по </w:t>
      </w:r>
      <w:hyperlink w:history="0" w:anchor="P565" w:tooltip="Расход воды на наружное пожаротушение надземных автостоянок">
        <w:r>
          <w:rPr>
            <w:sz w:val="20"/>
            <w:color w:val="0000ff"/>
          </w:rPr>
          <w:t xml:space="preserve">таблице 6</w:t>
        </w:r>
      </w:hyperlink>
      <w:r>
        <w:rPr>
          <w:sz w:val="20"/>
        </w:rPr>
        <w:t xml:space="preserve">; других видов автостоянок:</w:t>
      </w:r>
    </w:p>
    <w:p>
      <w:pPr>
        <w:pStyle w:val="0"/>
        <w:spacing w:before="200" w:line-rule="auto"/>
        <w:ind w:firstLine="540"/>
        <w:jc w:val="both"/>
      </w:pPr>
      <w:r>
        <w:rPr>
          <w:sz w:val="20"/>
        </w:rPr>
        <w:t xml:space="preserve">многоуровневых надземных и подземных автостоянок - 40 л/с;</w:t>
      </w:r>
    </w:p>
    <w:p>
      <w:pPr>
        <w:pStyle w:val="0"/>
        <w:spacing w:before="200" w:line-rule="auto"/>
        <w:ind w:firstLine="540"/>
        <w:jc w:val="both"/>
      </w:pPr>
      <w:r>
        <w:rPr>
          <w:sz w:val="20"/>
        </w:rPr>
        <w:t xml:space="preserve">подземных автостоянок более двух этажей - 30 л/с;</w:t>
      </w:r>
    </w:p>
    <w:p>
      <w:pPr>
        <w:pStyle w:val="0"/>
        <w:spacing w:before="200" w:line-rule="auto"/>
        <w:ind w:firstLine="540"/>
        <w:jc w:val="both"/>
      </w:pPr>
      <w:r>
        <w:rPr>
          <w:sz w:val="20"/>
        </w:rPr>
        <w:t xml:space="preserve">подземных автостоянок до двух этажей включительно - 20 л/с;</w:t>
      </w:r>
    </w:p>
    <w:p>
      <w:pPr>
        <w:pStyle w:val="0"/>
        <w:spacing w:before="200" w:line-rule="auto"/>
        <w:ind w:firstLine="540"/>
        <w:jc w:val="both"/>
      </w:pPr>
      <w:r>
        <w:rPr>
          <w:sz w:val="20"/>
        </w:rPr>
        <w:t xml:space="preserve">автостоянок боксового типа с непосредственным выездом наружу из каждого бокса при количестве боксов от 50 до 200 - 5 л/с, более 200 - 10 л/с.</w:t>
      </w:r>
    </w:p>
    <w:p>
      <w:pPr>
        <w:pStyle w:val="0"/>
        <w:jc w:val="both"/>
      </w:pPr>
      <w:r>
        <w:rPr>
          <w:sz w:val="20"/>
        </w:rPr>
      </w:r>
    </w:p>
    <w:p>
      <w:pPr>
        <w:pStyle w:val="0"/>
        <w:jc w:val="right"/>
      </w:pPr>
      <w:r>
        <w:rPr>
          <w:sz w:val="20"/>
        </w:rPr>
        <w:t xml:space="preserve">Таблица 6</w:t>
      </w:r>
    </w:p>
    <w:p>
      <w:pPr>
        <w:pStyle w:val="0"/>
        <w:jc w:val="both"/>
      </w:pPr>
      <w:r>
        <w:rPr>
          <w:sz w:val="20"/>
        </w:rPr>
      </w:r>
    </w:p>
    <w:bookmarkStart w:id="565" w:name="P565"/>
    <w:bookmarkEnd w:id="565"/>
    <w:p>
      <w:pPr>
        <w:pStyle w:val="2"/>
        <w:outlineLvl w:val="2"/>
        <w:jc w:val="center"/>
      </w:pPr>
      <w:r>
        <w:rPr>
          <w:sz w:val="20"/>
        </w:rPr>
        <w:t xml:space="preserve">Расход воды на наружное пожаротушение надземных автостоянок</w:t>
      </w:r>
    </w:p>
    <w:p>
      <w:pPr>
        <w:pStyle w:val="2"/>
        <w:jc w:val="center"/>
      </w:pPr>
      <w:r>
        <w:rPr>
          <w:sz w:val="20"/>
        </w:rPr>
        <w:t xml:space="preserve">закрытого и открытого типов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30"/>
        <w:gridCol w:w="2154"/>
        <w:gridCol w:w="2113"/>
        <w:gridCol w:w="2113"/>
        <w:gridCol w:w="2113"/>
        <w:gridCol w:w="2113"/>
      </w:tblGrid>
      <w:tr>
        <w:tc>
          <w:tcPr>
            <w:tcW w:w="1330" w:type="dxa"/>
            <w:vMerge w:val="restart"/>
          </w:tcPr>
          <w:p>
            <w:pPr>
              <w:pStyle w:val="0"/>
              <w:jc w:val="center"/>
            </w:pPr>
            <w:r>
              <w:rPr>
                <w:sz w:val="20"/>
              </w:rPr>
              <w:t xml:space="preserve">Степень огнестойкости здания</w:t>
            </w:r>
          </w:p>
        </w:tc>
        <w:tc>
          <w:tcPr>
            <w:tcW w:w="2154" w:type="dxa"/>
            <w:vMerge w:val="restart"/>
          </w:tcPr>
          <w:p>
            <w:pPr>
              <w:pStyle w:val="0"/>
              <w:jc w:val="center"/>
            </w:pPr>
            <w:r>
              <w:rPr>
                <w:sz w:val="20"/>
              </w:rPr>
              <w:t xml:space="preserve">Класс конструктивной пожарной опасности здания</w:t>
            </w:r>
          </w:p>
        </w:tc>
        <w:tc>
          <w:tcPr>
            <w:gridSpan w:val="4"/>
            <w:tcW w:w="8452" w:type="dxa"/>
          </w:tcPr>
          <w:p>
            <w:pPr>
              <w:pStyle w:val="0"/>
              <w:jc w:val="center"/>
            </w:pPr>
            <w:r>
              <w:rPr>
                <w:sz w:val="20"/>
              </w:rPr>
              <w:t xml:space="preserve">Расход воды на наружное пожаротушение зданий автостоянок на один пожар, л/с, при объемах зданий (пожарного отсека), тыс. м</w:t>
            </w:r>
            <w:r>
              <w:rPr>
                <w:sz w:val="20"/>
                <w:vertAlign w:val="superscript"/>
              </w:rPr>
              <w:t xml:space="preserve">3</w:t>
            </w:r>
          </w:p>
        </w:tc>
      </w:tr>
      <w:tr>
        <w:tc>
          <w:tcPr>
            <w:vMerge w:val="continue"/>
          </w:tcPr>
          <w:p/>
        </w:tc>
        <w:tc>
          <w:tcPr>
            <w:vMerge w:val="continue"/>
          </w:tcPr>
          <w:p/>
        </w:tc>
        <w:tc>
          <w:tcPr>
            <w:tcW w:w="2113" w:type="dxa"/>
          </w:tcPr>
          <w:p>
            <w:pPr>
              <w:pStyle w:val="0"/>
              <w:jc w:val="center"/>
            </w:pPr>
            <w:r>
              <w:rPr>
                <w:sz w:val="20"/>
              </w:rPr>
              <w:t xml:space="preserve">до 5</w:t>
            </w:r>
          </w:p>
        </w:tc>
        <w:tc>
          <w:tcPr>
            <w:tcW w:w="2113" w:type="dxa"/>
          </w:tcPr>
          <w:p>
            <w:pPr>
              <w:pStyle w:val="0"/>
              <w:jc w:val="center"/>
            </w:pPr>
            <w:r>
              <w:rPr>
                <w:sz w:val="20"/>
              </w:rPr>
              <w:t xml:space="preserve">свыше 5 до 20</w:t>
            </w:r>
          </w:p>
        </w:tc>
        <w:tc>
          <w:tcPr>
            <w:tcW w:w="2113" w:type="dxa"/>
          </w:tcPr>
          <w:p>
            <w:pPr>
              <w:pStyle w:val="0"/>
              <w:jc w:val="center"/>
            </w:pPr>
            <w:r>
              <w:rPr>
                <w:sz w:val="20"/>
              </w:rPr>
              <w:t xml:space="preserve">свыше 20 до 50</w:t>
            </w:r>
          </w:p>
        </w:tc>
        <w:tc>
          <w:tcPr>
            <w:tcW w:w="2113" w:type="dxa"/>
          </w:tcPr>
          <w:p>
            <w:pPr>
              <w:pStyle w:val="0"/>
              <w:jc w:val="center"/>
            </w:pPr>
            <w:r>
              <w:rPr>
                <w:sz w:val="20"/>
              </w:rPr>
              <w:t xml:space="preserve">свыше 50</w:t>
            </w:r>
          </w:p>
        </w:tc>
      </w:tr>
      <w:tr>
        <w:tc>
          <w:tcPr>
            <w:tcW w:w="1330" w:type="dxa"/>
            <w:vAlign w:val="bottom"/>
          </w:tcPr>
          <w:p>
            <w:pPr>
              <w:pStyle w:val="0"/>
              <w:jc w:val="center"/>
            </w:pPr>
            <w:r>
              <w:rPr>
                <w:sz w:val="20"/>
              </w:rPr>
              <w:t xml:space="preserve">I, II, III</w:t>
            </w:r>
          </w:p>
        </w:tc>
        <w:tc>
          <w:tcPr>
            <w:tcW w:w="2154" w:type="dxa"/>
            <w:vAlign w:val="bottom"/>
          </w:tcPr>
          <w:p>
            <w:pPr>
              <w:pStyle w:val="0"/>
              <w:jc w:val="center"/>
            </w:pPr>
            <w:r>
              <w:rPr>
                <w:sz w:val="20"/>
              </w:rPr>
              <w:t xml:space="preserve">C0, C1</w:t>
            </w:r>
          </w:p>
        </w:tc>
        <w:tc>
          <w:tcPr>
            <w:tcW w:w="2113" w:type="dxa"/>
            <w:vAlign w:val="bottom"/>
          </w:tcPr>
          <w:p>
            <w:pPr>
              <w:pStyle w:val="0"/>
              <w:jc w:val="center"/>
            </w:pPr>
            <w:r>
              <w:rPr>
                <w:sz w:val="20"/>
              </w:rPr>
              <w:t xml:space="preserve">10</w:t>
            </w:r>
          </w:p>
        </w:tc>
        <w:tc>
          <w:tcPr>
            <w:tcW w:w="2113" w:type="dxa"/>
            <w:vAlign w:val="bottom"/>
          </w:tcPr>
          <w:p>
            <w:pPr>
              <w:pStyle w:val="0"/>
              <w:jc w:val="center"/>
            </w:pPr>
            <w:r>
              <w:rPr>
                <w:sz w:val="20"/>
              </w:rPr>
              <w:t xml:space="preserve">15</w:t>
            </w:r>
          </w:p>
        </w:tc>
        <w:tc>
          <w:tcPr>
            <w:tcW w:w="2113" w:type="dxa"/>
            <w:vAlign w:val="bottom"/>
          </w:tcPr>
          <w:p>
            <w:pPr>
              <w:pStyle w:val="0"/>
              <w:jc w:val="center"/>
            </w:pPr>
            <w:r>
              <w:rPr>
                <w:sz w:val="20"/>
              </w:rPr>
              <w:t xml:space="preserve">20</w:t>
            </w:r>
          </w:p>
        </w:tc>
        <w:tc>
          <w:tcPr>
            <w:tcW w:w="2113" w:type="dxa"/>
            <w:vAlign w:val="bottom"/>
          </w:tcPr>
          <w:p>
            <w:pPr>
              <w:pStyle w:val="0"/>
              <w:jc w:val="center"/>
            </w:pPr>
            <w:r>
              <w:rPr>
                <w:sz w:val="20"/>
              </w:rPr>
              <w:t xml:space="preserve">30</w:t>
            </w:r>
          </w:p>
        </w:tc>
      </w:tr>
      <w:tr>
        <w:tc>
          <w:tcPr>
            <w:tcW w:w="1330" w:type="dxa"/>
          </w:tcPr>
          <w:p>
            <w:pPr>
              <w:pStyle w:val="0"/>
              <w:jc w:val="center"/>
            </w:pPr>
            <w:r>
              <w:rPr>
                <w:sz w:val="20"/>
              </w:rPr>
              <w:t xml:space="preserve">IV</w:t>
            </w:r>
          </w:p>
        </w:tc>
        <w:tc>
          <w:tcPr>
            <w:tcW w:w="2154" w:type="dxa"/>
          </w:tcPr>
          <w:p>
            <w:pPr>
              <w:pStyle w:val="0"/>
              <w:jc w:val="center"/>
            </w:pPr>
            <w:r>
              <w:rPr>
                <w:sz w:val="20"/>
              </w:rPr>
              <w:t xml:space="preserve">C0, C1</w:t>
            </w:r>
          </w:p>
        </w:tc>
        <w:tc>
          <w:tcPr>
            <w:tcW w:w="2113" w:type="dxa"/>
            <w:vAlign w:val="bottom"/>
          </w:tcPr>
          <w:p>
            <w:pPr>
              <w:pStyle w:val="0"/>
              <w:jc w:val="center"/>
            </w:pPr>
            <w:r>
              <w:rPr>
                <w:sz w:val="20"/>
              </w:rPr>
              <w:t xml:space="preserve">10</w:t>
            </w:r>
          </w:p>
        </w:tc>
        <w:tc>
          <w:tcPr>
            <w:tcW w:w="2113" w:type="dxa"/>
          </w:tcPr>
          <w:p>
            <w:pPr>
              <w:pStyle w:val="0"/>
              <w:jc w:val="center"/>
            </w:pPr>
            <w:r>
              <w:rPr>
                <w:sz w:val="20"/>
              </w:rPr>
              <w:t xml:space="preserve">15</w:t>
            </w:r>
          </w:p>
        </w:tc>
        <w:tc>
          <w:tcPr>
            <w:tcW w:w="2113" w:type="dxa"/>
            <w:vAlign w:val="bottom"/>
          </w:tcPr>
          <w:p>
            <w:pPr>
              <w:pStyle w:val="0"/>
              <w:jc w:val="center"/>
            </w:pPr>
            <w:r>
              <w:rPr>
                <w:sz w:val="20"/>
              </w:rPr>
              <w:t xml:space="preserve">20</w:t>
            </w:r>
          </w:p>
        </w:tc>
        <w:tc>
          <w:tcPr>
            <w:tcW w:w="2113" w:type="dxa"/>
            <w:vAlign w:val="center"/>
          </w:tcPr>
          <w:p>
            <w:pPr>
              <w:pStyle w:val="0"/>
              <w:jc w:val="center"/>
            </w:pPr>
            <w:r>
              <w:rPr>
                <w:sz w:val="20"/>
              </w:rPr>
              <w:t xml:space="preserve">-</w:t>
            </w:r>
          </w:p>
        </w:tc>
      </w:tr>
      <w:tr>
        <w:tc>
          <w:tcPr>
            <w:tcW w:w="1330" w:type="dxa"/>
          </w:tcPr>
          <w:p>
            <w:pPr>
              <w:pStyle w:val="0"/>
            </w:pPr>
            <w:r>
              <w:rPr>
                <w:sz w:val="20"/>
              </w:rPr>
            </w:r>
          </w:p>
        </w:tc>
        <w:tc>
          <w:tcPr>
            <w:tcW w:w="2154" w:type="dxa"/>
            <w:vAlign w:val="center"/>
          </w:tcPr>
          <w:p>
            <w:pPr>
              <w:pStyle w:val="0"/>
              <w:jc w:val="center"/>
            </w:pPr>
            <w:r>
              <w:rPr>
                <w:sz w:val="20"/>
              </w:rPr>
              <w:t xml:space="preserve">C2, C3</w:t>
            </w:r>
          </w:p>
        </w:tc>
        <w:tc>
          <w:tcPr>
            <w:tcW w:w="2113" w:type="dxa"/>
            <w:vAlign w:val="bottom"/>
          </w:tcPr>
          <w:p>
            <w:pPr>
              <w:pStyle w:val="0"/>
              <w:jc w:val="center"/>
            </w:pPr>
            <w:r>
              <w:rPr>
                <w:sz w:val="20"/>
              </w:rPr>
              <w:t xml:space="preserve">20</w:t>
            </w:r>
          </w:p>
        </w:tc>
        <w:tc>
          <w:tcPr>
            <w:tcW w:w="2113" w:type="dxa"/>
            <w:vAlign w:val="center"/>
          </w:tcPr>
          <w:p>
            <w:pPr>
              <w:pStyle w:val="0"/>
              <w:jc w:val="center"/>
            </w:pPr>
            <w:r>
              <w:rPr>
                <w:sz w:val="20"/>
              </w:rPr>
              <w:t xml:space="preserve">25</w:t>
            </w:r>
          </w:p>
        </w:tc>
        <w:tc>
          <w:tcPr>
            <w:tcW w:w="2113" w:type="dxa"/>
            <w:vAlign w:val="center"/>
          </w:tcPr>
          <w:p>
            <w:pPr>
              <w:pStyle w:val="0"/>
              <w:jc w:val="center"/>
            </w:pPr>
            <w:r>
              <w:rPr>
                <w:sz w:val="20"/>
              </w:rPr>
              <w:t xml:space="preserve">-</w:t>
            </w:r>
          </w:p>
        </w:tc>
        <w:tc>
          <w:tcPr>
            <w:tcW w:w="2113" w:type="dxa"/>
            <w:vAlign w:val="center"/>
          </w:tcPr>
          <w:p>
            <w:pPr>
              <w:pStyle w:val="0"/>
              <w:jc w:val="center"/>
            </w:pPr>
            <w:r>
              <w:rPr>
                <w:sz w:val="20"/>
              </w:rPr>
              <w:t xml:space="preserve">-</w:t>
            </w:r>
          </w:p>
        </w:tc>
      </w:tr>
      <w:tr>
        <w:tc>
          <w:tcPr>
            <w:tcW w:w="1330" w:type="dxa"/>
          </w:tcPr>
          <w:p>
            <w:pPr>
              <w:pStyle w:val="0"/>
              <w:jc w:val="center"/>
            </w:pPr>
            <w:r>
              <w:rPr>
                <w:sz w:val="20"/>
              </w:rPr>
              <w:t xml:space="preserve">V</w:t>
            </w:r>
          </w:p>
        </w:tc>
        <w:tc>
          <w:tcPr>
            <w:tcW w:w="2154" w:type="dxa"/>
          </w:tcPr>
          <w:p>
            <w:pPr>
              <w:pStyle w:val="0"/>
              <w:jc w:val="center"/>
            </w:pPr>
            <w:r>
              <w:rPr>
                <w:sz w:val="20"/>
              </w:rPr>
              <w:t xml:space="preserve">Не нормируется</w:t>
            </w:r>
          </w:p>
        </w:tc>
        <w:tc>
          <w:tcPr>
            <w:tcW w:w="2113" w:type="dxa"/>
            <w:vAlign w:val="bottom"/>
          </w:tcPr>
          <w:p>
            <w:pPr>
              <w:pStyle w:val="0"/>
              <w:jc w:val="center"/>
            </w:pPr>
            <w:r>
              <w:rPr>
                <w:sz w:val="20"/>
              </w:rPr>
              <w:t xml:space="preserve">20</w:t>
            </w:r>
          </w:p>
        </w:tc>
        <w:tc>
          <w:tcPr>
            <w:tcW w:w="2113" w:type="dxa"/>
            <w:vAlign w:val="center"/>
          </w:tcPr>
          <w:p>
            <w:pPr>
              <w:pStyle w:val="0"/>
              <w:jc w:val="center"/>
            </w:pPr>
            <w:r>
              <w:rPr>
                <w:sz w:val="20"/>
              </w:rPr>
              <w:t xml:space="preserve">-</w:t>
            </w:r>
          </w:p>
        </w:tc>
        <w:tc>
          <w:tcPr>
            <w:tcW w:w="2113" w:type="dxa"/>
            <w:vAlign w:val="center"/>
          </w:tcPr>
          <w:p>
            <w:pPr>
              <w:pStyle w:val="0"/>
              <w:jc w:val="center"/>
            </w:pPr>
            <w:r>
              <w:rPr>
                <w:sz w:val="20"/>
              </w:rPr>
              <w:t xml:space="preserve">-</w:t>
            </w:r>
          </w:p>
        </w:tc>
        <w:tc>
          <w:tcPr>
            <w:tcW w:w="2113" w:type="dxa"/>
            <w:vAlign w:val="center"/>
          </w:tcPr>
          <w:p>
            <w:pPr>
              <w:pStyle w:val="0"/>
              <w:jc w:val="center"/>
            </w:pPr>
            <w:r>
              <w:rPr>
                <w:sz w:val="20"/>
              </w:rPr>
              <w:t xml:space="preserve">-</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5.13. Расход воды на наружное пожаротушение открытых площадок хранения автомобилей предприятий по обслуживанию автомобилей следует принимать по таблице 7.</w:t>
      </w:r>
    </w:p>
    <w:p>
      <w:pPr>
        <w:pStyle w:val="0"/>
        <w:jc w:val="both"/>
      </w:pPr>
      <w:r>
        <w:rPr>
          <w:sz w:val="20"/>
        </w:rPr>
      </w:r>
    </w:p>
    <w:p>
      <w:pPr>
        <w:pStyle w:val="0"/>
        <w:jc w:val="right"/>
      </w:pPr>
      <w:r>
        <w:rPr>
          <w:sz w:val="20"/>
        </w:rPr>
        <w:t xml:space="preserve">Таблица 7</w:t>
      </w:r>
    </w:p>
    <w:p>
      <w:pPr>
        <w:pStyle w:val="0"/>
        <w:jc w:val="both"/>
      </w:pPr>
      <w:r>
        <w:rPr>
          <w:sz w:val="20"/>
        </w:rPr>
      </w:r>
    </w:p>
    <w:p>
      <w:pPr>
        <w:pStyle w:val="2"/>
        <w:outlineLvl w:val="2"/>
        <w:jc w:val="center"/>
      </w:pPr>
      <w:r>
        <w:rPr>
          <w:sz w:val="20"/>
        </w:rPr>
        <w:t xml:space="preserve">Расход воды на наружное пожаротушение открытых площадок</w:t>
      </w:r>
    </w:p>
    <w:p>
      <w:pPr>
        <w:pStyle w:val="2"/>
        <w:jc w:val="center"/>
      </w:pPr>
      <w:r>
        <w:rPr>
          <w:sz w:val="20"/>
        </w:rPr>
        <w:t xml:space="preserve">хранения автомобилей (автостоянок)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3357"/>
        <w:gridCol w:w="3358"/>
      </w:tblGrid>
      <w:tr>
        <w:tc>
          <w:tcPr>
            <w:tcW w:w="2381" w:type="dxa"/>
            <w:vMerge w:val="restart"/>
          </w:tcPr>
          <w:p>
            <w:pPr>
              <w:pStyle w:val="0"/>
              <w:jc w:val="center"/>
            </w:pPr>
            <w:r>
              <w:rPr>
                <w:sz w:val="20"/>
              </w:rPr>
              <w:t xml:space="preserve">Категория автомобилей</w:t>
            </w:r>
          </w:p>
        </w:tc>
        <w:tc>
          <w:tcPr>
            <w:gridSpan w:val="2"/>
            <w:tcW w:w="6715" w:type="dxa"/>
          </w:tcPr>
          <w:p>
            <w:pPr>
              <w:pStyle w:val="0"/>
              <w:jc w:val="center"/>
            </w:pPr>
            <w:r>
              <w:rPr>
                <w:sz w:val="20"/>
              </w:rPr>
              <w:t xml:space="preserve">Расход воды на наружное пожаротушение при количестве автомобилей, л/с</w:t>
            </w:r>
          </w:p>
        </w:tc>
      </w:tr>
      <w:tr>
        <w:tc>
          <w:tcPr>
            <w:vMerge w:val="continue"/>
          </w:tcPr>
          <w:p/>
        </w:tc>
        <w:tc>
          <w:tcPr>
            <w:tcW w:w="3357" w:type="dxa"/>
          </w:tcPr>
          <w:p>
            <w:pPr>
              <w:pStyle w:val="0"/>
              <w:jc w:val="center"/>
            </w:pPr>
            <w:r>
              <w:rPr>
                <w:sz w:val="20"/>
              </w:rPr>
              <w:t xml:space="preserve">до 200 включительно</w:t>
            </w:r>
          </w:p>
        </w:tc>
        <w:tc>
          <w:tcPr>
            <w:tcW w:w="3358" w:type="dxa"/>
          </w:tcPr>
          <w:p>
            <w:pPr>
              <w:pStyle w:val="0"/>
              <w:jc w:val="center"/>
            </w:pPr>
            <w:r>
              <w:rPr>
                <w:sz w:val="20"/>
              </w:rPr>
              <w:t xml:space="preserve">более 200</w:t>
            </w:r>
          </w:p>
        </w:tc>
      </w:tr>
      <w:tr>
        <w:tc>
          <w:tcPr>
            <w:tcW w:w="2381" w:type="dxa"/>
          </w:tcPr>
          <w:p>
            <w:pPr>
              <w:pStyle w:val="0"/>
              <w:jc w:val="center"/>
            </w:pPr>
            <w:r>
              <w:rPr>
                <w:sz w:val="20"/>
              </w:rPr>
              <w:t xml:space="preserve">I</w:t>
            </w:r>
          </w:p>
        </w:tc>
        <w:tc>
          <w:tcPr>
            <w:tcW w:w="3357" w:type="dxa"/>
          </w:tcPr>
          <w:p>
            <w:pPr>
              <w:pStyle w:val="0"/>
              <w:jc w:val="center"/>
            </w:pPr>
            <w:r>
              <w:rPr>
                <w:sz w:val="20"/>
              </w:rPr>
              <w:t xml:space="preserve">5</w:t>
            </w:r>
          </w:p>
        </w:tc>
        <w:tc>
          <w:tcPr>
            <w:tcW w:w="3358" w:type="dxa"/>
            <w:vAlign w:val="bottom"/>
          </w:tcPr>
          <w:p>
            <w:pPr>
              <w:pStyle w:val="0"/>
              <w:jc w:val="center"/>
            </w:pPr>
            <w:r>
              <w:rPr>
                <w:sz w:val="20"/>
              </w:rPr>
              <w:t xml:space="preserve">10</w:t>
            </w:r>
          </w:p>
        </w:tc>
      </w:tr>
      <w:tr>
        <w:tc>
          <w:tcPr>
            <w:tcW w:w="2381" w:type="dxa"/>
          </w:tcPr>
          <w:p>
            <w:pPr>
              <w:pStyle w:val="0"/>
              <w:jc w:val="center"/>
            </w:pPr>
            <w:r>
              <w:rPr>
                <w:sz w:val="20"/>
              </w:rPr>
              <w:t xml:space="preserve">II и III</w:t>
            </w:r>
          </w:p>
        </w:tc>
        <w:tc>
          <w:tcPr>
            <w:tcW w:w="3357" w:type="dxa"/>
            <w:vAlign w:val="bottom"/>
          </w:tcPr>
          <w:p>
            <w:pPr>
              <w:pStyle w:val="0"/>
              <w:jc w:val="center"/>
            </w:pPr>
            <w:r>
              <w:rPr>
                <w:sz w:val="20"/>
              </w:rPr>
              <w:t xml:space="preserve">10</w:t>
            </w:r>
          </w:p>
        </w:tc>
        <w:tc>
          <w:tcPr>
            <w:tcW w:w="3358" w:type="dxa"/>
          </w:tcPr>
          <w:p>
            <w:pPr>
              <w:pStyle w:val="0"/>
              <w:jc w:val="center"/>
            </w:pPr>
            <w:r>
              <w:rPr>
                <w:sz w:val="20"/>
              </w:rPr>
              <w:t xml:space="preserve">15</w:t>
            </w:r>
          </w:p>
        </w:tc>
      </w:tr>
      <w:tr>
        <w:tc>
          <w:tcPr>
            <w:tcW w:w="2381" w:type="dxa"/>
          </w:tcPr>
          <w:p>
            <w:pPr>
              <w:pStyle w:val="0"/>
              <w:jc w:val="center"/>
            </w:pPr>
            <w:r>
              <w:rPr>
                <w:sz w:val="20"/>
              </w:rPr>
              <w:t xml:space="preserve">IV</w:t>
            </w:r>
          </w:p>
        </w:tc>
        <w:tc>
          <w:tcPr>
            <w:tcW w:w="3357" w:type="dxa"/>
          </w:tcPr>
          <w:p>
            <w:pPr>
              <w:pStyle w:val="0"/>
              <w:jc w:val="center"/>
            </w:pPr>
            <w:r>
              <w:rPr>
                <w:sz w:val="20"/>
              </w:rPr>
              <w:t xml:space="preserve">15</w:t>
            </w:r>
          </w:p>
        </w:tc>
        <w:tc>
          <w:tcPr>
            <w:tcW w:w="3358" w:type="dxa"/>
            <w:vAlign w:val="bottom"/>
          </w:tcPr>
          <w:p>
            <w:pPr>
              <w:pStyle w:val="0"/>
              <w:jc w:val="center"/>
            </w:pPr>
            <w:r>
              <w:rPr>
                <w:sz w:val="20"/>
              </w:rPr>
              <w:t xml:space="preserve">20</w:t>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 хранении на открытой площадке (автостоянке) смешанного парка автомобилей расход воды на наружное пожаротушение следует определять для общего количества автомобилей по среднеарифметической норме, установленной для автомобилей каждой категории.</w:t>
      </w:r>
    </w:p>
    <w:p>
      <w:pPr>
        <w:pStyle w:val="0"/>
        <w:spacing w:before="200" w:line-rule="auto"/>
        <w:ind w:firstLine="540"/>
        <w:jc w:val="both"/>
      </w:pPr>
      <w:r>
        <w:rPr>
          <w:sz w:val="20"/>
        </w:rPr>
        <w:t xml:space="preserve">2. При размещении производств для технического обслуживания и ремонта автомобилей под навесом расход воды на наружное пожаротушение следует принимать в соответствии с </w:t>
      </w:r>
      <w:hyperlink w:history="0" w:anchor="P628" w:tooltip="Категории автомобилей в зависимости от габаритных размеров">
        <w:r>
          <w:rPr>
            <w:sz w:val="20"/>
            <w:color w:val="0000ff"/>
          </w:rPr>
          <w:t xml:space="preserve">таблицей 8</w:t>
        </w:r>
      </w:hyperlink>
      <w:r>
        <w:rPr>
          <w:sz w:val="20"/>
        </w:rPr>
        <w:t xml:space="preserve"> из расчета общего количества рабочих постов или мест хранения, приравнивая их к количеству мест открытого хранения автомобилей.</w:t>
      </w:r>
    </w:p>
    <w:p>
      <w:pPr>
        <w:pStyle w:val="0"/>
        <w:spacing w:before="200" w:line-rule="auto"/>
        <w:ind w:firstLine="540"/>
        <w:jc w:val="both"/>
      </w:pPr>
      <w:r>
        <w:rPr>
          <w:sz w:val="20"/>
        </w:rPr>
        <w:t xml:space="preserve">3. Категории автомобилей в зависимости от их габаритных размеров следует принимать в соответствии с таблицей 8.</w:t>
      </w:r>
    </w:p>
    <w:p>
      <w:pPr>
        <w:pStyle w:val="0"/>
        <w:jc w:val="both"/>
      </w:pPr>
      <w:r>
        <w:rPr>
          <w:sz w:val="20"/>
        </w:rPr>
      </w:r>
    </w:p>
    <w:p>
      <w:pPr>
        <w:pStyle w:val="0"/>
        <w:jc w:val="right"/>
      </w:pPr>
      <w:r>
        <w:rPr>
          <w:sz w:val="20"/>
        </w:rPr>
        <w:t xml:space="preserve">Таблица 8</w:t>
      </w:r>
    </w:p>
    <w:p>
      <w:pPr>
        <w:pStyle w:val="0"/>
        <w:jc w:val="both"/>
      </w:pPr>
      <w:r>
        <w:rPr>
          <w:sz w:val="20"/>
        </w:rPr>
      </w:r>
    </w:p>
    <w:bookmarkStart w:id="628" w:name="P628"/>
    <w:bookmarkEnd w:id="628"/>
    <w:p>
      <w:pPr>
        <w:pStyle w:val="2"/>
        <w:outlineLvl w:val="2"/>
        <w:jc w:val="center"/>
      </w:pPr>
      <w:r>
        <w:rPr>
          <w:sz w:val="20"/>
        </w:rPr>
        <w:t xml:space="preserve">Категории автомобилей в зависимости от габаритных размеров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97"/>
        <w:gridCol w:w="3517"/>
        <w:gridCol w:w="3517"/>
      </w:tblGrid>
      <w:tr>
        <w:tc>
          <w:tcPr>
            <w:tcW w:w="1997" w:type="dxa"/>
            <w:vMerge w:val="restart"/>
          </w:tcPr>
          <w:p>
            <w:pPr>
              <w:pStyle w:val="0"/>
              <w:jc w:val="center"/>
            </w:pPr>
            <w:r>
              <w:rPr>
                <w:sz w:val="20"/>
              </w:rPr>
              <w:t xml:space="preserve">Категория</w:t>
            </w:r>
          </w:p>
        </w:tc>
        <w:tc>
          <w:tcPr>
            <w:gridSpan w:val="2"/>
            <w:tcW w:w="7034" w:type="dxa"/>
          </w:tcPr>
          <w:p>
            <w:pPr>
              <w:pStyle w:val="0"/>
              <w:jc w:val="center"/>
            </w:pPr>
            <w:r>
              <w:rPr>
                <w:sz w:val="20"/>
              </w:rPr>
              <w:t xml:space="preserve">Размеры автомобиля, м</w:t>
            </w:r>
          </w:p>
        </w:tc>
      </w:tr>
      <w:tr>
        <w:tc>
          <w:tcPr>
            <w:vMerge w:val="continue"/>
          </w:tcPr>
          <w:p/>
        </w:tc>
        <w:tc>
          <w:tcPr>
            <w:tcW w:w="3517" w:type="dxa"/>
          </w:tcPr>
          <w:p>
            <w:pPr>
              <w:pStyle w:val="0"/>
              <w:jc w:val="center"/>
            </w:pPr>
            <w:r>
              <w:rPr>
                <w:sz w:val="20"/>
              </w:rPr>
              <w:t xml:space="preserve">длина</w:t>
            </w:r>
          </w:p>
        </w:tc>
        <w:tc>
          <w:tcPr>
            <w:tcW w:w="3517" w:type="dxa"/>
          </w:tcPr>
          <w:p>
            <w:pPr>
              <w:pStyle w:val="0"/>
              <w:jc w:val="center"/>
            </w:pPr>
            <w:r>
              <w:rPr>
                <w:sz w:val="20"/>
              </w:rPr>
              <w:t xml:space="preserve">ширина</w:t>
            </w:r>
          </w:p>
        </w:tc>
      </w:tr>
      <w:tr>
        <w:tc>
          <w:tcPr>
            <w:tcW w:w="1997" w:type="dxa"/>
            <w:vAlign w:val="bottom"/>
          </w:tcPr>
          <w:p>
            <w:pPr>
              <w:pStyle w:val="0"/>
              <w:jc w:val="center"/>
            </w:pPr>
            <w:r>
              <w:rPr>
                <w:sz w:val="20"/>
              </w:rPr>
              <w:t xml:space="preserve">I</w:t>
            </w:r>
          </w:p>
        </w:tc>
        <w:tc>
          <w:tcPr>
            <w:tcW w:w="3517" w:type="dxa"/>
            <w:vAlign w:val="bottom"/>
          </w:tcPr>
          <w:p>
            <w:pPr>
              <w:pStyle w:val="0"/>
              <w:jc w:val="center"/>
            </w:pPr>
            <w:r>
              <w:rPr>
                <w:sz w:val="20"/>
              </w:rPr>
              <w:t xml:space="preserve">до 6 включ.</w:t>
            </w:r>
          </w:p>
        </w:tc>
        <w:tc>
          <w:tcPr>
            <w:tcW w:w="3517" w:type="dxa"/>
            <w:vAlign w:val="bottom"/>
          </w:tcPr>
          <w:p>
            <w:pPr>
              <w:pStyle w:val="0"/>
              <w:jc w:val="center"/>
            </w:pPr>
            <w:r>
              <w:rPr>
                <w:sz w:val="20"/>
              </w:rPr>
              <w:t xml:space="preserve">до 2,1 включ.</w:t>
            </w:r>
          </w:p>
        </w:tc>
      </w:tr>
      <w:tr>
        <w:tc>
          <w:tcPr>
            <w:tcW w:w="1997" w:type="dxa"/>
            <w:vAlign w:val="bottom"/>
          </w:tcPr>
          <w:p>
            <w:pPr>
              <w:pStyle w:val="0"/>
              <w:jc w:val="center"/>
            </w:pPr>
            <w:r>
              <w:rPr>
                <w:sz w:val="20"/>
              </w:rPr>
              <w:t xml:space="preserve">II</w:t>
            </w:r>
          </w:p>
        </w:tc>
        <w:tc>
          <w:tcPr>
            <w:tcW w:w="3517" w:type="dxa"/>
            <w:vAlign w:val="bottom"/>
          </w:tcPr>
          <w:p>
            <w:pPr>
              <w:pStyle w:val="0"/>
              <w:jc w:val="center"/>
            </w:pPr>
            <w:r>
              <w:rPr>
                <w:sz w:val="20"/>
              </w:rPr>
              <w:t xml:space="preserve">от 6 до 8</w:t>
            </w:r>
          </w:p>
        </w:tc>
        <w:tc>
          <w:tcPr>
            <w:tcW w:w="3517" w:type="dxa"/>
            <w:vAlign w:val="bottom"/>
          </w:tcPr>
          <w:p>
            <w:pPr>
              <w:pStyle w:val="0"/>
              <w:jc w:val="center"/>
            </w:pPr>
            <w:r>
              <w:rPr>
                <w:sz w:val="20"/>
              </w:rPr>
              <w:t xml:space="preserve">от 2,1 до 2,5</w:t>
            </w:r>
          </w:p>
        </w:tc>
      </w:tr>
      <w:tr>
        <w:tc>
          <w:tcPr>
            <w:tcW w:w="1997" w:type="dxa"/>
            <w:vAlign w:val="bottom"/>
          </w:tcPr>
          <w:p>
            <w:pPr>
              <w:pStyle w:val="0"/>
              <w:jc w:val="center"/>
            </w:pPr>
            <w:r>
              <w:rPr>
                <w:sz w:val="20"/>
              </w:rPr>
              <w:t xml:space="preserve">III</w:t>
            </w:r>
          </w:p>
        </w:tc>
        <w:tc>
          <w:tcPr>
            <w:tcW w:w="3517" w:type="dxa"/>
            <w:vAlign w:val="bottom"/>
          </w:tcPr>
          <w:p>
            <w:pPr>
              <w:pStyle w:val="0"/>
              <w:jc w:val="center"/>
            </w:pPr>
            <w:r>
              <w:rPr>
                <w:sz w:val="20"/>
              </w:rPr>
              <w:t xml:space="preserve">от 8 до 12</w:t>
            </w:r>
          </w:p>
        </w:tc>
        <w:tc>
          <w:tcPr>
            <w:tcW w:w="3517" w:type="dxa"/>
            <w:vAlign w:val="bottom"/>
          </w:tcPr>
          <w:p>
            <w:pPr>
              <w:pStyle w:val="0"/>
              <w:jc w:val="center"/>
            </w:pPr>
            <w:r>
              <w:rPr>
                <w:sz w:val="20"/>
              </w:rPr>
              <w:t xml:space="preserve">от 2,5 до 2,8</w:t>
            </w:r>
          </w:p>
        </w:tc>
      </w:tr>
      <w:tr>
        <w:tc>
          <w:tcPr>
            <w:tcW w:w="1997" w:type="dxa"/>
            <w:vAlign w:val="bottom"/>
          </w:tcPr>
          <w:p>
            <w:pPr>
              <w:pStyle w:val="0"/>
              <w:jc w:val="center"/>
            </w:pPr>
            <w:r>
              <w:rPr>
                <w:sz w:val="20"/>
              </w:rPr>
              <w:t xml:space="preserve">IV</w:t>
            </w:r>
          </w:p>
        </w:tc>
        <w:tc>
          <w:tcPr>
            <w:tcW w:w="3517" w:type="dxa"/>
            <w:vAlign w:val="bottom"/>
          </w:tcPr>
          <w:p>
            <w:pPr>
              <w:pStyle w:val="0"/>
              <w:jc w:val="center"/>
            </w:pPr>
            <w:r>
              <w:rPr>
                <w:sz w:val="20"/>
              </w:rPr>
              <w:t xml:space="preserve">св. 12</w:t>
            </w:r>
          </w:p>
        </w:tc>
        <w:tc>
          <w:tcPr>
            <w:tcW w:w="3517" w:type="dxa"/>
            <w:vAlign w:val="bottom"/>
          </w:tcPr>
          <w:p>
            <w:pPr>
              <w:pStyle w:val="0"/>
              <w:jc w:val="center"/>
            </w:pPr>
            <w:r>
              <w:rPr>
                <w:sz w:val="20"/>
              </w:rPr>
              <w:t xml:space="preserve">св. 2,8</w:t>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Для автомобилей с длиной и шириной, отличающимися от размеров, указанных в </w:t>
      </w:r>
      <w:hyperlink w:history="0" w:anchor="P628" w:tooltip="Категории автомобилей в зависимости от габаритных размеров">
        <w:r>
          <w:rPr>
            <w:sz w:val="20"/>
            <w:color w:val="0000ff"/>
          </w:rPr>
          <w:t xml:space="preserve">таблице 8</w:t>
        </w:r>
      </w:hyperlink>
      <w:r>
        <w:rPr>
          <w:sz w:val="20"/>
        </w:rPr>
        <w:t xml:space="preserve">, категория устанавливается по наибольшему размеру.</w:t>
      </w:r>
    </w:p>
    <w:p>
      <w:pPr>
        <w:pStyle w:val="0"/>
        <w:spacing w:before="200" w:line-rule="auto"/>
        <w:ind w:firstLine="540"/>
        <w:jc w:val="both"/>
      </w:pPr>
      <w:r>
        <w:rPr>
          <w:sz w:val="20"/>
        </w:rPr>
        <w:t xml:space="preserve">2. Категория автопоездов устанавливается по габаритным размерам автомобилей-тягачей.</w:t>
      </w:r>
    </w:p>
    <w:p>
      <w:pPr>
        <w:pStyle w:val="0"/>
        <w:spacing w:before="200" w:line-rule="auto"/>
        <w:ind w:firstLine="540"/>
        <w:jc w:val="both"/>
      </w:pPr>
      <w:r>
        <w:rPr>
          <w:sz w:val="20"/>
        </w:rPr>
        <w:t xml:space="preserve">3. Сочлененные автобусы относятся к III категории.</w:t>
      </w:r>
    </w:p>
    <w:p>
      <w:pPr>
        <w:pStyle w:val="0"/>
        <w:jc w:val="both"/>
      </w:pPr>
      <w:r>
        <w:rPr>
          <w:sz w:val="20"/>
        </w:rPr>
      </w:r>
    </w:p>
    <w:p>
      <w:pPr>
        <w:pStyle w:val="0"/>
        <w:ind w:firstLine="540"/>
        <w:jc w:val="both"/>
      </w:pPr>
      <w:r>
        <w:rPr>
          <w:sz w:val="20"/>
        </w:rPr>
        <w:t xml:space="preserve">5.14. Расход воды на наружное пожаротушение площадок для заправки топливных баков автотранспортных средств и специализированной техники предприятия посредством автотопливозаправщиков по </w:t>
      </w:r>
      <w:hyperlink w:history="0" r:id="rId45" w:tooltip="&quot;ГОСТ 33666-2015. Межгосударственный стандарт. Автомобильные транспортные средства для транспортирования и заправки нефтепродуктов. Технические требования&quot; (введен в действие Приказом Росстандарта от 22.06.2016 N 657-ст) {КонсультантПлюс}">
        <w:r>
          <w:rPr>
            <w:sz w:val="20"/>
            <w:color w:val="0000ff"/>
          </w:rPr>
          <w:t xml:space="preserve">ГОСТ 33666-2015</w:t>
        </w:r>
      </w:hyperlink>
      <w:r>
        <w:rPr>
          <w:sz w:val="20"/>
        </w:rPr>
        <w:t xml:space="preserve"> Межгосударственный стандарт. Автомобильные транспортные средства для транспортирования и заправки нефтепродуктов. Технические требования следует принимать не менее 10 л/с </w:t>
      </w:r>
      <w:hyperlink w:history="0" w:anchor="P816" w:tooltip="[2] ГОСТ 33666-2015 &quot;Межгосударственный стандарт. Автомобильные транспортные средства для транспортировки и заправки нефтепродуктов. Технические требования&quot;.">
        <w:r>
          <w:rPr>
            <w:sz w:val="20"/>
            <w:color w:val="0000ff"/>
          </w:rPr>
          <w:t xml:space="preserve">[2]</w:t>
        </w:r>
      </w:hyperlink>
      <w:r>
        <w:rPr>
          <w:sz w:val="20"/>
        </w:rPr>
        <w:t xml:space="preserve">.</w:t>
      </w:r>
    </w:p>
    <w:bookmarkStart w:id="653" w:name="P653"/>
    <w:bookmarkEnd w:id="653"/>
    <w:p>
      <w:pPr>
        <w:pStyle w:val="0"/>
        <w:spacing w:before="200" w:line-rule="auto"/>
        <w:ind w:firstLine="540"/>
        <w:jc w:val="both"/>
      </w:pPr>
      <w:r>
        <w:rPr>
          <w:sz w:val="20"/>
        </w:rPr>
        <w:t xml:space="preserve">5.15. Расчетное количество одновременных пожаров на промышленном или сельскохозяйственном предприятии следует принимать в зависимости от занимаемой ими площади: один пожар - при площади до 150 га, два пожара - при площади более 150 га.</w:t>
      </w:r>
    </w:p>
    <w:bookmarkStart w:id="654" w:name="P654"/>
    <w:bookmarkEnd w:id="654"/>
    <w:p>
      <w:pPr>
        <w:pStyle w:val="0"/>
        <w:spacing w:before="200" w:line-rule="auto"/>
        <w:ind w:firstLine="540"/>
        <w:jc w:val="both"/>
      </w:pPr>
      <w:r>
        <w:rPr>
          <w:sz w:val="20"/>
        </w:rPr>
        <w:t xml:space="preserve">5.16. При объединенном противопожарном водопроводе населенного пункта и промышленного или сельскохозяйственного предприятия, расположенных вне населенного пункта, расчетное количество одновременных пожаров следует принимать:</w:t>
      </w:r>
    </w:p>
    <w:p>
      <w:pPr>
        <w:pStyle w:val="0"/>
        <w:spacing w:before="200" w:line-rule="auto"/>
        <w:ind w:firstLine="540"/>
        <w:jc w:val="both"/>
      </w:pPr>
      <w:r>
        <w:rPr>
          <w:sz w:val="20"/>
        </w:rPr>
        <w:t xml:space="preserve">при площади территории предприятия до 150 га и при числе жителей в населенном пункте до 10 тыс. чел. - один пожар (на территории предприятия или в населенном пункте по наибольшему расходу воды); при площади территории предприятия до 150 га и при числе жителей в населенном пункте свыше 10 тыс. до 25 тыс. чел. - два пожара (один на территории предприятия и один в населенном пункте);</w:t>
      </w:r>
    </w:p>
    <w:p>
      <w:pPr>
        <w:pStyle w:val="0"/>
        <w:spacing w:before="200" w:line-rule="auto"/>
        <w:ind w:firstLine="540"/>
        <w:jc w:val="both"/>
      </w:pPr>
      <w:r>
        <w:rPr>
          <w:sz w:val="20"/>
        </w:rPr>
        <w:t xml:space="preserve">при площади территории предприятия свыше 150 га и при числе жителей в населенном пункте до 25 тыс. чел. - два пожара (два на территории предприятия или два в населенном пункте по наибольшему расходу);</w:t>
      </w:r>
    </w:p>
    <w:p>
      <w:pPr>
        <w:pStyle w:val="0"/>
        <w:spacing w:before="200" w:line-rule="auto"/>
        <w:ind w:firstLine="540"/>
        <w:jc w:val="both"/>
      </w:pPr>
      <w:r>
        <w:rPr>
          <w:sz w:val="20"/>
        </w:rPr>
        <w:t xml:space="preserve">при числе жителей в населенном пункте более 25 тыс. чел. - в соответствии с </w:t>
      </w:r>
      <w:hyperlink w:history="0" w:anchor="P653" w:tooltip="5.15. Расчетное количество одновременных пожаров на промышленном или сельскохозяйственном предприятии следует принимать в зависимости от занимаемой ими площади: один пожар - при площади до 150 га, два пожара - при площади более 150 га.">
        <w:r>
          <w:rPr>
            <w:sz w:val="20"/>
            <w:color w:val="0000ff"/>
          </w:rPr>
          <w:t xml:space="preserve">пунктом 5.15</w:t>
        </w:r>
      </w:hyperlink>
      <w:r>
        <w:rPr>
          <w:sz w:val="20"/>
        </w:rPr>
        <w:t xml:space="preserve"> и </w:t>
      </w:r>
      <w:hyperlink w:history="0" w:anchor="P127" w:tooltip="Расход воды на наружное пожаротушение в населенном пункте">
        <w:r>
          <w:rPr>
            <w:sz w:val="20"/>
            <w:color w:val="0000ff"/>
          </w:rPr>
          <w:t xml:space="preserve">таблицей 1</w:t>
        </w:r>
      </w:hyperlink>
      <w:r>
        <w:rPr>
          <w:sz w:val="20"/>
        </w:rPr>
        <w:t xml:space="preserve"> настоящего свода правил, при этом расход воды следует определять как сумму необходимого большего расхода (на территории предприятия или в населенном пункте) и 50% необходимого меньшего расхода (на территории предприятия или в населенном пункте).</w:t>
      </w:r>
    </w:p>
    <w:bookmarkStart w:id="658" w:name="P658"/>
    <w:bookmarkEnd w:id="658"/>
    <w:p>
      <w:pPr>
        <w:pStyle w:val="0"/>
        <w:spacing w:before="200" w:line-rule="auto"/>
        <w:ind w:firstLine="540"/>
        <w:jc w:val="both"/>
      </w:pPr>
      <w:r>
        <w:rPr>
          <w:sz w:val="20"/>
        </w:rPr>
        <w:t xml:space="preserve">5.17. Продолжительность тушения пожара должна приниматься 3 ч. Для зданий I и II степеней огнестойкости с негорючими несущими конструкциями и утеплителем с помещениями категорий Г и Д по пожарной и взрывопожарной опасности - 2 ч.</w:t>
      </w:r>
    </w:p>
    <w:bookmarkStart w:id="659" w:name="P659"/>
    <w:bookmarkEnd w:id="659"/>
    <w:p>
      <w:pPr>
        <w:pStyle w:val="0"/>
        <w:spacing w:before="200" w:line-rule="auto"/>
        <w:ind w:firstLine="540"/>
        <w:jc w:val="both"/>
      </w:pPr>
      <w:r>
        <w:rPr>
          <w:sz w:val="20"/>
        </w:rPr>
        <w:t xml:space="preserve">5.18. Максимальный срок восстановления пожарного объема воды должен быть не более:</w:t>
      </w:r>
    </w:p>
    <w:p>
      <w:pPr>
        <w:pStyle w:val="0"/>
        <w:spacing w:before="200" w:line-rule="auto"/>
        <w:ind w:firstLine="540"/>
        <w:jc w:val="both"/>
      </w:pPr>
      <w:r>
        <w:rPr>
          <w:sz w:val="20"/>
        </w:rPr>
        <w:t xml:space="preserve">24 ч - в населенных пунктах с числом жителей более 5 тыс. чел. и на промышленных предприятиях со зданиями категорий А, Б, В по пожарной и взрывопожарной опасности;</w:t>
      </w:r>
    </w:p>
    <w:p>
      <w:pPr>
        <w:pStyle w:val="0"/>
        <w:spacing w:before="200" w:line-rule="auto"/>
        <w:ind w:firstLine="540"/>
        <w:jc w:val="both"/>
      </w:pPr>
      <w:r>
        <w:rPr>
          <w:sz w:val="20"/>
        </w:rPr>
        <w:t xml:space="preserve">36 ч - на промышленных предприятиях со зданиями категорий Г и Д по пожарной и взрывопожарной опасности;</w:t>
      </w:r>
    </w:p>
    <w:p>
      <w:pPr>
        <w:pStyle w:val="0"/>
        <w:spacing w:before="200" w:line-rule="auto"/>
        <w:ind w:firstLine="540"/>
        <w:jc w:val="both"/>
      </w:pPr>
      <w:r>
        <w:rPr>
          <w:sz w:val="20"/>
        </w:rPr>
        <w:t xml:space="preserve">72 ч - в населенных пунктах с числом жителей не более 5 тыс. чел. и на сельскохозяйственных предприятиях.</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Для промышленных предприятий с расходами воды на наружное пожаротушение 20 л/с и менее допускается увеличивать время восстановления пожарного объема воды:</w:t>
      </w:r>
    </w:p>
    <w:p>
      <w:pPr>
        <w:pStyle w:val="0"/>
        <w:spacing w:before="200" w:line-rule="auto"/>
        <w:ind w:firstLine="540"/>
        <w:jc w:val="both"/>
      </w:pPr>
      <w:r>
        <w:rPr>
          <w:sz w:val="20"/>
        </w:rPr>
        <w:t xml:space="preserve">до 48 ч - для зданий категорий Г и Д;</w:t>
      </w:r>
    </w:p>
    <w:p>
      <w:pPr>
        <w:pStyle w:val="0"/>
        <w:spacing w:before="200" w:line-rule="auto"/>
        <w:ind w:firstLine="540"/>
        <w:jc w:val="both"/>
      </w:pPr>
      <w:r>
        <w:rPr>
          <w:sz w:val="20"/>
        </w:rPr>
        <w:t xml:space="preserve">до 36 ч - для зданий категории В.</w:t>
      </w:r>
    </w:p>
    <w:p>
      <w:pPr>
        <w:pStyle w:val="0"/>
        <w:spacing w:before="200" w:line-rule="auto"/>
        <w:ind w:firstLine="540"/>
        <w:jc w:val="both"/>
      </w:pPr>
      <w:r>
        <w:rPr>
          <w:sz w:val="20"/>
        </w:rPr>
        <w:t xml:space="preserve">2. При невозможности обеспечения восстановления пожарного объема воды в нормативное время допускается увеличение указанного времени восстановления при условии увеличения пожарного объема воды на величину </w:t>
      </w:r>
      <w:r>
        <w:rPr>
          <w:position w:val="-2"/>
        </w:rPr>
        <w:drawing>
          <wp:inline distT="0" distB="0" distL="0" distR="0">
            <wp:extent cx="15240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sz w:val="20"/>
        </w:rPr>
        <w:t xml:space="preserve">W, которую определяют по формуле:</w:t>
      </w:r>
    </w:p>
    <w:p>
      <w:pPr>
        <w:pStyle w:val="0"/>
        <w:jc w:val="both"/>
      </w:pPr>
      <w:r>
        <w:rPr>
          <w:sz w:val="20"/>
        </w:rPr>
      </w:r>
    </w:p>
    <w:p>
      <w:pPr>
        <w:pStyle w:val="0"/>
        <w:jc w:val="center"/>
      </w:pPr>
      <w:r>
        <w:rPr>
          <w:position w:val="-2"/>
        </w:rPr>
        <w:drawing>
          <wp:inline distT="0" distB="0" distL="0" distR="0">
            <wp:extent cx="15240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sz w:val="20"/>
        </w:rPr>
        <w:t xml:space="preserve">W = W x (K - 1) / K, (1)</w:t>
      </w:r>
    </w:p>
    <w:p>
      <w:pPr>
        <w:pStyle w:val="0"/>
        <w:jc w:val="both"/>
      </w:pPr>
      <w:r>
        <w:rPr>
          <w:sz w:val="20"/>
        </w:rPr>
      </w:r>
    </w:p>
    <w:p>
      <w:pPr>
        <w:pStyle w:val="0"/>
        <w:ind w:firstLine="540"/>
        <w:jc w:val="both"/>
      </w:pPr>
      <w:r>
        <w:rPr>
          <w:sz w:val="20"/>
        </w:rPr>
        <w:t xml:space="preserve">где </w:t>
      </w:r>
      <w:r>
        <w:rPr>
          <w:position w:val="-2"/>
        </w:rPr>
        <w:drawing>
          <wp:inline distT="0" distB="0" distL="0" distR="0">
            <wp:extent cx="15240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sz w:val="20"/>
        </w:rPr>
        <w:t xml:space="preserve">W - дополнительный объем воды, м</w:t>
      </w:r>
      <w:r>
        <w:rPr>
          <w:sz w:val="20"/>
          <w:vertAlign w:val="superscript"/>
        </w:rPr>
        <w:t xml:space="preserve">3</w:t>
      </w:r>
      <w:r>
        <w:rPr>
          <w:sz w:val="20"/>
        </w:rPr>
        <w:t xml:space="preserve">;</w:t>
      </w:r>
    </w:p>
    <w:p>
      <w:pPr>
        <w:pStyle w:val="0"/>
        <w:spacing w:before="200" w:line-rule="auto"/>
        <w:ind w:firstLine="540"/>
        <w:jc w:val="both"/>
      </w:pPr>
      <w:r>
        <w:rPr>
          <w:sz w:val="20"/>
        </w:rPr>
        <w:t xml:space="preserve">W - пожарный объем воды, м</w:t>
      </w:r>
      <w:r>
        <w:rPr>
          <w:sz w:val="20"/>
          <w:vertAlign w:val="superscript"/>
        </w:rPr>
        <w:t xml:space="preserve">3</w:t>
      </w:r>
      <w:r>
        <w:rPr>
          <w:sz w:val="20"/>
        </w:rPr>
        <w:t xml:space="preserve">;</w:t>
      </w:r>
    </w:p>
    <w:p>
      <w:pPr>
        <w:pStyle w:val="0"/>
        <w:spacing w:before="200" w:line-rule="auto"/>
        <w:ind w:firstLine="540"/>
        <w:jc w:val="both"/>
      </w:pPr>
      <w:r>
        <w:rPr>
          <w:sz w:val="20"/>
        </w:rPr>
        <w:t xml:space="preserve">K - отношение фактического времени восстановления к требуемому в соответствии с </w:t>
      </w:r>
      <w:hyperlink w:history="0" w:anchor="P659" w:tooltip="5.18. Максимальный срок восстановления пожарного объема воды должен быть не более:">
        <w:r>
          <w:rPr>
            <w:sz w:val="20"/>
            <w:color w:val="0000ff"/>
          </w:rPr>
          <w:t xml:space="preserve">пунктом 5.18</w:t>
        </w:r>
      </w:hyperlink>
      <w:r>
        <w:rPr>
          <w:sz w:val="20"/>
        </w:rPr>
        <w:t xml:space="preserve"> настоящего свода правил.</w:t>
      </w:r>
    </w:p>
    <w:p>
      <w:pPr>
        <w:pStyle w:val="0"/>
        <w:jc w:val="both"/>
      </w:pPr>
      <w:r>
        <w:rPr>
          <w:sz w:val="20"/>
        </w:rPr>
      </w:r>
    </w:p>
    <w:p>
      <w:pPr>
        <w:pStyle w:val="2"/>
        <w:outlineLvl w:val="1"/>
        <w:ind w:firstLine="540"/>
        <w:jc w:val="both"/>
      </w:pPr>
      <w:r>
        <w:rPr>
          <w:sz w:val="20"/>
        </w:rPr>
        <w:t xml:space="preserve">6. Свободные напоры</w:t>
      </w:r>
    </w:p>
    <w:p>
      <w:pPr>
        <w:pStyle w:val="0"/>
        <w:jc w:val="both"/>
      </w:pPr>
      <w:r>
        <w:rPr>
          <w:sz w:val="20"/>
        </w:rPr>
      </w:r>
    </w:p>
    <w:p>
      <w:pPr>
        <w:pStyle w:val="0"/>
        <w:ind w:firstLine="540"/>
        <w:jc w:val="both"/>
      </w:pPr>
      <w:r>
        <w:rPr>
          <w:sz w:val="20"/>
        </w:rPr>
        <w:t xml:space="preserve">6.1. Противопожарный водопровод в населенных пунктах следует принимать низкого давления.</w:t>
      </w:r>
    </w:p>
    <w:p>
      <w:pPr>
        <w:pStyle w:val="0"/>
        <w:spacing w:before="200" w:line-rule="auto"/>
        <w:ind w:firstLine="540"/>
        <w:jc w:val="both"/>
      </w:pPr>
      <w:r>
        <w:rPr>
          <w:sz w:val="20"/>
        </w:rPr>
        <w:t xml:space="preserve">Противопожарный водопровод высокого давления, как правило, принимают на производственных объектах согласно нормативным документам для соответствующих отраслей промышленности и сельского хозяйства.</w:t>
      </w:r>
    </w:p>
    <w:p>
      <w:pPr>
        <w:pStyle w:val="0"/>
        <w:spacing w:before="200" w:line-rule="auto"/>
        <w:ind w:firstLine="540"/>
        <w:jc w:val="both"/>
      </w:pPr>
      <w:r>
        <w:rPr>
          <w:sz w:val="20"/>
        </w:rPr>
        <w:t xml:space="preserve">6.2.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w:t>
      </w:r>
    </w:p>
    <w:p>
      <w:pPr>
        <w:pStyle w:val="0"/>
        <w:spacing w:before="200" w:line-rule="auto"/>
        <w:ind w:firstLine="540"/>
        <w:jc w:val="both"/>
      </w:pPr>
      <w:r>
        <w:rPr>
          <w:sz w:val="20"/>
        </w:rPr>
        <w:t xml:space="preserve">6.3. Свободный напор в сети противопожарного водопровода низкого давления (на уровне поверхности земли) при пожаротушении должен быть не менее 10 метров.</w:t>
      </w:r>
    </w:p>
    <w:p>
      <w:pPr>
        <w:pStyle w:val="0"/>
        <w:spacing w:before="200" w:line-rule="auto"/>
        <w:ind w:firstLine="540"/>
        <w:jc w:val="both"/>
      </w:pPr>
      <w:r>
        <w:rPr>
          <w:sz w:val="20"/>
        </w:rPr>
        <w:t xml:space="preserve">6.4. Свободный напор в сети противопожарного водопровода высокого давления должен обеспечивать высоту компактной струи 10 м при максимальном расходе воды на пожаротушение и расположении пожарного ствола на уровне наивысшей точки самого высокого здания.</w:t>
      </w:r>
    </w:p>
    <w:p>
      <w:pPr>
        <w:pStyle w:val="0"/>
        <w:jc w:val="both"/>
      </w:pPr>
      <w:r>
        <w:rPr>
          <w:sz w:val="20"/>
        </w:rPr>
      </w:r>
    </w:p>
    <w:p>
      <w:pPr>
        <w:pStyle w:val="2"/>
        <w:outlineLvl w:val="1"/>
        <w:ind w:firstLine="540"/>
        <w:jc w:val="both"/>
      </w:pPr>
      <w:r>
        <w:rPr>
          <w:sz w:val="20"/>
        </w:rPr>
        <w:t xml:space="preserve">7. Насосные станции</w:t>
      </w:r>
    </w:p>
    <w:p>
      <w:pPr>
        <w:pStyle w:val="0"/>
        <w:jc w:val="both"/>
      </w:pPr>
      <w:r>
        <w:rPr>
          <w:sz w:val="20"/>
        </w:rPr>
      </w:r>
    </w:p>
    <w:p>
      <w:pPr>
        <w:pStyle w:val="0"/>
        <w:ind w:firstLine="540"/>
        <w:jc w:val="both"/>
      </w:pPr>
      <w:r>
        <w:rPr>
          <w:sz w:val="20"/>
        </w:rPr>
        <w:t xml:space="preserve">7.1. Насосные станции по степени обеспеченности подачи воды подразделяются на три категории по </w:t>
      </w:r>
      <w:hyperlink w:history="0" r:id="rId47"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"СНиП 2.04.02-84* Водоснабжение. Наружные сети и сооружения".</w:t>
      </w:r>
    </w:p>
    <w:bookmarkStart w:id="686" w:name="P686"/>
    <w:bookmarkEnd w:id="686"/>
    <w:p>
      <w:pPr>
        <w:pStyle w:val="0"/>
        <w:spacing w:before="200" w:line-rule="auto"/>
        <w:ind w:firstLine="540"/>
        <w:jc w:val="both"/>
      </w:pPr>
      <w:r>
        <w:rPr>
          <w:sz w:val="20"/>
        </w:rPr>
        <w:t xml:space="preserve">7.2. Насосные станции, подающие воду непосредственно в сеть противопожарного водопровода, следует относить к I категории.</w:t>
      </w:r>
    </w:p>
    <w:p>
      <w:pPr>
        <w:pStyle w:val="0"/>
        <w:spacing w:before="200" w:line-rule="auto"/>
        <w:ind w:firstLine="540"/>
        <w:jc w:val="both"/>
      </w:pPr>
      <w:r>
        <w:rPr>
          <w:sz w:val="20"/>
        </w:rPr>
        <w:t xml:space="preserve">Примечание: насосные станции противопожарного водопровода населенных пунктов с количеством жителей до 5000 человек; отдельно стоящих зданий классов функциональной пожарной опасности Ф1.1, Ф1.2, Ф2, Ф3, Ф4 объемом до 1000 м</w:t>
      </w:r>
      <w:r>
        <w:rPr>
          <w:sz w:val="20"/>
          <w:vertAlign w:val="superscript"/>
        </w:rPr>
        <w:t xml:space="preserve">3</w:t>
      </w:r>
      <w:r>
        <w:rPr>
          <w:sz w:val="20"/>
        </w:rPr>
        <w:t xml:space="preserve">, расположенных в населенных пунктах, не имеющих кольцевого противопожарного водопровода; зданий класса функциональной пожарной опасности Ф5 категорий В, Г и Д по пожарной опасности при расходе воды на наружное пожаротушение 10 л/с; складов грубых кормов объемом до 1000 м</w:t>
      </w:r>
      <w:r>
        <w:rPr>
          <w:sz w:val="20"/>
          <w:vertAlign w:val="superscript"/>
        </w:rPr>
        <w:t xml:space="preserve">3</w:t>
      </w:r>
      <w:r>
        <w:rPr>
          <w:sz w:val="20"/>
        </w:rPr>
        <w:t xml:space="preserve">; складов минеральных удобрений объемом зданий до 5000 м</w:t>
      </w:r>
      <w:r>
        <w:rPr>
          <w:sz w:val="20"/>
          <w:vertAlign w:val="superscript"/>
        </w:rPr>
        <w:t xml:space="preserve">3</w:t>
      </w:r>
      <w:r>
        <w:rPr>
          <w:sz w:val="20"/>
        </w:rPr>
        <w:t xml:space="preserve">; зданий радиотелевизионных передающих станций; зданий холодильников и хранилищ овощей и фруктов допускается относить к II категории.</w:t>
      </w:r>
    </w:p>
    <w:p>
      <w:pPr>
        <w:pStyle w:val="0"/>
        <w:jc w:val="both"/>
      </w:pPr>
      <w:r>
        <w:rPr>
          <w:sz w:val="20"/>
        </w:rPr>
      </w:r>
    </w:p>
    <w:p>
      <w:pPr>
        <w:pStyle w:val="0"/>
        <w:ind w:firstLine="540"/>
        <w:jc w:val="both"/>
      </w:pPr>
      <w:r>
        <w:rPr>
          <w:sz w:val="20"/>
        </w:rPr>
        <w:t xml:space="preserve">7.3. Выбор типа насосов, количества рабочих и резервных агрегатов следует производить по </w:t>
      </w:r>
      <w:hyperlink w:history="0" r:id="rId48"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В насосных станциях водопроводов населенных пунктов с числом жителей до 5 тыс. чел. при одном источнике электроснабжения следует устанавливать резервный пожарный насос с двигателем внутреннего сгорания и автоматическим запуском (от аккумуляторов).</w:t>
      </w:r>
    </w:p>
    <w:p>
      <w:pPr>
        <w:pStyle w:val="0"/>
        <w:spacing w:before="200" w:line-rule="auto"/>
        <w:ind w:firstLine="540"/>
        <w:jc w:val="both"/>
      </w:pPr>
      <w:r>
        <w:rPr>
          <w:sz w:val="20"/>
        </w:rPr>
        <w:t xml:space="preserve">2. В насосных станциях объединенных противопожарных водопроводов высокого давления или при установке только пожарных насосов следует предусматривать один резервный пожарный агрегат, независимо от количества рабочих агрегатов.</w:t>
      </w:r>
    </w:p>
    <w:p>
      <w:pPr>
        <w:pStyle w:val="0"/>
        <w:jc w:val="both"/>
      </w:pPr>
      <w:r>
        <w:rPr>
          <w:sz w:val="20"/>
        </w:rPr>
      </w:r>
    </w:p>
    <w:p>
      <w:pPr>
        <w:pStyle w:val="0"/>
        <w:ind w:firstLine="540"/>
        <w:jc w:val="both"/>
      </w:pPr>
      <w:r>
        <w:rPr>
          <w:sz w:val="20"/>
        </w:rPr>
        <w:t xml:space="preserve">7.4. Отметку оси насосов следует определять по </w:t>
      </w:r>
      <w:hyperlink w:history="0" r:id="rId49"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w:t>
      </w:r>
    </w:p>
    <w:p>
      <w:pPr>
        <w:pStyle w:val="0"/>
        <w:spacing w:before="200" w:line-rule="auto"/>
        <w:ind w:firstLine="540"/>
        <w:jc w:val="both"/>
      </w:pPr>
      <w:r>
        <w:rPr>
          <w:sz w:val="20"/>
        </w:rPr>
        <w:t xml:space="preserve">7.5. Количество всасывающих линий к насосной станции независимо от числа и групп установленных насосов, включая пожарные, должно быть не менее двух.</w:t>
      </w:r>
    </w:p>
    <w:p>
      <w:pPr>
        <w:pStyle w:val="0"/>
        <w:spacing w:before="200" w:line-rule="auto"/>
        <w:ind w:firstLine="540"/>
        <w:jc w:val="both"/>
      </w:pPr>
      <w:r>
        <w:rPr>
          <w:sz w:val="20"/>
        </w:rPr>
        <w:t xml:space="preserve">7.6. Количество напорных линий от насосных станций I и II категорий должно быть не менее двух.</w:t>
      </w:r>
    </w:p>
    <w:p>
      <w:pPr>
        <w:pStyle w:val="0"/>
        <w:spacing w:before="200" w:line-rule="auto"/>
        <w:ind w:firstLine="540"/>
        <w:jc w:val="both"/>
      </w:pPr>
      <w:r>
        <w:rPr>
          <w:sz w:val="20"/>
        </w:rPr>
        <w:t xml:space="preserve">7.7. При выключении одной всасывающей линии насосной станции, остальные следует рассчитывать на пропуск полного расчетного расхода воды на тушение пожара.</w:t>
      </w:r>
    </w:p>
    <w:p>
      <w:pPr>
        <w:pStyle w:val="0"/>
        <w:spacing w:before="200" w:line-rule="auto"/>
        <w:ind w:firstLine="540"/>
        <w:jc w:val="both"/>
      </w:pPr>
      <w:r>
        <w:rPr>
          <w:sz w:val="20"/>
        </w:rPr>
        <w:t xml:space="preserve">7.8. Насосные станции противопожарного водоснабжения допускается размещать на первом, цокольном или первом подземном этажах зданий класса функциональной пожарной опасности Ф5, при этом они должны быть отделены противопожарными преградами с пределами огнестойкости REI 120 и иметь отдельный выход непосредственно наружу.</w:t>
      </w:r>
    </w:p>
    <w:p>
      <w:pPr>
        <w:pStyle w:val="0"/>
        <w:jc w:val="both"/>
      </w:pPr>
      <w:r>
        <w:rPr>
          <w:sz w:val="20"/>
        </w:rPr>
      </w:r>
    </w:p>
    <w:p>
      <w:pPr>
        <w:pStyle w:val="2"/>
        <w:outlineLvl w:val="1"/>
        <w:ind w:firstLine="540"/>
        <w:jc w:val="both"/>
      </w:pPr>
      <w:r>
        <w:rPr>
          <w:sz w:val="20"/>
        </w:rPr>
        <w:t xml:space="preserve">8. Водопроводные сети и сооружения на них</w:t>
      </w:r>
    </w:p>
    <w:p>
      <w:pPr>
        <w:pStyle w:val="0"/>
        <w:jc w:val="both"/>
      </w:pPr>
      <w:r>
        <w:rPr>
          <w:sz w:val="20"/>
        </w:rPr>
      </w:r>
    </w:p>
    <w:p>
      <w:pPr>
        <w:pStyle w:val="0"/>
        <w:ind w:firstLine="540"/>
        <w:jc w:val="both"/>
      </w:pPr>
      <w:r>
        <w:rPr>
          <w:sz w:val="20"/>
        </w:rPr>
        <w:t xml:space="preserve">8.1. Системы водоснабжения по степени обеспеченности подачи воды подразделяются на категории по </w:t>
      </w:r>
      <w:hyperlink w:history="0" r:id="rId50"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w:t>
      </w:r>
    </w:p>
    <w:p>
      <w:pPr>
        <w:pStyle w:val="0"/>
        <w:spacing w:before="200" w:line-rule="auto"/>
        <w:ind w:firstLine="540"/>
        <w:jc w:val="both"/>
      </w:pPr>
      <w:r>
        <w:rPr>
          <w:sz w:val="20"/>
        </w:rPr>
        <w:t xml:space="preserve">Элементы систем водоснабжения II категории, повреждения которых могут нарушить подачу воды на пожаротушение, должны относиться к I категории.</w:t>
      </w:r>
    </w:p>
    <w:p>
      <w:pPr>
        <w:pStyle w:val="0"/>
        <w:spacing w:before="200" w:line-rule="auto"/>
        <w:ind w:firstLine="540"/>
        <w:jc w:val="both"/>
      </w:pPr>
      <w:r>
        <w:rPr>
          <w:sz w:val="20"/>
        </w:rPr>
        <w:t xml:space="preserve">8.2. Расчеты совместной работы водоводов, водопроводных сетей, насосных станций и регулирующих емкостей систем водоснабжения населенных пунктов следует выполнять для характерных режимов подачи воды по </w:t>
      </w:r>
      <w:hyperlink w:history="0" r:id="rId51"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w:t>
      </w:r>
    </w:p>
    <w:p>
      <w:pPr>
        <w:pStyle w:val="0"/>
        <w:spacing w:before="200" w:line-rule="auto"/>
        <w:ind w:firstLine="540"/>
        <w:jc w:val="both"/>
      </w:pPr>
      <w:r>
        <w:rPr>
          <w:sz w:val="20"/>
        </w:rPr>
        <w:t xml:space="preserve">8.3. При прокладке водоводов в две или более линии необходимость устройства переключений между водоводами определяется по </w:t>
      </w:r>
      <w:hyperlink w:history="0" r:id="rId52"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w:t>
      </w:r>
    </w:p>
    <w:p>
      <w:pPr>
        <w:pStyle w:val="0"/>
        <w:spacing w:before="200" w:line-rule="auto"/>
        <w:ind w:firstLine="540"/>
        <w:jc w:val="both"/>
      </w:pPr>
      <w:r>
        <w:rPr>
          <w:sz w:val="20"/>
        </w:rPr>
        <w:t xml:space="preserve">8.4. При прокладке водовода в одну линию и подаче воды от одного источника водоснабжения должен быть предусмотрен дополнительный пожарный объем воды на время ликвидации аварии на водоводе в соответствии с </w:t>
      </w:r>
      <w:hyperlink w:history="0" w:anchor="P740" w:tooltip="9.2. Пожарный объем воды в резервуарах определяется исходя из расчетного расхода воды на наружное пожаротушение и продолжительности тушения пожара согласно требованиям раздела 5 из условия обеспечения:">
        <w:r>
          <w:rPr>
            <w:sz w:val="20"/>
            <w:color w:val="0000ff"/>
          </w:rPr>
          <w:t xml:space="preserve">пунктом 9.2</w:t>
        </w:r>
      </w:hyperlink>
      <w:r>
        <w:rPr>
          <w:sz w:val="20"/>
        </w:rPr>
        <w:t xml:space="preserve"> настоящего свода правил.</w:t>
      </w:r>
    </w:p>
    <w:p>
      <w:pPr>
        <w:pStyle w:val="0"/>
        <w:spacing w:before="200" w:line-rule="auto"/>
        <w:ind w:firstLine="540"/>
        <w:jc w:val="both"/>
      </w:pPr>
      <w:r>
        <w:rPr>
          <w:sz w:val="20"/>
        </w:rPr>
        <w:t xml:space="preserve">8.5. Водопроводные сети должны быть, как правило, кольцевыми. Тупиковые линии водопроводов допускается применять для подачи воды на противопожарные нужды независимо от расхода воды на пожаротушение при длине линии не свыше 200 м.</w:t>
      </w:r>
    </w:p>
    <w:p>
      <w:pPr>
        <w:pStyle w:val="0"/>
        <w:spacing w:before="200" w:line-rule="auto"/>
        <w:ind w:firstLine="540"/>
        <w:jc w:val="both"/>
      </w:pPr>
      <w:r>
        <w:rPr>
          <w:sz w:val="20"/>
        </w:rPr>
        <w:t xml:space="preserve">Кольцевание наружных водопроводных сетей внутренними водопроводными сетями зданий не допускается.</w:t>
      </w:r>
    </w:p>
    <w:p>
      <w:pPr>
        <w:pStyle w:val="0"/>
        <w:spacing w:before="200" w:line-rule="auto"/>
        <w:ind w:firstLine="540"/>
        <w:jc w:val="both"/>
      </w:pPr>
      <w:r>
        <w:rPr>
          <w:sz w:val="20"/>
        </w:rPr>
        <w:t xml:space="preserve">Примечание: в населенных пунктах с числом жителей до 5 тыс. чел.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 содержащих расчетный пожарный объем воды.</w:t>
      </w:r>
    </w:p>
    <w:p>
      <w:pPr>
        <w:pStyle w:val="0"/>
        <w:jc w:val="both"/>
      </w:pPr>
      <w:r>
        <w:rPr>
          <w:sz w:val="20"/>
        </w:rPr>
      </w:r>
    </w:p>
    <w:p>
      <w:pPr>
        <w:pStyle w:val="0"/>
        <w:ind w:firstLine="540"/>
        <w:jc w:val="both"/>
      </w:pPr>
      <w:r>
        <w:rPr>
          <w:sz w:val="20"/>
        </w:rPr>
        <w:t xml:space="preserve">8.6. Разделение водопроводной сети на ремонтные участки по </w:t>
      </w:r>
      <w:hyperlink w:history="0" r:id="rId53"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 должно обеспечивать при выключении одного из участков отключение не более пяти пожарных гидрантов.</w:t>
      </w:r>
    </w:p>
    <w:p>
      <w:pPr>
        <w:pStyle w:val="0"/>
        <w:spacing w:before="200" w:line-rule="auto"/>
        <w:ind w:firstLine="540"/>
        <w:jc w:val="both"/>
      </w:pPr>
      <w:r>
        <w:rPr>
          <w:sz w:val="20"/>
        </w:rPr>
        <w:t xml:space="preserve">8.7. При устройстве сопроводительных или дублирующих линий по </w:t>
      </w:r>
      <w:hyperlink w:history="0" r:id="rId54"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 пожарные гидранты следует устанавливать на сопроводительных или дублирующих линиях.</w:t>
      </w:r>
    </w:p>
    <w:p>
      <w:pPr>
        <w:pStyle w:val="0"/>
        <w:spacing w:before="200" w:line-rule="auto"/>
        <w:ind w:firstLine="540"/>
        <w:jc w:val="both"/>
      </w:pPr>
      <w:r>
        <w:rPr>
          <w:sz w:val="20"/>
        </w:rPr>
        <w:t xml:space="preserve">8.8. Пожарные гидранты необходимо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w:t>
      </w:r>
    </w:p>
    <w:p>
      <w:pPr>
        <w:pStyle w:val="0"/>
        <w:spacing w:before="200" w:line-rule="auto"/>
        <w:ind w:firstLine="540"/>
        <w:jc w:val="both"/>
      </w:pPr>
      <w:r>
        <w:rPr>
          <w:sz w:val="20"/>
        </w:rPr>
        <w:t xml:space="preserve">Пожарные гидранты следует устанавливать на кольцевых участках водопроводных линий. Допускается установка пожарных гидрантов на тупиковых линиях водопровода с учетом требований п. 8.5 и принятия мер против замерзания воды в них.</w:t>
      </w:r>
    </w:p>
    <w:p>
      <w:pPr>
        <w:pStyle w:val="0"/>
        <w:spacing w:before="200" w:line-rule="auto"/>
        <w:ind w:firstLine="540"/>
        <w:jc w:val="both"/>
      </w:pPr>
      <w:r>
        <w:rPr>
          <w:sz w:val="20"/>
        </w:rPr>
        <w:t xml:space="preserve">Установка гидрантов на ответвлении от тупиковой линии водопровода или на вводе в здание не допускается.</w:t>
      </w:r>
    </w:p>
    <w:bookmarkStart w:id="716" w:name="P716"/>
    <w:bookmarkEnd w:id="716"/>
    <w:p>
      <w:pPr>
        <w:pStyle w:val="0"/>
        <w:spacing w:before="200" w:line-rule="auto"/>
        <w:ind w:firstLine="540"/>
        <w:jc w:val="both"/>
      </w:pPr>
      <w:r>
        <w:rPr>
          <w:sz w:val="20"/>
        </w:rPr>
        <w:t xml:space="preserve">8.9. Расстановка пожарных гидрантов на водопроводной сети должна обеспечивать подачу воды с расчетным расходом на пожаротушение любой точки обслуживаемого данной сетью здания на уровне нулевой отметки не менее чем от двух гидрантов при расходе воды на наружное пожаротушение 15 л/с и более или от одного гидранта - при расходе воды менее 15 л/с с учетом прокладки рукавных линий длиной не более 200 м по дорогам с твердым покрытием.</w:t>
      </w:r>
    </w:p>
    <w:p>
      <w:pPr>
        <w:pStyle w:val="0"/>
        <w:spacing w:before="200" w:line-rule="auto"/>
        <w:ind w:firstLine="540"/>
        <w:jc w:val="both"/>
      </w:pPr>
      <w:r>
        <w:rPr>
          <w:sz w:val="20"/>
        </w:rPr>
        <w:t xml:space="preserve">Примечание: дороги с твердым покрытием - дороги с облегченным или переходным типом дорожной одежды по </w:t>
      </w:r>
      <w:hyperlink w:history="0" r:id="rId55" w:tooltip="&quot;СП 37.13330.2012. Свод правил. Промышленный транспорт. Актуализированная редакция СНиП 2.05.07-91*&quot; (утв. Приказом Минрегиона России от 29.12.2011 N 635/7) (ред. от 29.12.2020) {КонсультантПлюс}">
        <w:r>
          <w:rPr>
            <w:sz w:val="20"/>
            <w:color w:val="0000ff"/>
          </w:rPr>
          <w:t xml:space="preserve">СП 37.13330.2012</w:t>
        </w:r>
      </w:hyperlink>
      <w:r>
        <w:rPr>
          <w:sz w:val="20"/>
        </w:rPr>
        <w:t xml:space="preserve"> Промышленный транспорт. Актуализированная редакция СНиП 2.05.07-91*.</w:t>
      </w:r>
    </w:p>
    <w:p>
      <w:pPr>
        <w:pStyle w:val="0"/>
        <w:jc w:val="both"/>
      </w:pPr>
      <w:r>
        <w:rPr>
          <w:sz w:val="20"/>
        </w:rPr>
      </w:r>
    </w:p>
    <w:p>
      <w:pPr>
        <w:pStyle w:val="0"/>
        <w:ind w:firstLine="540"/>
        <w:jc w:val="both"/>
      </w:pPr>
      <w:r>
        <w:rPr>
          <w:sz w:val="20"/>
        </w:rPr>
        <w:t xml:space="preserve">8.10. Количество пожарных гидрантов и расстояние между ними определяют расчетом, исходя из суммарного расхода воды на пожаротушение и пропускной способности устанавливаемого типа гидрантов, с учетом требований </w:t>
      </w:r>
      <w:hyperlink w:history="0" w:anchor="P716" w:tooltip="8.9. Расстановка пожарных гидрантов на водопроводной сети должна обеспечивать подачу воды с расчетным расходом на пожаротушение любой точки обслуживаемого данной сетью здания на уровне нулевой отметки не менее чем от двух гидрантов при расходе воды на наружное пожаротушение 15 л/с и более или от одного гидранта - при расходе воды менее 15 л/с с учетом прокладки рукавных линий длиной не более 200 м по дорогам с твердым покрытием.">
        <w:r>
          <w:rPr>
            <w:sz w:val="20"/>
            <w:color w:val="0000ff"/>
          </w:rPr>
          <w:t xml:space="preserve">пункта 8.9</w:t>
        </w:r>
      </w:hyperlink>
      <w:r>
        <w:rPr>
          <w:sz w:val="20"/>
        </w:rPr>
        <w:t xml:space="preserve"> настоящего свода правил.</w:t>
      </w:r>
    </w:p>
    <w:p>
      <w:pPr>
        <w:pStyle w:val="0"/>
        <w:spacing w:before="200" w:line-rule="auto"/>
        <w:ind w:firstLine="540"/>
        <w:jc w:val="both"/>
      </w:pPr>
      <w:r>
        <w:rPr>
          <w:sz w:val="20"/>
        </w:rPr>
        <w:t xml:space="preserve">Примечание: на сети водопровода населенных пунктов с числом жителей до 500 чел. вместо гидрантов допускается устанавливать стояки диаметром 80 мм с пожарными кранами.</w:t>
      </w:r>
    </w:p>
    <w:p>
      <w:pPr>
        <w:pStyle w:val="0"/>
        <w:jc w:val="both"/>
      </w:pPr>
      <w:r>
        <w:rPr>
          <w:sz w:val="20"/>
        </w:rPr>
      </w:r>
    </w:p>
    <w:p>
      <w:pPr>
        <w:pStyle w:val="0"/>
        <w:ind w:firstLine="540"/>
        <w:jc w:val="both"/>
      </w:pPr>
      <w:r>
        <w:rPr>
          <w:sz w:val="20"/>
        </w:rPr>
        <w:t xml:space="preserve">8.11. Для размещения гидрантов на сети противопожарного водопровода высокого давления потери напора в рукавной линии определяют по формуле:</w:t>
      </w:r>
    </w:p>
    <w:p>
      <w:pPr>
        <w:pStyle w:val="0"/>
        <w:jc w:val="both"/>
      </w:pPr>
      <w:r>
        <w:rPr>
          <w:sz w:val="20"/>
        </w:rPr>
      </w:r>
    </w:p>
    <w:p>
      <w:pPr>
        <w:pStyle w:val="0"/>
        <w:jc w:val="center"/>
      </w:pPr>
      <w:r>
        <w:rPr>
          <w:sz w:val="20"/>
        </w:rPr>
        <w:t xml:space="preserve">h = Sp x n x q</w:t>
      </w:r>
      <w:r>
        <w:rPr>
          <w:sz w:val="20"/>
          <w:vertAlign w:val="superscript"/>
        </w:rPr>
        <w:t xml:space="preserve">2</w:t>
      </w:r>
      <w:r>
        <w:rPr>
          <w:sz w:val="20"/>
        </w:rPr>
        <w:t xml:space="preserve">, (2)</w:t>
      </w:r>
    </w:p>
    <w:p>
      <w:pPr>
        <w:pStyle w:val="0"/>
        <w:jc w:val="both"/>
      </w:pPr>
      <w:r>
        <w:rPr>
          <w:sz w:val="20"/>
        </w:rPr>
      </w:r>
    </w:p>
    <w:p>
      <w:pPr>
        <w:pStyle w:val="0"/>
        <w:ind w:firstLine="540"/>
        <w:jc w:val="both"/>
      </w:pPr>
      <w:r>
        <w:rPr>
          <w:sz w:val="20"/>
        </w:rPr>
        <w:t xml:space="preserve">где h - потери напора в рукавной линии, м вод. ст.;</w:t>
      </w:r>
    </w:p>
    <w:p>
      <w:pPr>
        <w:pStyle w:val="0"/>
        <w:spacing w:before="200" w:line-rule="auto"/>
        <w:ind w:firstLine="540"/>
        <w:jc w:val="both"/>
      </w:pPr>
      <w:r>
        <w:rPr>
          <w:sz w:val="20"/>
        </w:rPr>
        <w:t xml:space="preserve">Sp - сопротивление одного рукава, (с/л) </w:t>
      </w:r>
      <w:r>
        <w:rPr>
          <w:sz w:val="20"/>
          <w:vertAlign w:val="superscript"/>
        </w:rPr>
        <w:t xml:space="preserve">2</w:t>
      </w:r>
      <w:r>
        <w:rPr>
          <w:sz w:val="20"/>
        </w:rPr>
        <w:t xml:space="preserve">м (определяется заводом-изготовителем);</w:t>
      </w:r>
    </w:p>
    <w:p>
      <w:pPr>
        <w:pStyle w:val="0"/>
        <w:spacing w:before="200" w:line-rule="auto"/>
        <w:ind w:firstLine="540"/>
        <w:jc w:val="both"/>
      </w:pPr>
      <w:r>
        <w:rPr>
          <w:sz w:val="20"/>
        </w:rPr>
        <w:t xml:space="preserve">n - количество рукавов в линии, ед.</w:t>
      </w:r>
    </w:p>
    <w:p>
      <w:pPr>
        <w:pStyle w:val="0"/>
        <w:spacing w:before="200" w:line-rule="auto"/>
        <w:ind w:firstLine="540"/>
        <w:jc w:val="both"/>
      </w:pPr>
      <w:r>
        <w:rPr>
          <w:sz w:val="20"/>
        </w:rPr>
        <w:t xml:space="preserve">q - расчетный расход воды, л/с.</w:t>
      </w:r>
    </w:p>
    <w:p>
      <w:pPr>
        <w:pStyle w:val="0"/>
        <w:spacing w:before="200" w:line-rule="auto"/>
        <w:ind w:firstLine="540"/>
        <w:jc w:val="both"/>
      </w:pPr>
      <w:r>
        <w:rPr>
          <w:sz w:val="20"/>
        </w:rPr>
        <w:t xml:space="preserve">8.12. Водопроводные линии, как правило, следует прокладывать под землей. Прокладка водопроводных линий в тоннелях совместно с трубопроводами, транспортирующими легковоспламеняющиеся и горючие жидкости и горючие газы, не допускается.</w:t>
      </w:r>
    </w:p>
    <w:p>
      <w:pPr>
        <w:pStyle w:val="0"/>
        <w:spacing w:before="200" w:line-rule="auto"/>
        <w:ind w:firstLine="540"/>
        <w:jc w:val="both"/>
      </w:pPr>
      <w:r>
        <w:rPr>
          <w:sz w:val="20"/>
        </w:rPr>
        <w:t xml:space="preserve">При прокладке линий противопожарных водопроводов под землей или в тоннелях пожарные гидранты должны устанавливаться в колодцах.</w:t>
      </w:r>
    </w:p>
    <w:p>
      <w:pPr>
        <w:pStyle w:val="0"/>
        <w:spacing w:before="200" w:line-rule="auto"/>
        <w:ind w:firstLine="540"/>
        <w:jc w:val="both"/>
      </w:pPr>
      <w:r>
        <w:rPr>
          <w:sz w:val="20"/>
        </w:rPr>
        <w:t xml:space="preserve">При наземной и надземной прокладке водопровода пожарные гидранты устанавливаются непосредственно на сети. При этом конструктивное исполнение пожарных гидрантов и отключающей арматуры, а также условия их размещения должны исключать замерзание воды при отрицательных температурах наружного воздуха.</w:t>
      </w:r>
    </w:p>
    <w:p>
      <w:pPr>
        <w:pStyle w:val="0"/>
        <w:spacing w:before="200" w:line-rule="auto"/>
        <w:ind w:firstLine="540"/>
        <w:jc w:val="both"/>
      </w:pPr>
      <w:r>
        <w:rPr>
          <w:sz w:val="20"/>
        </w:rPr>
        <w:t xml:space="preserve">8.13. Диаметр труб противопожарного водопровода в населенных пунктах и на промышленных предприятиях должен быть не менее 100 мм, в населенных пунктах с числом жителей не более 5 тыс. чел - не менее 75 мм.</w:t>
      </w:r>
    </w:p>
    <w:p>
      <w:pPr>
        <w:pStyle w:val="0"/>
        <w:spacing w:before="200" w:line-rule="auto"/>
        <w:ind w:firstLine="540"/>
        <w:jc w:val="both"/>
      </w:pPr>
      <w:r>
        <w:rPr>
          <w:sz w:val="20"/>
        </w:rPr>
        <w:t xml:space="preserve">8.14. При определении размеров колодцев по </w:t>
      </w:r>
      <w:hyperlink w:history="0" r:id="rId56"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 следует обеспечить возможность установки в колодце пожарной колонки.</w:t>
      </w:r>
    </w:p>
    <w:p>
      <w:pPr>
        <w:pStyle w:val="0"/>
        <w:spacing w:before="200" w:line-rule="auto"/>
        <w:ind w:firstLine="540"/>
        <w:jc w:val="both"/>
      </w:pPr>
      <w:r>
        <w:rPr>
          <w:sz w:val="20"/>
        </w:rPr>
        <w:t xml:space="preserve">Установка пожарных гидрантов в общем колодце с запорной арматурой, имеющей электропривод, не допускается.</w:t>
      </w:r>
    </w:p>
    <w:p>
      <w:pPr>
        <w:pStyle w:val="0"/>
        <w:jc w:val="both"/>
      </w:pPr>
      <w:r>
        <w:rPr>
          <w:sz w:val="20"/>
        </w:rPr>
      </w:r>
    </w:p>
    <w:p>
      <w:pPr>
        <w:pStyle w:val="2"/>
        <w:outlineLvl w:val="1"/>
        <w:ind w:firstLine="540"/>
        <w:jc w:val="both"/>
      </w:pPr>
      <w:r>
        <w:rPr>
          <w:sz w:val="20"/>
        </w:rPr>
        <w:t xml:space="preserve">9. Емкости для хранения воды</w:t>
      </w:r>
    </w:p>
    <w:p>
      <w:pPr>
        <w:pStyle w:val="0"/>
        <w:jc w:val="both"/>
      </w:pPr>
      <w:r>
        <w:rPr>
          <w:sz w:val="20"/>
        </w:rPr>
      </w:r>
    </w:p>
    <w:p>
      <w:pPr>
        <w:pStyle w:val="0"/>
        <w:ind w:firstLine="540"/>
        <w:jc w:val="both"/>
      </w:pPr>
      <w:r>
        <w:rPr>
          <w:sz w:val="20"/>
        </w:rPr>
        <w:t xml:space="preserve">9.1.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в емкостях (резервуарах) систем водоснабжения следует предусматривать пожарный объем воды.</w:t>
      </w:r>
    </w:p>
    <w:bookmarkStart w:id="740" w:name="P740"/>
    <w:bookmarkEnd w:id="740"/>
    <w:p>
      <w:pPr>
        <w:pStyle w:val="0"/>
        <w:spacing w:before="200" w:line-rule="auto"/>
        <w:ind w:firstLine="540"/>
        <w:jc w:val="both"/>
      </w:pPr>
      <w:r>
        <w:rPr>
          <w:sz w:val="20"/>
        </w:rPr>
        <w:t xml:space="preserve">9.2. Пожарный объем воды в резервуарах определяется исходя из расчетного расхода воды на наружное пожаротушение и продолжительности тушения пожара согласно требованиям </w:t>
      </w:r>
      <w:hyperlink w:history="0" w:anchor="P121" w:tooltip="5. Расходы воды на наружное пожаротушение">
        <w:r>
          <w:rPr>
            <w:sz w:val="20"/>
            <w:color w:val="0000ff"/>
          </w:rPr>
          <w:t xml:space="preserve">раздела 5</w:t>
        </w:r>
      </w:hyperlink>
      <w:r>
        <w:rPr>
          <w:sz w:val="20"/>
        </w:rPr>
        <w:t xml:space="preserve"> из условия обеспечения:</w:t>
      </w:r>
    </w:p>
    <w:p>
      <w:pPr>
        <w:pStyle w:val="0"/>
        <w:spacing w:before="200" w:line-rule="auto"/>
        <w:ind w:firstLine="540"/>
        <w:jc w:val="both"/>
      </w:pPr>
      <w:r>
        <w:rPr>
          <w:sz w:val="20"/>
        </w:rPr>
        <w:t xml:space="preserve">пожаротушения из пожарных гидрантов и внутренних пожарных кранов;</w:t>
      </w:r>
    </w:p>
    <w:p>
      <w:pPr>
        <w:pStyle w:val="0"/>
        <w:spacing w:before="200" w:line-rule="auto"/>
        <w:ind w:firstLine="540"/>
        <w:jc w:val="both"/>
      </w:pPr>
      <w:r>
        <w:rPr>
          <w:sz w:val="20"/>
        </w:rPr>
        <w:t xml:space="preserve">специальных средств пожаротушения (спринклеров, дренчеров и др.), не имеющих собственных резервуаров.</w:t>
      </w:r>
    </w:p>
    <w:p>
      <w:pPr>
        <w:pStyle w:val="0"/>
        <w:spacing w:before="200" w:line-rule="auto"/>
        <w:ind w:firstLine="540"/>
        <w:jc w:val="both"/>
      </w:pPr>
      <w:r>
        <w:rPr>
          <w:sz w:val="20"/>
        </w:rPr>
        <w:t xml:space="preserve">Примечание: при определении пожарного объема воды в резервуарах допускается учитывать пополнение его во время тушения пожара, если подача воды в них осуществляется системами водоснабжения I и II категорий.</w:t>
      </w:r>
    </w:p>
    <w:p>
      <w:pPr>
        <w:pStyle w:val="0"/>
        <w:jc w:val="both"/>
      </w:pPr>
      <w:r>
        <w:rPr>
          <w:sz w:val="20"/>
        </w:rPr>
      </w:r>
    </w:p>
    <w:p>
      <w:pPr>
        <w:pStyle w:val="0"/>
        <w:ind w:firstLine="540"/>
        <w:jc w:val="both"/>
      </w:pPr>
      <w:r>
        <w:rPr>
          <w:sz w:val="20"/>
        </w:rPr>
        <w:t xml:space="preserve">9.3. Пожарный объем воды в баках водонапорных башен должен рассчитываться на тушение одного пожара в здании с использованием пожарных гидрантов и пожарных кранов внутреннего противопожарного водопровода в течение десяти минут при одновременном наибольшем расходе воды на другие нужды.</w:t>
      </w:r>
    </w:p>
    <w:p>
      <w:pPr>
        <w:pStyle w:val="0"/>
        <w:spacing w:before="200" w:line-rule="auto"/>
        <w:ind w:firstLine="540"/>
        <w:jc w:val="both"/>
      </w:pPr>
      <w:r>
        <w:rPr>
          <w:sz w:val="20"/>
        </w:rPr>
        <w:t xml:space="preserve">Примечание: допускается хранение в баках водонапорных башен полного пожарного объема воды, определенного в соответствии с </w:t>
      </w:r>
      <w:hyperlink w:history="0" w:anchor="P740" w:tooltip="9.2. Пожарный объем воды в резервуарах определяется исходя из расчетного расхода воды на наружное пожаротушение и продолжительности тушения пожара согласно требованиям раздела 5 из условия обеспечения:">
        <w:r>
          <w:rPr>
            <w:sz w:val="20"/>
            <w:color w:val="0000ff"/>
          </w:rPr>
          <w:t xml:space="preserve">пунктом 9.2</w:t>
        </w:r>
      </w:hyperlink>
      <w:r>
        <w:rPr>
          <w:sz w:val="20"/>
        </w:rPr>
        <w:t xml:space="preserve"> настоящего свода правил.</w:t>
      </w:r>
    </w:p>
    <w:p>
      <w:pPr>
        <w:pStyle w:val="0"/>
        <w:jc w:val="both"/>
      </w:pPr>
      <w:r>
        <w:rPr>
          <w:sz w:val="20"/>
        </w:rPr>
      </w:r>
    </w:p>
    <w:p>
      <w:pPr>
        <w:pStyle w:val="0"/>
        <w:ind w:firstLine="540"/>
        <w:jc w:val="both"/>
      </w:pPr>
      <w:r>
        <w:rPr>
          <w:sz w:val="20"/>
        </w:rPr>
        <w:t xml:space="preserve">9.4. При подаче воды по одному водоводу в емкостях следует предусматривать дополнительный пожарный объем воды в размере, определенном согласно </w:t>
      </w:r>
      <w:hyperlink w:history="0" w:anchor="P740" w:tooltip="9.2. Пожарный объем воды в резервуарах определяется исходя из расчетного расхода воды на наружное пожаротушение и продолжительности тушения пожара согласно требованиям раздела 5 из условия обеспечения:">
        <w:r>
          <w:rPr>
            <w:sz w:val="20"/>
            <w:color w:val="0000ff"/>
          </w:rPr>
          <w:t xml:space="preserve">пункту 9.2</w:t>
        </w:r>
      </w:hyperlink>
      <w:r>
        <w:rPr>
          <w:sz w:val="20"/>
        </w:rPr>
        <w:t xml:space="preserve"> настоящего свода правил.</w:t>
      </w:r>
    </w:p>
    <w:p>
      <w:pPr>
        <w:pStyle w:val="0"/>
        <w:spacing w:before="200" w:line-rule="auto"/>
        <w:ind w:firstLine="540"/>
        <w:jc w:val="both"/>
      </w:pPr>
      <w:r>
        <w:rPr>
          <w:sz w:val="20"/>
        </w:rPr>
        <w:t xml:space="preserve">Примечание: дополнительный объем воды на пожаротушение допускается не предусматривать при длине одной линии водовода не более 500 м до населенных пунктов с числом жителей до 5000 чел., а также до промышленных и сельскохозяйственных предприятий при расходе воды на наружное пожаротушение не более 40 л/с.</w:t>
      </w:r>
    </w:p>
    <w:p>
      <w:pPr>
        <w:pStyle w:val="0"/>
        <w:jc w:val="both"/>
      </w:pPr>
      <w:r>
        <w:rPr>
          <w:sz w:val="20"/>
        </w:rPr>
      </w:r>
    </w:p>
    <w:p>
      <w:pPr>
        <w:pStyle w:val="0"/>
        <w:ind w:firstLine="540"/>
        <w:jc w:val="both"/>
      </w:pPr>
      <w:r>
        <w:rPr>
          <w:sz w:val="20"/>
        </w:rPr>
        <w:t xml:space="preserve">9.5. Количество резервуаров для хранения пожарного объема воды в одном водопроводном узле должно быть не менее двух.</w:t>
      </w:r>
    </w:p>
    <w:p>
      <w:pPr>
        <w:pStyle w:val="0"/>
        <w:spacing w:before="200" w:line-rule="auto"/>
        <w:ind w:firstLine="540"/>
        <w:jc w:val="both"/>
      </w:pPr>
      <w:r>
        <w:rPr>
          <w:sz w:val="20"/>
        </w:rPr>
        <w:t xml:space="preserve">При выключении одного резервуара в остальных должно храниться не менее 50% пожарного объема воды.</w:t>
      </w:r>
    </w:p>
    <w:p>
      <w:pPr>
        <w:pStyle w:val="0"/>
        <w:spacing w:before="200" w:line-rule="auto"/>
        <w:ind w:firstLine="540"/>
        <w:jc w:val="both"/>
      </w:pPr>
      <w:r>
        <w:rPr>
          <w:sz w:val="20"/>
        </w:rPr>
        <w:t xml:space="preserve">Оборудование резервуаров должно обеспечивать сохранность пожарного объема воды, а также возможность независимого включения и опорожнения каждого резервуара.</w:t>
      </w:r>
    </w:p>
    <w:p>
      <w:pPr>
        <w:pStyle w:val="0"/>
        <w:spacing w:before="200" w:line-rule="auto"/>
        <w:ind w:firstLine="540"/>
        <w:jc w:val="both"/>
      </w:pPr>
      <w:r>
        <w:rPr>
          <w:sz w:val="20"/>
        </w:rPr>
        <w:t xml:space="preserve">9.6. Вне резервуара или водонапорной башни следует предусматривать устройство для отбора воды пожарными автомобилями (мотопомпами) по </w:t>
      </w:r>
      <w:hyperlink w:history="0" r:id="rId57"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w:t>
      </w:r>
    </w:p>
    <w:p>
      <w:pPr>
        <w:pStyle w:val="0"/>
        <w:spacing w:before="200" w:line-rule="auto"/>
        <w:ind w:firstLine="540"/>
        <w:jc w:val="both"/>
      </w:pPr>
      <w:r>
        <w:rPr>
          <w:sz w:val="20"/>
        </w:rPr>
        <w:t xml:space="preserve">9.7. Напорные резервуары и водонапорные башни противопожарных водопроводов высокого давления должны быть оборудованы автоматическими устройствами, обеспечивающими их отключение при пуске пожарных насосов.</w:t>
      </w:r>
    </w:p>
    <w:p>
      <w:pPr>
        <w:pStyle w:val="0"/>
        <w:jc w:val="both"/>
      </w:pPr>
      <w:r>
        <w:rPr>
          <w:sz w:val="20"/>
        </w:rPr>
      </w:r>
    </w:p>
    <w:p>
      <w:pPr>
        <w:pStyle w:val="2"/>
        <w:outlineLvl w:val="1"/>
        <w:ind w:firstLine="540"/>
        <w:jc w:val="both"/>
      </w:pPr>
      <w:r>
        <w:rPr>
          <w:sz w:val="20"/>
        </w:rPr>
        <w:t xml:space="preserve">10. Пожарные резервуары и водоемы</w:t>
      </w:r>
    </w:p>
    <w:p>
      <w:pPr>
        <w:pStyle w:val="0"/>
        <w:jc w:val="both"/>
      </w:pPr>
      <w:r>
        <w:rPr>
          <w:sz w:val="20"/>
        </w:rPr>
      </w:r>
    </w:p>
    <w:p>
      <w:pPr>
        <w:pStyle w:val="0"/>
        <w:ind w:firstLine="540"/>
        <w:jc w:val="both"/>
      </w:pPr>
      <w:r>
        <w:rPr>
          <w:sz w:val="20"/>
        </w:rPr>
        <w:t xml:space="preserve">10.1. Перечень объектов защиты, для которых наружное противопожарное водоснабжение допускается предусматривать из пожарных резервуаров и водоемов, установлен Техническим </w:t>
      </w:r>
      <w:hyperlink w:history="0" r:id="rId58"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регламентом</w:t>
        </w:r>
      </w:hyperlink>
      <w:r>
        <w:rPr>
          <w:sz w:val="20"/>
        </w:rPr>
        <w:t xml:space="preserve">. При этом отбор воды на тушение пожара предусматривается непосредственно из указанных водоисточников насосами пожарных автомобилей (мотопомпами), устройство противопожарного водопровода не требуется.</w:t>
      </w:r>
    </w:p>
    <w:p>
      <w:pPr>
        <w:pStyle w:val="0"/>
        <w:spacing w:before="200" w:line-rule="auto"/>
        <w:ind w:firstLine="540"/>
        <w:jc w:val="both"/>
      </w:pPr>
      <w:r>
        <w:rPr>
          <w:sz w:val="20"/>
        </w:rPr>
        <w:t xml:space="preserve">10.2. Объем пожарных резервуаров и водоемов надлежит определять исходя из расчетного расхода воды на наружное пожаротушение и продолжительности тушения пожара.</w:t>
      </w:r>
    </w:p>
    <w:p>
      <w:pPr>
        <w:pStyle w:val="0"/>
        <w:spacing w:before="200" w:line-rule="auto"/>
        <w:ind w:firstLine="540"/>
        <w:jc w:val="both"/>
      </w:pPr>
      <w:r>
        <w:rPr>
          <w:sz w:val="20"/>
        </w:rPr>
        <w:t xml:space="preserve">Примечание: объем открытых водоемов необходимо рассчитывать с учетом возможного испарения воды и образования льда. Превышение кромки открытого водоема над наивысшим уровнем воды в нем должно быть не менее 0,5 м.</w:t>
      </w:r>
    </w:p>
    <w:p>
      <w:pPr>
        <w:pStyle w:val="0"/>
        <w:jc w:val="both"/>
      </w:pPr>
      <w:r>
        <w:rPr>
          <w:sz w:val="20"/>
        </w:rPr>
      </w:r>
    </w:p>
    <w:p>
      <w:pPr>
        <w:pStyle w:val="0"/>
        <w:ind w:firstLine="540"/>
        <w:jc w:val="both"/>
      </w:pPr>
      <w:r>
        <w:rPr>
          <w:sz w:val="20"/>
        </w:rPr>
        <w:t xml:space="preserve">10.3. Количество пожарных резервуаров или искусственных водоемов должно быть не менее двух, при этом в каждом из них должно храниться 50% объема воды на пожаротушение.</w:t>
      </w:r>
    </w:p>
    <w:p>
      <w:pPr>
        <w:pStyle w:val="0"/>
        <w:spacing w:before="200" w:line-rule="auto"/>
        <w:ind w:firstLine="540"/>
        <w:jc w:val="both"/>
      </w:pPr>
      <w:r>
        <w:rPr>
          <w:sz w:val="20"/>
        </w:rPr>
        <w:t xml:space="preserve">Расстояние между пожарными резервуарами или искусственными водоемами следует принимать в соответствии с </w:t>
      </w:r>
      <w:hyperlink w:history="0" w:anchor="P765" w:tooltip="10.4. Пожарные резервуары или искусственные водоемы надлежит размещать из условия обслуживания ими зданий, находящихся в радиусе:">
        <w:r>
          <w:rPr>
            <w:sz w:val="20"/>
            <w:color w:val="0000ff"/>
          </w:rPr>
          <w:t xml:space="preserve">пунктом 10.4</w:t>
        </w:r>
      </w:hyperlink>
      <w:r>
        <w:rPr>
          <w:sz w:val="20"/>
        </w:rPr>
        <w:t xml:space="preserve"> настоящего свода правил, при этом подача воды в любую точку пожара должна обеспечиваться из двух соседних резервуаров или водоемов.</w:t>
      </w:r>
    </w:p>
    <w:bookmarkStart w:id="765" w:name="P765"/>
    <w:bookmarkEnd w:id="765"/>
    <w:p>
      <w:pPr>
        <w:pStyle w:val="0"/>
        <w:spacing w:before="200" w:line-rule="auto"/>
        <w:ind w:firstLine="540"/>
        <w:jc w:val="both"/>
      </w:pPr>
      <w:r>
        <w:rPr>
          <w:sz w:val="20"/>
        </w:rPr>
        <w:t xml:space="preserve">10.4. Пожарные резервуары или искусственные водоемы надлежит размещать из условия обслуживания ими зданий, находящихся в радиусе:</w:t>
      </w:r>
    </w:p>
    <w:p>
      <w:pPr>
        <w:pStyle w:val="0"/>
        <w:spacing w:before="200" w:line-rule="auto"/>
        <w:ind w:firstLine="540"/>
        <w:jc w:val="both"/>
      </w:pPr>
      <w:r>
        <w:rPr>
          <w:sz w:val="20"/>
        </w:rPr>
        <w:t xml:space="preserve">при заборе воды насосами пожарных автомобилей - 200 м;</w:t>
      </w:r>
    </w:p>
    <w:p>
      <w:pPr>
        <w:pStyle w:val="0"/>
        <w:spacing w:before="200" w:line-rule="auto"/>
        <w:ind w:firstLine="540"/>
        <w:jc w:val="both"/>
      </w:pPr>
      <w:r>
        <w:rPr>
          <w:sz w:val="20"/>
        </w:rPr>
        <w:t xml:space="preserve">при заборе воды мотопомпами - 100 - 150 м (в зависимости от типа мотопомп).</w:t>
      </w:r>
    </w:p>
    <w:p>
      <w:pPr>
        <w:pStyle w:val="0"/>
        <w:spacing w:before="200" w:line-rule="auto"/>
        <w:ind w:firstLine="540"/>
        <w:jc w:val="both"/>
      </w:pPr>
      <w:r>
        <w:rPr>
          <w:sz w:val="20"/>
        </w:rPr>
        <w:t xml:space="preserve">Для увеличения радиуса обслуживания допускается прокладка от резервуаров или водоемов тупиковых трубопроводов длиной не более 200 м с устройством приемных колодцев в соответствии с </w:t>
      </w:r>
      <w:hyperlink w:history="0" w:anchor="P771" w:tooltip="10.7. Если непосредственный забор воды из пожарного резервуара или водоема автонасосами или мотопомпами затруднен, надлежит предусматривать приемные колодцы объемом 3 - 5 м3. Диаметр трубопровода, соединяющего резервуар или водоем с приемным колодцем, следует принимать из условия пропуска расчетного расхода воды на наружное пожаротушение, но не менее 200 мм. Перед приемным колодцем на соединительном трубопроводе следует устанавливать колодец с задвижкой, штурвал которой должен быть выведен под крышку люка.">
        <w:r>
          <w:rPr>
            <w:sz w:val="20"/>
            <w:color w:val="0000ff"/>
          </w:rPr>
          <w:t xml:space="preserve">пунктом 10.7</w:t>
        </w:r>
      </w:hyperlink>
      <w:r>
        <w:rPr>
          <w:sz w:val="20"/>
        </w:rPr>
        <w:t xml:space="preserve"> настоящего свода правил.</w:t>
      </w:r>
    </w:p>
    <w:bookmarkStart w:id="769" w:name="P769"/>
    <w:bookmarkEnd w:id="769"/>
    <w:p>
      <w:pPr>
        <w:pStyle w:val="0"/>
        <w:spacing w:before="200" w:line-rule="auto"/>
        <w:ind w:firstLine="540"/>
        <w:jc w:val="both"/>
      </w:pPr>
      <w:r>
        <w:rPr>
          <w:sz w:val="20"/>
        </w:rPr>
        <w:t xml:space="preserve">10.5. Расстояние от точки забора воды из резервуаров или водоемов до зданий III, IV и V степеней огнестойкости, до открытых складов горючих материалов и оборудования, содержащего легковоспламеняющиеся и горючие жидкости или горючие газы, должно быть не менее 30 м, до зданий I и II степеней огнестойкости - не менее 10 м.</w:t>
      </w:r>
    </w:p>
    <w:p>
      <w:pPr>
        <w:pStyle w:val="0"/>
        <w:spacing w:before="200" w:line-rule="auto"/>
        <w:ind w:firstLine="540"/>
        <w:jc w:val="both"/>
      </w:pPr>
      <w:r>
        <w:rPr>
          <w:sz w:val="20"/>
        </w:rPr>
        <w:t xml:space="preserve">10.6. Пожарные резервуары должны быть оборудованы устройствами для отбора воды пожарными автомобилями (мотопомпами). Пожарные резервуары и водоемы оборудовать переливными и спускными трубопроводами не требуется.</w:t>
      </w:r>
    </w:p>
    <w:bookmarkStart w:id="771" w:name="P771"/>
    <w:bookmarkEnd w:id="771"/>
    <w:p>
      <w:pPr>
        <w:pStyle w:val="0"/>
        <w:spacing w:before="200" w:line-rule="auto"/>
        <w:ind w:firstLine="540"/>
        <w:jc w:val="both"/>
      </w:pPr>
      <w:r>
        <w:rPr>
          <w:sz w:val="20"/>
        </w:rPr>
        <w:t xml:space="preserve">10.7. Если непосредственный забор воды из пожарного резервуара или водоема автонасосами или мотопомпами затруднен, надлежит предусматривать приемные колодцы объемом 3 - 5 м</w:t>
      </w:r>
      <w:r>
        <w:rPr>
          <w:sz w:val="20"/>
          <w:vertAlign w:val="superscript"/>
        </w:rPr>
        <w:t xml:space="preserve">3</w:t>
      </w:r>
      <w:r>
        <w:rPr>
          <w:sz w:val="20"/>
        </w:rPr>
        <w:t xml:space="preserve">. Диаметр трубопровода, соединяющего резервуар или водоем с приемным колодцем, следует принимать из условия пропуска расчетного расхода воды на наружное пожаротушение, но не менее 200 мм. Перед приемным колодцем на соединительном трубопроводе следует устанавливать колодец с задвижкой, штурвал которой должен быть выведен под крышку люка.</w:t>
      </w:r>
    </w:p>
    <w:p>
      <w:pPr>
        <w:pStyle w:val="0"/>
        <w:spacing w:before="200" w:line-rule="auto"/>
        <w:ind w:firstLine="540"/>
        <w:jc w:val="both"/>
      </w:pPr>
      <w:r>
        <w:rPr>
          <w:sz w:val="20"/>
        </w:rPr>
        <w:t xml:space="preserve">На соединительном трубопроводе со стороны водоема следует предусматривать решетку.</w:t>
      </w:r>
    </w:p>
    <w:bookmarkStart w:id="773" w:name="P773"/>
    <w:bookmarkEnd w:id="773"/>
    <w:p>
      <w:pPr>
        <w:pStyle w:val="0"/>
        <w:spacing w:before="200" w:line-rule="auto"/>
        <w:ind w:firstLine="540"/>
        <w:jc w:val="both"/>
      </w:pPr>
      <w:r>
        <w:rPr>
          <w:sz w:val="20"/>
        </w:rPr>
        <w:t xml:space="preserve">10.8. Водные ресурсы естественных водоемов (водотоков), используемых в качестве пожарных, должны обеспечивать расчетные расходы воды согласно требованиям </w:t>
      </w:r>
      <w:hyperlink w:history="0" w:anchor="P123" w:tooltip="5.1. Для расчета магистральных (расчетных кольцевых) линий водопроводной сети населенного пункта расход воды на наружное пожаротушение (на один пожар) и количество одновременных пожаров следует принимать по таблице 1. При этом принятое значение расхода воды на наружное пожаротушение должно быть не менее расхода воды для расчета соединительных и распределительных линий водопроводной сети населенного пункта, а также водопроводной сети внутри микрорайона или квартала в соответствии с пунктом 5.2 настоящего ...">
        <w:r>
          <w:rPr>
            <w:sz w:val="20"/>
            <w:color w:val="0000ff"/>
          </w:rPr>
          <w:t xml:space="preserve">пунктов 5.1</w:t>
        </w:r>
      </w:hyperlink>
      <w:r>
        <w:rPr>
          <w:sz w:val="20"/>
        </w:rPr>
        <w:t xml:space="preserve"> - </w:t>
      </w:r>
      <w:hyperlink w:history="0" w:anchor="P292" w:tooltip="5.3. Расход воды на наружное пожаротушение на промышленных и сельскохозяйственных предприятиях на один пожар должен приниматься для здания, требующего наибольшего расхода воды, по таблицам 3 и 4.">
        <w:r>
          <w:rPr>
            <w:sz w:val="20"/>
            <w:color w:val="0000ff"/>
          </w:rPr>
          <w:t xml:space="preserve">5.3</w:t>
        </w:r>
      </w:hyperlink>
      <w:r>
        <w:rPr>
          <w:sz w:val="20"/>
        </w:rPr>
        <w:t xml:space="preserve"> настоящего свода правил в течение времени тушения пожара, установленного </w:t>
      </w:r>
      <w:hyperlink w:history="0" w:anchor="P658" w:tooltip="5.17. Продолжительность тушения пожара должна приниматься 3 ч. Для зданий I и II степеней огнестойкости с негорючими несущими конструкциями и утеплителем с помещениями категорий Г и Д по пожарной и взрывопожарной опасности - 2 ч.">
        <w:r>
          <w:rPr>
            <w:sz w:val="20"/>
            <w:color w:val="0000ff"/>
          </w:rPr>
          <w:t xml:space="preserve">пунктом 5.17</w:t>
        </w:r>
      </w:hyperlink>
      <w:r>
        <w:rPr>
          <w:sz w:val="20"/>
        </w:rPr>
        <w:t xml:space="preserve"> настоящего свода правил.</w:t>
      </w:r>
    </w:p>
    <w:p>
      <w:pPr>
        <w:pStyle w:val="0"/>
        <w:spacing w:before="200" w:line-rule="auto"/>
        <w:ind w:firstLine="540"/>
        <w:jc w:val="both"/>
      </w:pPr>
      <w:r>
        <w:rPr>
          <w:sz w:val="20"/>
        </w:rPr>
        <w:t xml:space="preserve">Размещение мест забора воды из указанных водоисточников должно отвечать требованиям </w:t>
      </w:r>
      <w:hyperlink w:history="0" w:anchor="P765" w:tooltip="10.4. Пожарные резервуары или искусственные водоемы надлежит размещать из условия обслуживания ими зданий, находящихся в радиусе:">
        <w:r>
          <w:rPr>
            <w:sz w:val="20"/>
            <w:color w:val="0000ff"/>
          </w:rPr>
          <w:t xml:space="preserve">пунктов 10.4</w:t>
        </w:r>
      </w:hyperlink>
      <w:r>
        <w:rPr>
          <w:sz w:val="20"/>
        </w:rPr>
        <w:t xml:space="preserve">, </w:t>
      </w:r>
      <w:hyperlink w:history="0" w:anchor="P769" w:tooltip="10.5. Расстояние от точки забора воды из резервуаров или водоемов до зданий III, IV и V степеней огнестойкости, до открытых складов горючих материалов и оборудования, содержащего легковоспламеняющиеся и горючие жидкости или горючие газы, должно быть не менее 30 м, до зданий I и II степеней огнестойкости - не менее 10 м.">
        <w:r>
          <w:rPr>
            <w:sz w:val="20"/>
            <w:color w:val="0000ff"/>
          </w:rPr>
          <w:t xml:space="preserve">10.5</w:t>
        </w:r>
      </w:hyperlink>
      <w:r>
        <w:rPr>
          <w:sz w:val="20"/>
        </w:rPr>
        <w:t xml:space="preserve"> настоящего свода правил.</w:t>
      </w:r>
    </w:p>
    <w:p>
      <w:pPr>
        <w:pStyle w:val="0"/>
        <w:spacing w:before="200" w:line-rule="auto"/>
        <w:ind w:firstLine="540"/>
        <w:jc w:val="both"/>
      </w:pPr>
      <w:r>
        <w:rPr>
          <w:sz w:val="20"/>
        </w:rPr>
        <w:t xml:space="preserve">Для увеличения радиуса обслуживания допускается прокладка тупиковых трубопроводов длиной не более 200 м с устройством приемных колодцев согласно </w:t>
      </w:r>
      <w:hyperlink w:history="0" w:anchor="P765" w:tooltip="10.4. Пожарные резервуары или искусственные водоемы надлежит размещать из условия обслуживания ими зданий, находящихся в радиусе:">
        <w:r>
          <w:rPr>
            <w:sz w:val="20"/>
            <w:color w:val="0000ff"/>
          </w:rPr>
          <w:t xml:space="preserve">пунктам 10.4</w:t>
        </w:r>
      </w:hyperlink>
      <w:r>
        <w:rPr>
          <w:sz w:val="20"/>
        </w:rPr>
        <w:t xml:space="preserve">, </w:t>
      </w:r>
      <w:hyperlink w:history="0" w:anchor="P771" w:tooltip="10.7. Если непосредственный забор воды из пожарного резервуара или водоема автонасосами или мотопомпами затруднен, надлежит предусматривать приемные колодцы объемом 3 - 5 м3. Диаметр трубопровода, соединяющего резервуар или водоем с приемным колодцем, следует принимать из условия пропуска расчетного расхода воды на наружное пожаротушение, но не менее 200 мм. Перед приемным колодцем на соединительном трубопроводе следует устанавливать колодец с задвижкой, штурвал которой должен быть выведен под крышку люка.">
        <w:r>
          <w:rPr>
            <w:sz w:val="20"/>
            <w:color w:val="0000ff"/>
          </w:rPr>
          <w:t xml:space="preserve">10.7</w:t>
        </w:r>
      </w:hyperlink>
      <w:r>
        <w:rPr>
          <w:sz w:val="20"/>
        </w:rPr>
        <w:t xml:space="preserve"> настоящего свода правил.</w:t>
      </w:r>
    </w:p>
    <w:p>
      <w:pPr>
        <w:pStyle w:val="0"/>
        <w:spacing w:before="200" w:line-rule="auto"/>
        <w:ind w:firstLine="540"/>
        <w:jc w:val="both"/>
      </w:pPr>
      <w:r>
        <w:rPr>
          <w:sz w:val="20"/>
        </w:rPr>
        <w:t xml:space="preserve">10.9. Если требования </w:t>
      </w:r>
      <w:hyperlink w:history="0" w:anchor="P773" w:tooltip="10.8. Водные ресурсы естественных водоемов (водотоков), используемых в качестве пожарных, должны обеспечивать расчетные расходы воды согласно требованиям пунктов 5.1 - 5.3 настоящего свода правил в течение времени тушения пожара, установленного пунктом 5.17 настоящего свода правил.">
        <w:r>
          <w:rPr>
            <w:sz w:val="20"/>
            <w:color w:val="0000ff"/>
          </w:rPr>
          <w:t xml:space="preserve">пункта 10.8</w:t>
        </w:r>
      </w:hyperlink>
      <w:r>
        <w:rPr>
          <w:sz w:val="20"/>
        </w:rPr>
        <w:t xml:space="preserve"> настоящего свода правил к естественным водоемам (водотокам) не могут быть обеспечены следует предусматривать дополнительный резервуар (водоем) с 50% запасом воды на пожаротушение.</w:t>
      </w:r>
    </w:p>
    <w:p>
      <w:pPr>
        <w:pStyle w:val="0"/>
        <w:spacing w:before="200" w:line-rule="auto"/>
        <w:ind w:firstLine="540"/>
        <w:jc w:val="both"/>
      </w:pPr>
      <w:r>
        <w:rPr>
          <w:sz w:val="20"/>
        </w:rPr>
        <w:t xml:space="preserve">10.10. К пожарным резервуарам, водоемам, приемным колодцам,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(пирсами) с твердым покрытием для установки пожарных автомобилей и забора воды. Размер таких площадок должен быть не менее 12 x 12 метров.</w:t>
      </w:r>
    </w:p>
    <w:p>
      <w:pPr>
        <w:pStyle w:val="0"/>
        <w:spacing w:before="200" w:line-rule="auto"/>
        <w:ind w:firstLine="540"/>
        <w:jc w:val="both"/>
      </w:pPr>
      <w:r>
        <w:rPr>
          <w:sz w:val="20"/>
        </w:rPr>
        <w:t xml:space="preserve">Превышение площадок (пирсов) над низшей отметкой уровня воды в пожарном водоеме следует принимать с учетом вакуумметрической высоты всасывания насосов имеющихся пожарных автомобилей (мотопомп).</w:t>
      </w:r>
    </w:p>
    <w:p>
      <w:pPr>
        <w:pStyle w:val="0"/>
        <w:spacing w:before="200" w:line-rule="auto"/>
        <w:ind w:firstLine="540"/>
        <w:jc w:val="both"/>
      </w:pPr>
      <w:r>
        <w:rPr>
          <w:sz w:val="20"/>
        </w:rPr>
        <w:t xml:space="preserve">10.11. Пожарные резервуары и их оборудование должны быть защищены от замерзания воды. Допускается предусматривать подогрев воды в пожарных резервуарах с помощью водяных или паровых нагревательных приборов, подключенных к системам центрального отопления зданий, а также с помощью электрических водонагревателей и греющих кабелей.</w:t>
      </w:r>
    </w:p>
    <w:p>
      <w:pPr>
        <w:pStyle w:val="0"/>
        <w:jc w:val="both"/>
      </w:pPr>
      <w:r>
        <w:rPr>
          <w:sz w:val="20"/>
        </w:rPr>
      </w:r>
    </w:p>
    <w:p>
      <w:pPr>
        <w:pStyle w:val="2"/>
        <w:outlineLvl w:val="1"/>
        <w:ind w:firstLine="540"/>
        <w:jc w:val="both"/>
      </w:pPr>
      <w:r>
        <w:rPr>
          <w:sz w:val="20"/>
        </w:rPr>
        <w:t xml:space="preserve">11. Электрооборудование, технологический контроль, автоматизация и системы управления</w:t>
      </w:r>
    </w:p>
    <w:p>
      <w:pPr>
        <w:pStyle w:val="0"/>
        <w:jc w:val="both"/>
      </w:pPr>
      <w:r>
        <w:rPr>
          <w:sz w:val="20"/>
        </w:rPr>
      </w:r>
    </w:p>
    <w:p>
      <w:pPr>
        <w:pStyle w:val="0"/>
        <w:ind w:firstLine="540"/>
        <w:jc w:val="both"/>
      </w:pPr>
      <w:r>
        <w:rPr>
          <w:sz w:val="20"/>
        </w:rPr>
        <w:t xml:space="preserve">11.1. Электрооборудование, системы автоматизации, управления и технологического контроля систем противопожарного водоснабжения следует проектировать в соответствии с указаниями </w:t>
      </w:r>
      <w:hyperlink w:history="0" r:id="rId59"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w:t>
      </w:r>
    </w:p>
    <w:p>
      <w:pPr>
        <w:pStyle w:val="0"/>
        <w:spacing w:before="200" w:line-rule="auto"/>
        <w:ind w:firstLine="540"/>
        <w:jc w:val="both"/>
      </w:pPr>
      <w:r>
        <w:rPr>
          <w:sz w:val="20"/>
        </w:rPr>
        <w:t xml:space="preserve">11.2. Категории надежности электроснабжения электроприемников сооружений систем водоснабжения следует определять по требованиям </w:t>
      </w:r>
      <w:hyperlink w:history="0" r:id="rId60" w:tooltip="Приказ Минэнерго РФ от 08.07.2002 N 204 &quot;Об утверждении глав Правил устройства электроустановок&quot; (вместе с &quot;Правилами устройства электроустановок. Издание седьмое. Раздел 1. Общие правила. Главы 1.1, 1.2, 1.7, 1.9. Раздел 7. Электрооборудование специальных установок. Главы 7.5, 7.6, 7.10&quot;) {КонсультантПлюс}">
        <w:r>
          <w:rPr>
            <w:sz w:val="20"/>
            <w:color w:val="0000ff"/>
          </w:rPr>
          <w:t xml:space="preserve">Правил</w:t>
        </w:r>
      </w:hyperlink>
      <w:r>
        <w:rPr>
          <w:sz w:val="20"/>
        </w:rPr>
        <w:t xml:space="preserve"> устройства электроустановок </w:t>
      </w:r>
      <w:hyperlink w:history="0" w:anchor="P817" w:tooltip="[3] Правила устройства электроустановок. Издание седьмое.">
        <w:r>
          <w:rPr>
            <w:sz w:val="20"/>
            <w:color w:val="0000ff"/>
          </w:rPr>
          <w:t xml:space="preserve">[3]</w:t>
        </w:r>
      </w:hyperlink>
      <w:r>
        <w:rPr>
          <w:sz w:val="20"/>
        </w:rPr>
        <w:t xml:space="preserve">.</w:t>
      </w:r>
    </w:p>
    <w:p>
      <w:pPr>
        <w:pStyle w:val="0"/>
        <w:spacing w:before="200" w:line-rule="auto"/>
        <w:ind w:firstLine="540"/>
        <w:jc w:val="both"/>
      </w:pPr>
      <w:r>
        <w:rPr>
          <w:sz w:val="20"/>
        </w:rPr>
        <w:t xml:space="preserve">Категория надежности электроснабжения насосной станции должна быть такой же, как категория насосной станции, принятая в соответствии с </w:t>
      </w:r>
      <w:hyperlink w:history="0" w:anchor="P686" w:tooltip="7.2. Насосные станции, подающие воду непосредственно в сеть противопожарного водопровода, следует относить к I категории.">
        <w:r>
          <w:rPr>
            <w:sz w:val="20"/>
            <w:color w:val="0000ff"/>
          </w:rPr>
          <w:t xml:space="preserve">пунктом 7.2</w:t>
        </w:r>
      </w:hyperlink>
      <w:r>
        <w:rPr>
          <w:sz w:val="20"/>
        </w:rPr>
        <w:t xml:space="preserve"> настоящего свода правил.</w:t>
      </w:r>
    </w:p>
    <w:bookmarkStart w:id="786" w:name="P786"/>
    <w:bookmarkEnd w:id="786"/>
    <w:p>
      <w:pPr>
        <w:pStyle w:val="0"/>
        <w:spacing w:before="200" w:line-rule="auto"/>
        <w:ind w:firstLine="540"/>
        <w:jc w:val="both"/>
      </w:pPr>
      <w:r>
        <w:rPr>
          <w:sz w:val="20"/>
        </w:rPr>
        <w:t xml:space="preserve">11.3. Насосные станции должны проектироваться, как правило, без постоянного обслуживающего персонала с управлением:</w:t>
      </w:r>
    </w:p>
    <w:p>
      <w:pPr>
        <w:pStyle w:val="0"/>
        <w:spacing w:before="200" w:line-rule="auto"/>
        <w:ind w:firstLine="540"/>
        <w:jc w:val="both"/>
      </w:pPr>
      <w:r>
        <w:rPr>
          <w:sz w:val="20"/>
        </w:rPr>
        <w:t xml:space="preserve">автоматическим - в зависимости от технологических параметров (уровня воды в емкостях, давления или расхода воды в сети);</w:t>
      </w:r>
    </w:p>
    <w:p>
      <w:pPr>
        <w:pStyle w:val="0"/>
        <w:spacing w:before="200" w:line-rule="auto"/>
        <w:ind w:firstLine="540"/>
        <w:jc w:val="both"/>
      </w:pPr>
      <w:r>
        <w:rPr>
          <w:sz w:val="20"/>
        </w:rPr>
        <w:t xml:space="preserve">дистанционным (телемеханическим) - из пункта управления;</w:t>
      </w:r>
    </w:p>
    <w:p>
      <w:pPr>
        <w:pStyle w:val="0"/>
        <w:spacing w:before="200" w:line-rule="auto"/>
        <w:ind w:firstLine="540"/>
        <w:jc w:val="both"/>
      </w:pPr>
      <w:r>
        <w:rPr>
          <w:sz w:val="20"/>
        </w:rPr>
        <w:t xml:space="preserve">местным - периодически приходящим персоналом с передачей необходимых сигналов на пункт управления или пункт с постоянным присутствием обслуживающего персонала.</w:t>
      </w:r>
    </w:p>
    <w:p>
      <w:pPr>
        <w:pStyle w:val="0"/>
        <w:spacing w:before="200" w:line-rule="auto"/>
        <w:ind w:firstLine="540"/>
        <w:jc w:val="both"/>
      </w:pPr>
      <w:r>
        <w:rPr>
          <w:sz w:val="20"/>
        </w:rPr>
        <w:t xml:space="preserve">11.4. Управление пожарными насосами должно соответствовать требованиям </w:t>
      </w:r>
      <w:hyperlink w:history="0" w:anchor="P786" w:tooltip="11.3. Насосные станции должны проектироваться, как правило, без постоянного обслуживающего персонала с управлением:">
        <w:r>
          <w:rPr>
            <w:sz w:val="20"/>
            <w:color w:val="0000ff"/>
          </w:rPr>
          <w:t xml:space="preserve">пункта 11.3</w:t>
        </w:r>
      </w:hyperlink>
      <w:r>
        <w:rPr>
          <w:sz w:val="20"/>
        </w:rPr>
        <w:t xml:space="preserve"> настоящего свода правил, при этом одновременно с включением пожарного насоса должна автоматически сниматься блокировка, исключающая возможность подачи неприкосновенного пожарного объема воды, а также должны выключаться промывные насосы (при их наличии). В противопожарных водопроводах высокого давления одновременно с включением пожарных насосов должны автоматически выключаться все насосы другого назначения и закрываться задвижки на подающем трубопроводе в водонапорную башню или напорные резервуары.</w:t>
      </w:r>
    </w:p>
    <w:p>
      <w:pPr>
        <w:pStyle w:val="0"/>
        <w:spacing w:before="200" w:line-rule="auto"/>
        <w:ind w:firstLine="540"/>
        <w:jc w:val="both"/>
      </w:pPr>
      <w:r>
        <w:rPr>
          <w:sz w:val="20"/>
        </w:rPr>
        <w:t xml:space="preserve">11.5. В резервуарах и баках с запасами воды на цели пожаротушения следует предусматривать измерение уровней воды и их контроль (при необходимости) для использования в системах автоматики или передачи сигналов в насосную станцию или пункт управления.</w:t>
      </w:r>
    </w:p>
    <w:p>
      <w:pPr>
        <w:pStyle w:val="0"/>
        <w:spacing w:before="200" w:line-rule="auto"/>
        <w:ind w:firstLine="540"/>
        <w:jc w:val="both"/>
      </w:pPr>
      <w:r>
        <w:rPr>
          <w:sz w:val="20"/>
        </w:rPr>
        <w:t xml:space="preserve">11.6. Оборудование насосных станций должно обеспечивать автоматическое информирование дежурного персонала о возникновении неисправности линий связи (контроль напряжения в цепях управления и сигнализации пожарных насосов) между техническими средствами, входящими в состав установки, посредством звуковой и (или) световой сигнализации.</w:t>
      </w:r>
    </w:p>
    <w:p>
      <w:pPr>
        <w:pStyle w:val="0"/>
        <w:spacing w:before="200" w:line-rule="auto"/>
        <w:ind w:firstLine="540"/>
        <w:jc w:val="both"/>
      </w:pPr>
      <w:r>
        <w:rPr>
          <w:sz w:val="20"/>
        </w:rPr>
        <w:t xml:space="preserve">11.7. Диспетчерское управление системой противопожарного водоснабжения должно обеспечиваться телефонной связью пункта управления с контролируемыми сооружениями, службами эксплуатации сооружений, диспетчером энергосистемы, организацией, эксплуатирующей водопровод и пожарной охраной.</w:t>
      </w:r>
    </w:p>
    <w:p>
      <w:pPr>
        <w:pStyle w:val="0"/>
        <w:jc w:val="both"/>
      </w:pPr>
      <w:r>
        <w:rPr>
          <w:sz w:val="20"/>
        </w:rPr>
      </w:r>
    </w:p>
    <w:p>
      <w:pPr>
        <w:pStyle w:val="2"/>
        <w:outlineLvl w:val="1"/>
        <w:ind w:firstLine="540"/>
        <w:jc w:val="both"/>
      </w:pPr>
      <w:r>
        <w:rPr>
          <w:sz w:val="20"/>
        </w:rPr>
        <w:t xml:space="preserve">12. Дополнительные требования к системам противопожарного водоснабжения в особых природных и климатических условиях</w:t>
      </w:r>
    </w:p>
    <w:p>
      <w:pPr>
        <w:pStyle w:val="0"/>
        <w:jc w:val="both"/>
      </w:pPr>
      <w:r>
        <w:rPr>
          <w:sz w:val="20"/>
        </w:rPr>
      </w:r>
    </w:p>
    <w:p>
      <w:pPr>
        <w:pStyle w:val="0"/>
        <w:ind w:firstLine="540"/>
        <w:jc w:val="both"/>
      </w:pPr>
      <w:r>
        <w:rPr>
          <w:sz w:val="20"/>
        </w:rPr>
        <w:t xml:space="preserve">12.1. Системы противопожарного водоснабжения в особых природных и климатических условиях следует проектировать в соответствии с указаниями </w:t>
      </w:r>
      <w:hyperlink w:history="0" r:id="rId61"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w:t>
      </w:r>
    </w:p>
    <w:p>
      <w:pPr>
        <w:pStyle w:val="0"/>
        <w:spacing w:before="200" w:line-rule="auto"/>
        <w:ind w:firstLine="540"/>
        <w:jc w:val="both"/>
      </w:pPr>
      <w:r>
        <w:rPr>
          <w:sz w:val="20"/>
        </w:rPr>
        <w:t xml:space="preserve">12.2. 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pPr>
        <w:pStyle w:val="0"/>
        <w:spacing w:before="200" w:line-rule="auto"/>
        <w:ind w:firstLine="540"/>
        <w:jc w:val="both"/>
      </w:pPr>
      <w:r>
        <w:rPr>
          <w:sz w:val="20"/>
        </w:rPr>
        <w:t xml:space="preserve">12.3. В системах противопожарного водоснабжения в районах с сейсмичностью 8 баллов и более при использовании одного источника водоснабжения (в том числе поверхностного при заборе воды в одном створе) в емкостях надлежит предусматривать пожарный объем воды в два раза больше определяемого в соответствии с </w:t>
      </w:r>
      <w:hyperlink w:history="0" w:anchor="P740" w:tooltip="9.2. Пожарный объем воды в резервуарах определяется исходя из расчетного расхода воды на наружное пожаротушение и продолжительности тушения пожара согласно требованиям раздела 5 из условия обеспечения:">
        <w:r>
          <w:rPr>
            <w:sz w:val="20"/>
            <w:color w:val="0000ff"/>
          </w:rPr>
          <w:t xml:space="preserve">пунктом 9.2</w:t>
        </w:r>
      </w:hyperlink>
      <w:r>
        <w:rPr>
          <w:sz w:val="20"/>
        </w:rPr>
        <w:t xml:space="preserve"> настоящего свода правил.</w:t>
      </w:r>
    </w:p>
    <w:p>
      <w:pPr>
        <w:pStyle w:val="0"/>
        <w:spacing w:before="200" w:line-rule="auto"/>
        <w:ind w:firstLine="540"/>
        <w:jc w:val="both"/>
      </w:pPr>
      <w:r>
        <w:rPr>
          <w:sz w:val="20"/>
        </w:rPr>
        <w:t xml:space="preserve">12.4. Расчетное число одновременных пожаров в районах с сейсмичностью 9 баллов и более необходимо принимать на один больше, чем указано в </w:t>
      </w:r>
      <w:hyperlink w:history="0" w:anchor="P123" w:tooltip="5.1. Для расчета магистральных (расчетных кольцевых) линий водопроводной сети населенного пункта расход воды на наружное пожаротушение (на один пожар) и количество одновременных пожаров следует принимать по таблице 1. При этом принятое значение расхода воды на наружное пожаротушение должно быть не менее расхода воды для расчета соединительных и распределительных линий водопроводной сети населенного пункта, а также водопроводной сети внутри микрорайона или квартала в соответствии с пунктом 5.2 настоящего ...">
        <w:r>
          <w:rPr>
            <w:sz w:val="20"/>
            <w:color w:val="0000ff"/>
          </w:rPr>
          <w:t xml:space="preserve">пунктах 5.1</w:t>
        </w:r>
      </w:hyperlink>
      <w:r>
        <w:rPr>
          <w:sz w:val="20"/>
        </w:rPr>
        <w:t xml:space="preserve">, </w:t>
      </w:r>
      <w:hyperlink w:history="0" w:anchor="P653" w:tooltip="5.15. Расчетное количество одновременных пожаров на промышленном или сельскохозяйственном предприятии следует принимать в зависимости от занимаемой ими площади: один пожар - при площади до 150 га, два пожара - при площади более 150 га.">
        <w:r>
          <w:rPr>
            <w:sz w:val="20"/>
            <w:color w:val="0000ff"/>
          </w:rPr>
          <w:t xml:space="preserve">5.15</w:t>
        </w:r>
      </w:hyperlink>
      <w:r>
        <w:rPr>
          <w:sz w:val="20"/>
        </w:rPr>
        <w:t xml:space="preserve"> и </w:t>
      </w:r>
      <w:hyperlink w:history="0" w:anchor="P654" w:tooltip="5.16. При объединенном противопожарном водопроводе населенного пункта и промышленного или сельскохозяйственного предприятия, расположенных вне населенного пункта, расчетное количество одновременных пожаров следует принимать:">
        <w:r>
          <w:rPr>
            <w:sz w:val="20"/>
            <w:color w:val="0000ff"/>
          </w:rPr>
          <w:t xml:space="preserve">5.16</w:t>
        </w:r>
      </w:hyperlink>
      <w:r>
        <w:rPr>
          <w:sz w:val="20"/>
        </w:rPr>
        <w:t xml:space="preserve"> настоящего свода правил (за исключением населенных пунктов, предприятий и отдельно стоящих зданий при расходе воды на наружное пожаротушение не более 15 л/с).</w:t>
      </w:r>
    </w:p>
    <w:p>
      <w:pPr>
        <w:pStyle w:val="0"/>
        <w:spacing w:before="200" w:line-rule="auto"/>
        <w:ind w:firstLine="540"/>
        <w:jc w:val="both"/>
      </w:pPr>
      <w:r>
        <w:rPr>
          <w:sz w:val="20"/>
        </w:rPr>
        <w:t xml:space="preserve">12.5.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w:t>
      </w:r>
      <w:hyperlink w:history="0" r:id="rId62"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31.13330.2012</w:t>
        </w:r>
      </w:hyperlink>
      <w:r>
        <w:rPr>
          <w:sz w:val="20"/>
        </w:rPr>
        <w:t xml:space="preserve"> Водоснабжение. Наружные сети и сооружения. Актуализированная редакция СНиП 2.04.02-84*.</w:t>
      </w:r>
    </w:p>
    <w:p>
      <w:pPr>
        <w:pStyle w:val="0"/>
        <w:spacing w:before="200" w:line-rule="auto"/>
        <w:ind w:firstLine="540"/>
        <w:jc w:val="both"/>
      </w:pPr>
      <w:r>
        <w:rPr>
          <w:sz w:val="20"/>
        </w:rPr>
        <w:t xml:space="preserve">12.6. В районах с сейсмичностью 7 баллов и более насосные станции противопожарного водопровода не допускается блокировать с производственными зданиями и сооружениями.</w:t>
      </w:r>
    </w:p>
    <w:p>
      <w:pPr>
        <w:pStyle w:val="0"/>
        <w:spacing w:before="200" w:line-rule="auto"/>
        <w:ind w:firstLine="540"/>
        <w:jc w:val="both"/>
      </w:pPr>
      <w:r>
        <w:rPr>
          <w:sz w:val="20"/>
        </w:rPr>
        <w:t xml:space="preserve">При блокировке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pPr>
        <w:pStyle w:val="0"/>
        <w:spacing w:before="200" w:line-rule="auto"/>
        <w:ind w:firstLine="540"/>
        <w:jc w:val="both"/>
      </w:pPr>
      <w:r>
        <w:rPr>
          <w:sz w:val="20"/>
        </w:rPr>
        <w:t xml:space="preserve">12.7. В районах с сейсмичностью 7 баллов и более количество резервуаров с пожарным объемом воды в 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p>
      <w:pPr>
        <w:pStyle w:val="0"/>
        <w:spacing w:before="200" w:line-rule="auto"/>
        <w:ind w:firstLine="540"/>
        <w:jc w:val="both"/>
      </w:pPr>
      <w:r>
        <w:rPr>
          <w:sz w:val="20"/>
        </w:rPr>
        <w:t xml:space="preserve">12.8. При проектировании наружного противопожарного водоснабжения в районах с многолетнемерзлыми грунтами предохранение транспортируемой воды от замерзания предусматривается одним или несколькими способами: тепловая изоляция трубопроводов; подогрев воды; подогрев трубопроводов; непрерывное движение воды в трубопроводах; повышение гидродинамического трения в трубопроводах; применение стальной арматуры в исполнении, устойчивом от замерзания; установка автоматических выпусков воды.</w:t>
      </w:r>
    </w:p>
    <w:p>
      <w:pPr>
        <w:pStyle w:val="0"/>
        <w:spacing w:before="200" w:line-rule="auto"/>
        <w:ind w:firstLine="540"/>
        <w:jc w:val="both"/>
      </w:pPr>
      <w:r>
        <w:rPr>
          <w:sz w:val="20"/>
        </w:rPr>
        <w:t xml:space="preserve">Резервуары вместимостью до 100 м</w:t>
      </w:r>
      <w:r>
        <w:rPr>
          <w:sz w:val="20"/>
          <w:vertAlign w:val="superscript"/>
        </w:rPr>
        <w:t xml:space="preserve">3</w:t>
      </w:r>
      <w:r>
        <w:rPr>
          <w:sz w:val="20"/>
        </w:rPr>
        <w:t xml:space="preserve"> допускается размещать в отапливаемых помещениях с устройством вентилируемого подполья.</w:t>
      </w:r>
    </w:p>
    <w:p>
      <w:pPr>
        <w:pStyle w:val="0"/>
        <w:spacing w:before="200" w:line-rule="auto"/>
        <w:ind w:firstLine="540"/>
        <w:jc w:val="both"/>
      </w:pPr>
      <w:r>
        <w:rPr>
          <w:sz w:val="20"/>
        </w:rPr>
        <w:t xml:space="preserve">12.9. В районах с многолетнемерзлыми грунтами минимальная температура воды в водоводах и сетях должна определяться теплотехническими расчетами, при этом допускается принимать колебание температуры в интервале от нескольких долей градуса до нескольких градусов (3 - 5 °C).</w:t>
      </w:r>
    </w:p>
    <w:p>
      <w:pPr>
        <w:pStyle w:val="0"/>
        <w:spacing w:before="200" w:line-rule="auto"/>
        <w:ind w:firstLine="540"/>
        <w:jc w:val="both"/>
      </w:pPr>
      <w:r>
        <w:rPr>
          <w:sz w:val="20"/>
        </w:rPr>
        <w:t xml:space="preserve">При отсутствии теплотехнических расчетов температуру воды в концевых участках сети и водоводов допускается принимать для труб диаметром:</w:t>
      </w:r>
    </w:p>
    <w:p>
      <w:pPr>
        <w:pStyle w:val="0"/>
        <w:spacing w:before="200" w:line-rule="auto"/>
        <w:ind w:firstLine="540"/>
        <w:jc w:val="both"/>
      </w:pPr>
      <w:r>
        <w:rPr>
          <w:sz w:val="20"/>
        </w:rPr>
        <w:t xml:space="preserve">до 300 мм - не менее 5 °C;</w:t>
      </w:r>
    </w:p>
    <w:p>
      <w:pPr>
        <w:pStyle w:val="0"/>
        <w:spacing w:before="200" w:line-rule="auto"/>
        <w:ind w:firstLine="540"/>
        <w:jc w:val="both"/>
      </w:pPr>
      <w:r>
        <w:rPr>
          <w:sz w:val="20"/>
        </w:rPr>
        <w:t xml:space="preserve">свыше 300 мм - не менее 3 °C.</w:t>
      </w:r>
    </w:p>
    <w:p>
      <w:pPr>
        <w:pStyle w:val="0"/>
        <w:spacing w:before="200" w:line-rule="auto"/>
        <w:ind w:firstLine="540"/>
        <w:jc w:val="both"/>
      </w:pPr>
      <w:r>
        <w:rPr>
          <w:sz w:val="20"/>
        </w:rPr>
        <w:t xml:space="preserve">12.10. Пожарные гидранты специальной конструкции для районов с многолетнемерзлыми грунтами надлежит располагать на магистральных участках сети.</w:t>
      </w:r>
    </w:p>
    <w:p>
      <w:pPr>
        <w:pStyle w:val="0"/>
        <w:jc w:val="both"/>
      </w:pPr>
      <w:r>
        <w:rPr>
          <w:sz w:val="20"/>
        </w:rPr>
      </w:r>
    </w:p>
    <w:p>
      <w:pPr>
        <w:pStyle w:val="2"/>
        <w:outlineLvl w:val="1"/>
        <w:ind w:firstLine="540"/>
        <w:jc w:val="both"/>
      </w:pPr>
      <w:r>
        <w:rPr>
          <w:sz w:val="20"/>
        </w:rPr>
        <w:t xml:space="preserve">Библиография</w:t>
      </w:r>
    </w:p>
    <w:p>
      <w:pPr>
        <w:pStyle w:val="0"/>
        <w:jc w:val="both"/>
      </w:pPr>
      <w:r>
        <w:rPr>
          <w:sz w:val="20"/>
        </w:rPr>
      </w:r>
    </w:p>
    <w:bookmarkStart w:id="815" w:name="P815"/>
    <w:bookmarkEnd w:id="815"/>
    <w:p>
      <w:pPr>
        <w:pStyle w:val="0"/>
        <w:ind w:firstLine="540"/>
        <w:jc w:val="both"/>
      </w:pPr>
      <w:r>
        <w:rPr>
          <w:sz w:val="20"/>
        </w:rPr>
        <w:t xml:space="preserve">[1] Федеральный </w:t>
      </w:r>
      <w:hyperlink w:history="0" r:id="rId63"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w:t>
      </w:r>
    </w:p>
    <w:bookmarkStart w:id="816" w:name="P816"/>
    <w:bookmarkEnd w:id="816"/>
    <w:p>
      <w:pPr>
        <w:pStyle w:val="0"/>
        <w:spacing w:before="200" w:line-rule="auto"/>
        <w:ind w:firstLine="540"/>
        <w:jc w:val="both"/>
      </w:pPr>
      <w:r>
        <w:rPr>
          <w:sz w:val="20"/>
        </w:rPr>
        <w:t xml:space="preserve">[2] </w:t>
      </w:r>
      <w:hyperlink w:history="0" r:id="rId64" w:tooltip="&quot;ГОСТ 33666-2015. Межгосударственный стандарт. Автомобильные транспортные средства для транспортирования и заправки нефтепродуктов. Технические требования&quot; (введен в действие Приказом Росстандарта от 22.06.2016 N 657-ст) {КонсультантПлюс}">
        <w:r>
          <w:rPr>
            <w:sz w:val="20"/>
            <w:color w:val="0000ff"/>
          </w:rPr>
          <w:t xml:space="preserve">ГОСТ 33666-2015</w:t>
        </w:r>
      </w:hyperlink>
      <w:r>
        <w:rPr>
          <w:sz w:val="20"/>
        </w:rPr>
        <w:t xml:space="preserve"> "Межгосударственный стандарт. Автомобильные транспортные средства для транспортировки и заправки нефтепродуктов. Технические требования".</w:t>
      </w:r>
    </w:p>
    <w:bookmarkStart w:id="817" w:name="P817"/>
    <w:bookmarkEnd w:id="817"/>
    <w:p>
      <w:pPr>
        <w:pStyle w:val="0"/>
        <w:spacing w:before="200" w:line-rule="auto"/>
        <w:ind w:firstLine="540"/>
        <w:jc w:val="both"/>
      </w:pPr>
      <w:r>
        <w:rPr>
          <w:sz w:val="20"/>
        </w:rPr>
        <w:t xml:space="preserve">[3] </w:t>
      </w:r>
      <w:hyperlink w:history="0" r:id="rId65" w:tooltip="Приказ Минэнерго РФ от 08.07.2002 N 204 &quot;Об утверждении глав Правил устройства электроустановок&quot; (вместе с &quot;Правилами устройства электроустановок. Издание седьмое. Раздел 1. Общие правила. Главы 1.1, 1.2, 1.7, 1.9. Раздел 7. Электрооборудование специальных установок. Главы 7.5, 7.6, 7.10&quot;) {КонсультантПлюс}">
        <w:r>
          <w:rPr>
            <w:sz w:val="20"/>
            <w:color w:val="0000ff"/>
          </w:rPr>
          <w:t xml:space="preserve">Правила</w:t>
        </w:r>
      </w:hyperlink>
      <w:r>
        <w:rPr>
          <w:sz w:val="20"/>
        </w:rPr>
        <w:t xml:space="preserve"> устройства электроустановок. Издание седьмое.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30.03.2020 N 225</w:t>
            <w:br/>
            <w:t>"Об утверждении свода правил СП 8.13130 "Системы противопожарной защиты. Наружное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МЧС России от 30.03.2020 N 225</w:t>
            <w:br/>
            <w:t>"Об утверждении свода правил СП 8.13130 "Системы противопожарной защиты. Наружное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091BF5CF58A6C6B142F30E30AED870A26841C74EEA49568613E22FEA705BA0DDFD97FE8653A5995C1C3D4A58A0106B604B79EC506E91ABAT3j4I" TargetMode = "External"/>
	<Relationship Id="rId8" Type="http://schemas.openxmlformats.org/officeDocument/2006/relationships/hyperlink" Target="consultantplus://offline/ref=C091BF5CF58A6C6B142F30E30AED870A26851E73ECA39568613E22FEA705BA0DDFD97FE8653A5199C6C3D4A58A0106B604B79EC506E91ABAT3j4I" TargetMode = "External"/>
	<Relationship Id="rId9" Type="http://schemas.openxmlformats.org/officeDocument/2006/relationships/hyperlink" Target="consultantplus://offline/ref=C091BF5CF58A6C6B142F30E30AED870A26861D73EBA59568613E22FEA705BA0DDFD97FE8653A509DC0C3D4A58A0106B604B79EC506E91ABAT3j4I" TargetMode = "External"/>
	<Relationship Id="rId10" Type="http://schemas.openxmlformats.org/officeDocument/2006/relationships/hyperlink" Target="consultantplus://offline/ref=C091BF5CF58A6C6B142F30E30AED870A2386177CE1A19568613E22FEA705BA0DCDD927E464394E9DC2D682F4CCT5j6I" TargetMode = "External"/>
	<Relationship Id="rId11" Type="http://schemas.openxmlformats.org/officeDocument/2006/relationships/hyperlink" Target="consultantplus://offline/ref=C091BF5CF58A6C6B142F30E30AED870A2386177CE0A29568613E22FEA705BA0DCDD927E464394E9DC2D682F4CCT5j6I" TargetMode = "External"/>
	<Relationship Id="rId12" Type="http://schemas.openxmlformats.org/officeDocument/2006/relationships/hyperlink" Target="consultantplus://offline/ref=C091BF5CF58A6C6B142F30E30AED870A21811C7DE1AB9568613E22FEA705BA0DCDD927E464394E9DC2D682F4CCT5j6I" TargetMode = "External"/>
	<Relationship Id="rId13" Type="http://schemas.openxmlformats.org/officeDocument/2006/relationships/hyperlink" Target="consultantplus://offline/ref=C091BF5CF58A6C6B142F30E30AED870A26861D73EBA59568613E22FEA705BA0DDFD97FE8653A509DC0C3D4A58A0106B604B79EC506E91ABAT3j4I" TargetMode = "External"/>
	<Relationship Id="rId14" Type="http://schemas.openxmlformats.org/officeDocument/2006/relationships/hyperlink" Target="consultantplus://offline/ref=C091BF5CF58A6C6B142F30E30AED870A2386177CE1A19568613E22FEA705BA0DCDD927E464394E9DC2D682F4CCT5j6I" TargetMode = "External"/>
	<Relationship Id="rId15" Type="http://schemas.openxmlformats.org/officeDocument/2006/relationships/hyperlink" Target="consultantplus://offline/ref=C091BF5CF58A6C6B142F30E30AED870A26841C74EEA49568613E22FEA705BA0DDFD97FE8653A5594C6C3D4A58A0106B604B79EC506E91ABAT3j4I" TargetMode = "External"/>
	<Relationship Id="rId16" Type="http://schemas.openxmlformats.org/officeDocument/2006/relationships/hyperlink" Target="consultantplus://offline/ref=C091BF5CF58A6C6B142F30E30AED870A26841C74EEA49568613E22FEA705BA0DDFD97FE8653A5699C0C3D4A58A0106B604B79EC506E91ABAT3j4I" TargetMode = "External"/>
	<Relationship Id="rId17" Type="http://schemas.openxmlformats.org/officeDocument/2006/relationships/hyperlink" Target="consultantplus://offline/ref=C091BF5CF58A6C6B142F30E30AED870A26841C74EEA49568613E22FEA705BA0DDFD97FE8653A5995C1C3D4A58A0106B604B79EC506E91ABAT3j4I" TargetMode = "External"/>
	<Relationship Id="rId18" Type="http://schemas.openxmlformats.org/officeDocument/2006/relationships/hyperlink" Target="consultantplus://offline/ref=C091BF5CF58A6C6B142F30E30AED870A23871B71E0A49568613E22FEA705BA0DCDD927E464394E9DC2D682F4CCT5j6I" TargetMode = "External"/>
	<Relationship Id="rId19" Type="http://schemas.openxmlformats.org/officeDocument/2006/relationships/hyperlink" Target="consultantplus://offline/ref=C091BF5CF58A6C6B142F30E30AED870A2386177CEBA69568613E22FEA705BA0DCDD927E464394E9DC2D682F4CCT5j6I" TargetMode = "External"/>
	<Relationship Id="rId20" Type="http://schemas.openxmlformats.org/officeDocument/2006/relationships/hyperlink" Target="consultantplus://offline/ref=C091BF5CF58A6C6B142F33F613ED870A20851B72E3F4C26A306B2CFBAF55E01DC99073EA7B3B5282C2C882TFj6I" TargetMode = "External"/>
	<Relationship Id="rId21" Type="http://schemas.openxmlformats.org/officeDocument/2006/relationships/hyperlink" Target="consultantplus://offline/ref=C091BF5CF58A6C6B142F2FF60FED870A25861D73E3F4C26A306B2CFBAF55E01DC99073EA7B3B5282C2C882TFj6I" TargetMode = "External"/>
	<Relationship Id="rId22" Type="http://schemas.openxmlformats.org/officeDocument/2006/relationships/hyperlink" Target="consultantplus://offline/ref=C091BF5CF58A6C6B142F2FF60FED870A2A871C7DE3F4C26A306B2CFBAF55E01DC99073EA7B3B5282C2C882TFj6I" TargetMode = "External"/>
	<Relationship Id="rId23" Type="http://schemas.openxmlformats.org/officeDocument/2006/relationships/hyperlink" Target="consultantplus://offline/ref=C091BF5CF58A6C6B142F33F613ED870A23851772ECA9C86269672EFCA00AE508D8C87FE86624519EDECA80F6TCjCI" TargetMode = "External"/>
	<Relationship Id="rId24" Type="http://schemas.openxmlformats.org/officeDocument/2006/relationships/hyperlink" Target="consultantplus://offline/ref=C091BF5CF58A6C6B142F30E30AED870A23871B71E0A49568613E22FEA705BA0DCDD927E464394E9DC2D682F4CCT5j6I" TargetMode = "External"/>
	<Relationship Id="rId25" Type="http://schemas.openxmlformats.org/officeDocument/2006/relationships/hyperlink" Target="consultantplus://offline/ref=C091BF5CF58A6C6B142F30E30AED870A2386177CEBA69568613E22FEA705BA0DCDD927E464394E9DC2D682F4CCT5j6I" TargetMode = "External"/>
	<Relationship Id="rId26" Type="http://schemas.openxmlformats.org/officeDocument/2006/relationships/hyperlink" Target="consultantplus://offline/ref=C091BF5CF58A6C6B142F2FF60FED870A20831A75EBA9C86269672EFCA00AE508D8C87FE86624519EDECA80F6TCjCI" TargetMode = "External"/>
	<Relationship Id="rId27" Type="http://schemas.openxmlformats.org/officeDocument/2006/relationships/hyperlink" Target="consultantplus://offline/ref=C091BF5CF58A6C6B142F2FF60FED870A20801677EDA9C86269672EFCA00AE508D8C87FE86624519EDECA80F6TCjCI" TargetMode = "External"/>
	<Relationship Id="rId28" Type="http://schemas.openxmlformats.org/officeDocument/2006/relationships/hyperlink" Target="consultantplus://offline/ref=C091BF5CF58A6C6B142F2FF60FED870A20821673E0A9C86269672EFCA00AE508D8C87FE86624519EDECA80F6TCjCI" TargetMode = "External"/>
	<Relationship Id="rId29" Type="http://schemas.openxmlformats.org/officeDocument/2006/relationships/hyperlink" Target="consultantplus://offline/ref=C091BF5CF58A6C6B142F2FF60FED870A20861876EBA9C86269672EFCA00AE508D8C87FE86624519EDECA80F6TCjCI" TargetMode = "External"/>
	<Relationship Id="rId30" Type="http://schemas.openxmlformats.org/officeDocument/2006/relationships/hyperlink" Target="consultantplus://offline/ref=C091BF5CF58A6C6B142F2FF60FED870A20821774ECA9C86269672EFCA00AE508D8C87FE86624519EDECA80F6TCjCI" TargetMode = "External"/>
	<Relationship Id="rId31" Type="http://schemas.openxmlformats.org/officeDocument/2006/relationships/hyperlink" Target="consultantplus://offline/ref=C091BF5CF58A6C6B142F30E30AED870A26841C74EEA49568613E22FEA705BA0DCDD927E464394E9DC2D682F4CCT5j6I" TargetMode = "External"/>
	<Relationship Id="rId32" Type="http://schemas.openxmlformats.org/officeDocument/2006/relationships/hyperlink" Target="consultantplus://offline/ref=C091BF5CF58A6C6B142F2FF60FED870A25861D73E3F4C26A306B2CFBAF55E01DC99073EA7B3B5282C2C882TFj6I" TargetMode = "External"/>
	<Relationship Id="rId33" Type="http://schemas.openxmlformats.org/officeDocument/2006/relationships/hyperlink" Target="consultantplus://offline/ref=C091BF5CF58A6C6B142F30E30AED870A26841C74EEA49568613E22FEA705BA0DCDD927E464394E9DC2D682F4CCT5j6I" TargetMode = "External"/>
	<Relationship Id="rId34" Type="http://schemas.openxmlformats.org/officeDocument/2006/relationships/hyperlink" Target="consultantplus://offline/ref=C091BF5CF58A6C6B142F2FF60FED870A20831A75EBA9C86269672EFCA00AE508D8C87FE86624519EDECA80F6TCjCI" TargetMode = "External"/>
	<Relationship Id="rId35" Type="http://schemas.openxmlformats.org/officeDocument/2006/relationships/header" Target="header2.xml"/>
	<Relationship Id="rId36" Type="http://schemas.openxmlformats.org/officeDocument/2006/relationships/footer" Target="footer2.xml"/>
	<Relationship Id="rId37" Type="http://schemas.openxmlformats.org/officeDocument/2006/relationships/hyperlink" Target="consultantplus://offline/ref=C091BF5CF58A6C6B142F2FF60FED870A20821774ECA9C86269672EFCA00AE508D8C87FE86624519EDECA80F6TCjCI" TargetMode = "External"/>
	<Relationship Id="rId38" Type="http://schemas.openxmlformats.org/officeDocument/2006/relationships/hyperlink" Target="consultantplus://offline/ref=C091BF5CF58A6C6B142F2FF60FED870A20861876EBA9C86269672EFCA00AE508D8C87FE86624519EDECA80F6TCjCI" TargetMode = "External"/>
	<Relationship Id="rId39" Type="http://schemas.openxmlformats.org/officeDocument/2006/relationships/hyperlink" Target="consultantplus://offline/ref=C091BF5CF58A6C6B142F2FF60FED870A20801677EDA9C86269672EFCA00AE508D8C87FE86624519EDECA80F6TCjCI" TargetMode = "External"/>
	<Relationship Id="rId40" Type="http://schemas.openxmlformats.org/officeDocument/2006/relationships/hyperlink" Target="consultantplus://offline/ref=C091BF5CF58A6C6B142F30E30AED870A23871B71E0A49568613E22FEA705BA0DCDD927E464394E9DC2D682F4CCT5j6I" TargetMode = "External"/>
	<Relationship Id="rId41" Type="http://schemas.openxmlformats.org/officeDocument/2006/relationships/hyperlink" Target="consultantplus://offline/ref=C091BF5CF58A6C6B142F30E30AED870A2386177CEBA69568613E22FEA705BA0DCDD927E464394E9DC2D682F4CCT5j6I" TargetMode = "External"/>
	<Relationship Id="rId42" Type="http://schemas.openxmlformats.org/officeDocument/2006/relationships/hyperlink" Target="consultantplus://offline/ref=C091BF5CF58A6C6B142F30E30AED870A2386177CEBA69568613E22FEA705BA0DCDD927E464394E9DC2D682F4CCT5j6I" TargetMode = "External"/>
	<Relationship Id="rId43" Type="http://schemas.openxmlformats.org/officeDocument/2006/relationships/hyperlink" Target="consultantplus://offline/ref=C091BF5CF58A6C6B142F2FF60FED870A20831A75EBA9C86269672EFCA00AE508D8C87FE86624519EDECA80F6TCjCI" TargetMode = "External"/>
	<Relationship Id="rId44" Type="http://schemas.openxmlformats.org/officeDocument/2006/relationships/hyperlink" Target="consultantplus://offline/ref=C091BF5CF58A6C6B142F2FF60FED870A20821673E0A9C86269672EFCA00AE508D8C87FE86624519EDECA80F6TCjCI" TargetMode = "External"/>
	<Relationship Id="rId45" Type="http://schemas.openxmlformats.org/officeDocument/2006/relationships/hyperlink" Target="consultantplus://offline/ref=C091BF5CF58A6C6B142F33F613ED870A23851772ECA9C86269672EFCA00AE508D8C87FE86624519EDECA80F6TCjCI" TargetMode = "External"/>
	<Relationship Id="rId46" Type="http://schemas.openxmlformats.org/officeDocument/2006/relationships/image" Target="media/image2.wmf"/>
	<Relationship Id="rId47" Type="http://schemas.openxmlformats.org/officeDocument/2006/relationships/hyperlink" Target="consultantplus://offline/ref=C091BF5CF58A6C6B142F2FF60FED870A20831A75EBA9C86269672EFCA00AE508D8C87FE86624519EDECA80F6TCjCI" TargetMode = "External"/>
	<Relationship Id="rId48" Type="http://schemas.openxmlformats.org/officeDocument/2006/relationships/hyperlink" Target="consultantplus://offline/ref=C091BF5CF58A6C6B142F2FF60FED870A20831A75EBA9C86269672EFCA00AE508D8C87FE86624519EDECA80F6TCjCI" TargetMode = "External"/>
	<Relationship Id="rId49" Type="http://schemas.openxmlformats.org/officeDocument/2006/relationships/hyperlink" Target="consultantplus://offline/ref=C091BF5CF58A6C6B142F2FF60FED870A20831A75EBA9C86269672EFCA00AE508D8C87FE86624519EDECA80F6TCjCI" TargetMode = "External"/>
	<Relationship Id="rId50" Type="http://schemas.openxmlformats.org/officeDocument/2006/relationships/hyperlink" Target="consultantplus://offline/ref=C091BF5CF58A6C6B142F2FF60FED870A20831A75EBA9C86269672EFCA00AE508D8C87FE86624519EDECA80F6TCjCI" TargetMode = "External"/>
	<Relationship Id="rId51" Type="http://schemas.openxmlformats.org/officeDocument/2006/relationships/hyperlink" Target="consultantplus://offline/ref=C091BF5CF58A6C6B142F2FF60FED870A20831A75EBA9C86269672EFCA00AE508D8C87FE86624519EDECA80F6TCjCI" TargetMode = "External"/>
	<Relationship Id="rId52" Type="http://schemas.openxmlformats.org/officeDocument/2006/relationships/hyperlink" Target="consultantplus://offline/ref=C091BF5CF58A6C6B142F2FF60FED870A20831A75EBA9C86269672EFCA00AE508D8C87FE86624519EDECA80F6TCjCI" TargetMode = "External"/>
	<Relationship Id="rId53" Type="http://schemas.openxmlformats.org/officeDocument/2006/relationships/hyperlink" Target="consultantplus://offline/ref=C091BF5CF58A6C6B142F2FF60FED870A20831A75EBA9C86269672EFCA00AE508D8C87FE86624519EDECA80F6TCjCI" TargetMode = "External"/>
	<Relationship Id="rId54" Type="http://schemas.openxmlformats.org/officeDocument/2006/relationships/hyperlink" Target="consultantplus://offline/ref=C091BF5CF58A6C6B142F2FF60FED870A20831A75EBA9C86269672EFCA00AE508D8C87FE86624519EDECA80F6TCjCI" TargetMode = "External"/>
	<Relationship Id="rId55" Type="http://schemas.openxmlformats.org/officeDocument/2006/relationships/hyperlink" Target="consultantplus://offline/ref=C091BF5CF58A6C6B142F2FF60FED870A20801677EDA9C86269672EFCA00AE508D8C87FE86624519EDECA80F6TCjCI" TargetMode = "External"/>
	<Relationship Id="rId56" Type="http://schemas.openxmlformats.org/officeDocument/2006/relationships/hyperlink" Target="consultantplus://offline/ref=C091BF5CF58A6C6B142F2FF60FED870A20831A75EBA9C86269672EFCA00AE508D8C87FE86624519EDECA80F6TCjCI" TargetMode = "External"/>
	<Relationship Id="rId57" Type="http://schemas.openxmlformats.org/officeDocument/2006/relationships/hyperlink" Target="consultantplus://offline/ref=C091BF5CF58A6C6B142F2FF60FED870A20831A75EBA9C86269672EFCA00AE508D8C87FE86624519EDECA80F6TCjCI" TargetMode = "External"/>
	<Relationship Id="rId58" Type="http://schemas.openxmlformats.org/officeDocument/2006/relationships/hyperlink" Target="consultantplus://offline/ref=C091BF5CF58A6C6B142F30E30AED870A26841C74EEA49568613E22FEA705BA0DCDD927E464394E9DC2D682F4CCT5j6I" TargetMode = "External"/>
	<Relationship Id="rId59" Type="http://schemas.openxmlformats.org/officeDocument/2006/relationships/hyperlink" Target="consultantplus://offline/ref=C091BF5CF58A6C6B142F2FF60FED870A20831A75EBA9C86269672EFCA00AE508D8C87FE86624519EDECA80F6TCjCI" TargetMode = "External"/>
	<Relationship Id="rId60" Type="http://schemas.openxmlformats.org/officeDocument/2006/relationships/hyperlink" Target="consultantplus://offline/ref=C091BF5CF58A6C6B142F30E30AED870A2B871B71EAA9C86269672EFCA00AE51AD89073E9653A5095CB9CD1B09B590AB419A89DD91AEB18TBjAI" TargetMode = "External"/>
	<Relationship Id="rId61" Type="http://schemas.openxmlformats.org/officeDocument/2006/relationships/hyperlink" Target="consultantplus://offline/ref=C091BF5CF58A6C6B142F2FF60FED870A20831A75EBA9C86269672EFCA00AE508D8C87FE86624519EDECA80F6TCjCI" TargetMode = "External"/>
	<Relationship Id="rId62" Type="http://schemas.openxmlformats.org/officeDocument/2006/relationships/hyperlink" Target="consultantplus://offline/ref=C091BF5CF58A6C6B142F2FF60FED870A20831A75EBA9C86269672EFCA00AE508D8C87FE86624519EDECA80F6TCjCI" TargetMode = "External"/>
	<Relationship Id="rId63" Type="http://schemas.openxmlformats.org/officeDocument/2006/relationships/hyperlink" Target="consultantplus://offline/ref=C091BF5CF58A6C6B142F30E30AED870A26841C74EEA49568613E22FEA705BA0DCDD927E464394E9DC2D682F4CCT5j6I" TargetMode = "External"/>
	<Relationship Id="rId64" Type="http://schemas.openxmlformats.org/officeDocument/2006/relationships/hyperlink" Target="consultantplus://offline/ref=C091BF5CF58A6C6B142F33F613ED870A23851772ECA9C86269672EFCA00AE508D8C87FE86624519EDECA80F6TCjCI" TargetMode = "External"/>
	<Relationship Id="rId65" Type="http://schemas.openxmlformats.org/officeDocument/2006/relationships/hyperlink" Target="consultantplus://offline/ref=C091BF5CF58A6C6B142F30E30AED870A2B871B71EAA9C86269672EFCA00AE51AD89073E9653A5095CB9CD1B09B590AB419A89DD91AEB18TBjA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30.03.2020 N 225
"Об утверждении свода правил СП 8.13130 "Системы противопожарной защиты. Наружное противопожарное водоснабжение. Требования пожарной безопасности"</dc:title>
  <dcterms:created xsi:type="dcterms:W3CDTF">2022-12-13T08:35:19Z</dcterms:created>
</cp:coreProperties>
</file>