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24.11.2022 N 1173</w:t>
              <w:br/>
              <w:t xml:space="preserve">"Об утверждении требований к проектированию систем передачи извещений о пожаре"</w:t>
              <w:br/>
              <w:t xml:space="preserve">(Зарегистрировано в Минюсте России 30.11.2022 N 71239)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ноября 2022 г. N 71239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ноября 2022 г. N 1173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ПРОЕКТИРОВАНИЮ СИСТЕМ ПЕРЕДАЧИ ИЗВЕЩЕНИЙ О ПОЖАРЕ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частью 7.1 статьи 83</w:t>
        </w:r>
      </w:hyperlink>
      <w:r>
        <w:rPr>
          <w:sz w:val="20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2022, N 29, ст. 5243), </w:t>
      </w:r>
      <w:hyperlink w:history="0" r:id="rId8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подпунктом 1 пункта 9</w:t>
        </w:r>
      </w:hyperlink>
      <w:r>
        <w:rPr>
          <w:sz w:val="20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(Собрание законодательства Российской Федерации, 2004, N 28, ст. 2882),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проектированию систем передачи извещений о пожаре.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2023 г. и действует по 28 февраля 2029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24.11.2022 N 1173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ПРОЕКТИРОВАНИЮ СИСТЕМ ПЕРЕДАЧИ ИЗВЕЩЕНИЙ О ПОЖАРЕ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 и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распространяются на проектирование систем передачи извещений о пожаре (далее - СПИ) для оснащения зданий, в том числе пожарных отсеков (далее - здание), должностными лицами, специалистами, осуществляющими работы по подготовке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Проектирование СПИ должно осуществляться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техническим </w:t>
      </w:r>
      <w:hyperlink w:history="0" r:id="rId10" w:tooltip="Решение Совета Евразийской экономической комиссии от 23.06.2017 N 40 &quot;О техническом регламенте Евразийского экономического союза &quot;О требованиях к средствам обеспечения пожарной безопасности и пожаротушения&quot; (вместе с &quot;ТР ЕАЭС 043/2017. Технический регламент Евразийского экономического союза &quot;О требованиях к средствам обеспечения пожарной безопасности и пожаротушения&quot;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Евразийского экономического союза "О требованиях к средствам обеспечения пожарной безопасности и пожаротушения" (ТР ЕАЭС 043/2017) &lt;1&gt;, нормативными правовыми актами Российской Федерации и нормативными документами по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Принят </w:t>
      </w:r>
      <w:hyperlink w:history="0" r:id="rId11" w:tooltip="Решение Совета Евразийской экономической комиссии от 23.06.2017 N 40 &quot;О техническом регламенте Евразийского экономического союза &quot;О требованиях к средствам обеспечения пожарной безопасности и пожаротушения&quot; (вместе с &quot;ТР ЕАЭС 043/2017. Технический регламент Евразийского экономического союза &quot;О требованиях к средствам обеспечения пожарной безопасности и пожаротушения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Евразийской экономической комиссии от 23 июня 2017 г. N 40 (официальный сайт Евразийского экономического союза (</w:t>
      </w:r>
      <w:r>
        <w:rPr>
          <w:sz w:val="20"/>
        </w:rPr>
        <w:t xml:space="preserve">www.eaeunion.org</w:t>
      </w:r>
      <w:r>
        <w:rPr>
          <w:sz w:val="20"/>
        </w:rPr>
        <w:t xml:space="preserve">), 24 июля 2017 г.), являющимся обязательным для Российской Федерации в соответствии с </w:t>
      </w:r>
      <w:hyperlink w:history="0" r:id="rId12" w:tooltip="&quot;Договор о Евразийском экономическом союзе&quot; (Подписан в г. Астане 29.05.2014) (ред. от 05.08.2021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Евразийском экономическом союзе от 29 мая 2014 г., ратифицированным Федеральным </w:t>
      </w:r>
      <w:hyperlink w:history="0" r:id="rId13" w:tooltip="Федеральный закон от 03.10.2014 N 279-ФЗ &quot;О ратификации Договора о Евразийском экономическом союз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заданием на проектирование, содержащим информацию о расположении зданий и подразделений пожарной охраны, в зоне выезда которых расположены здания, наличии существующих технических средств ретрансляции тревожных извещений, а также назначении и этажности (высоте) застройки зданий в зоне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документацией (далее - ТД) изготовителя технических средств (компонентов) СПИ.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Технические средства (компоненты) СПИ следует применять в соответствии с требованиями ТД изготовителя с учетом климатических, механических, электромагнитных и других воздействий в местах их размещения. Компоненты СПИ запрещается монтировать в помещениях с возможным наличием взрывоопасных сред.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Заземление (зануление) компонентов СПИ следует выполнять в соответствии с требованиями ТД изготовителя СПИ или компонента СПИ.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Применение СПИ, использующих каналы связи сетей подвижной радиотелефонной связи, допускается только при наличии в зонах расположения здания и пункта приема информации (далее - ППИ) устойчивого приема, обеспечивающего обмен данными. Для организации связи по сети подвижной радиотелефонной связи между прибором пультовым оконечным (далее - ППО) и прибором объектовым оконечным (далее - ПОО) следует использовать не менее двух идентификационных модулей (SIM-карт) разных операторов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Значения показателя "Потери вызовов" для GSM каналов связи могут быть предоставлены операторами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Применение СПИ, использующих каналы связи информационно-телекоммуникационной сети "Интернет", допускается при оснащении здания и ППИ устойчивой связью, обеспечивающей обмен данными.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показателей и соответствующих им значений, характеризующих надежность канала связи Интернет, приведен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122"/>
        <w:gridCol w:w="2381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Время входа в систему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 более 8 с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Достигнутая скорость передачи данных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100 Мбит/с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Коэффициент неуспешных передач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 более 3%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Коэффициент успешных входов с систему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90%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22" w:type="dxa"/>
          </w:tcPr>
          <w:p>
            <w:pPr>
              <w:pStyle w:val="0"/>
            </w:pPr>
            <w:r>
              <w:rPr>
                <w:sz w:val="20"/>
              </w:rPr>
              <w:t xml:space="preserve">Задержка (время передачи в одну сторону)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не более 400 мс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Указанная связь должна быть реализована двумя независимыми операторами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комбинации каналов связи, например, по одному каналу подвижной радиотелефонной связи и по каналу связи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Проектная документация на СПИ должна содержать сведения о размещении и способах монтажа компонентов СПИ в соответствии с требованиями ТД изготовителей СПИ или компонентов СПИ с учетом настоящих требований к СПИ.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проектировании СПИ, в состав которой входит ретранслятор и имеется возможность формирования канала связи по разным маршрутам, проектная документация на СПИ должна содержать графическую и текстовую информации (схемы, алгоритмы).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проектной документации указываются требования к периодичности и объему работ по техническому обслуживанию технических средств СПИ, а также срок эксплуатации СПИ в соответствии с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Радиоканальные СПИ подлежат регистрации в порядке, установленном </w:t>
      </w:r>
      <w:hyperlink w:history="0" r:id="rId14" w:tooltip="Постановление Правительства РФ от 20.10.2021 N 1800 &quot;О порядке регистрации радиоэлектронных средств и высокочастотных устройств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регистрации радиоэлектронных средств и высокочастотных устройств, утвержденными постановлением Правительства Российской Федерации от 20 октября 2021 г. N 1800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2021, N 44, ст. 7411.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В проектной документации следует предусматривать СПИ, прошедшие процедуру подтверждения соответствия требованиям технических регламентов Евразийского экономического союза (Таможенного союза).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технической возможности СПИ следует сопрягать с системами обеспечения безопасности жизнедеятельности населения (система обеспечения вызова экстренных оперативных служб по единому номеру "112" субъекта Российской Федерации &lt;3&gt;, аппаратно-программный комплекс "Безопасный город" &lt;4&gt; и иными системами субъектов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30.12.2020 N 488-ФЗ &quot;Об обеспечении вызова экстренных оперативных служб по единому номеру &quot;112&quot;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Статья 4</w:t>
        </w:r>
      </w:hyperlink>
      <w:r>
        <w:rPr>
          <w:sz w:val="20"/>
        </w:rPr>
        <w:t xml:space="preserve"> Федерального закона от 30 декабря 2020 г. N 488-ФЗ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 (Собрание законодательства Российской Федерации, 2021, N 1, ст. 27).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3 декабря 2014 г. N 2446-р (Собрание законодательства Российской Федерации, 2014, N 50, ст. 7220).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проектированию ПОО СПИ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Линии связи между ПОО и прибором приемно-контрольным пожарным (далее - ППКП), устанавливаемые в здании, а также между компонентами ПОО (при блочно-модульном исполнении ПОО), должны контролироваться средствами ПОО на целостность (работоспособность).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Требования к размещению ПОО определяются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Размещение ПОО, имеющих органы индикации и (или) управления, следует предусматривать в местах, позволяющих производить визуальное наблюдение режима работы индикаторов и возможность доступа к органам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Прокладку линий связи следует предусматривать по кратчайшему расстоянию параллельно архитектурно-строительным линиям здания (стенам, перекрытиям, колоннам).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Прокладка линий связи производится на высоте не менее 2,2 м от пола. При прокладке линий связи на высоте менее 2,2 м от пола должна быть предусмотрена их защита от механических повреждений.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зонах с электромагнитными воздействиями применяются оптические линии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проектировании ПОО СПИ с собственным каналом радиосвязи монтаж антенно-фидерных устройств следует производить в соответствии с требованиями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Антенну(ы) следует размещать в соответствии с требованиями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технической возможности ППКП приема тревожных сигналов извещателей пожарных, расположенных в зданиях на общей территории соответствующего объекта защиты, ПОО размещается совместно с ППКП.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проектированию ППО СПИ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ППО СПИ устанавливается в ППИ.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сопряжения СПИ с системами обеспечения безопасности жизнедеятельности населения (система обеспечения вызова экстренных оперативных служб по единому номеру "112" субъекта Российской Федерации, аппаратно-программный комплекс "Безопасный город" и иными системами субъектов Российской Федерации) ППО может устанавливаться в месте, определенном органом исполнительной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установке ППО определяются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проектировании ППО СПИ с собственным каналом радиосвязи монтаж антенно-фидерных устройств следует производить в соответствии с требованиями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Антенну(ы) следует размещать в соответствии с требованиями ТД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приема извещений от ПОО, расположенных в разных направлениях от ППИ, следует применять антенну с круговой диаграммой направленности в горизонтальной плоскости (например, вертикально установленный диполь) либо несколько антенн, ориентированных в разных направлениях.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размещению автоматизированного рабочего</w:t>
      </w:r>
    </w:p>
    <w:p>
      <w:pPr>
        <w:pStyle w:val="2"/>
        <w:jc w:val="center"/>
      </w:pPr>
      <w:r>
        <w:rPr>
          <w:sz w:val="20"/>
        </w:rPr>
        <w:t xml:space="preserve">места диспетчера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Автоматизированное рабочее место диспетчера (далее - АРМ) должно быть установлено в помещении пункта связи части пожарно-спасательного подразделения, обеспечивающего направление сил и средств к месту вызова в границах соответствующего муниципального образования, в соответствии с расписанием выезда.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Соединение АРМ, выполненных на базе средств вычислительной техники, с ППО следует осуществлять посредством цифровых линий связи с использованием стандартных портов персонального компьютера (COM, LPT, USB, LAN). При необходимости для организации линий связи между АРМ и ППО может применяться сетевой коммутатор, обеспеченный бесперебойным электропитанием.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Соединение АРМ, выполненных на базе иного технического средства (например, выносной панели индикации и управления), с ППО следует осуществлять в соответствии с ТД изготовителя данного технического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подключения ППО и АРМ по проводным цифровым линиям связи допускается подключение по беспроводным или иным линиям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Линии связи между ППО и АРМ должны контролироваться на работоспособность. Информация о нарушении работоспособности линий связи должна отображаться на АРМ посредством световой индикации и звуковой сигнализации.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24.11.2022 N 1173</w:t>
            <w:br/>
            <w:t>"Об утверждении требований к проектированию систем передачи извещений о пожаре"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EF57D02D579C0641EFAF2C9850F546DB87169B68F95DEE154B4BF48D3AB19F095EFADFB9CBD091EDA7616AE433A2157FCE8063AE8G4s9I" TargetMode = "External"/>
	<Relationship Id="rId8" Type="http://schemas.openxmlformats.org/officeDocument/2006/relationships/hyperlink" Target="consultantplus://offline/ref=DEF57D02D579C0641EFAF2C9850F546DB8706BB18D92DEE154B4BF48D3AB19F095EFADFB9ABB02498F3917F2066C3257FDE80538F449640EG1s5I" TargetMode = "External"/>
	<Relationship Id="rId9" Type="http://schemas.openxmlformats.org/officeDocument/2006/relationships/hyperlink" Target="consultantplus://offline/ref=DEF57D02D579C0641EFAF2C9850F546DB8706BB18D92DEE154B4BF48D3AB19F095EFADFB9ABB034F8D3917F2066C3257FDE80538F449640EG1s5I" TargetMode = "External"/>
	<Relationship Id="rId10" Type="http://schemas.openxmlformats.org/officeDocument/2006/relationships/hyperlink" Target="consultantplus://offline/ref=DEF57D02D579C0641EFAF2C9850F546DBE716BBF8A92DEE154B4BF48D3AB19F095EFADFB9ABB024B8E3917F2066C3257FDE80538F449640EG1s5I" TargetMode = "External"/>
	<Relationship Id="rId11" Type="http://schemas.openxmlformats.org/officeDocument/2006/relationships/hyperlink" Target="consultantplus://offline/ref=DEF57D02D579C0641EFAF2C9850F546DBE716BBF8A92DEE154B4BF48D3AB19F087EFF5F79BB81C4B892C41A340G3sBI" TargetMode = "External"/>
	<Relationship Id="rId12" Type="http://schemas.openxmlformats.org/officeDocument/2006/relationships/hyperlink" Target="consultantplus://offline/ref=DEF57D02D579C0641EFAF2C9850F546DB87068B38091DEE154B4BF48D3AB19F087EFF5F79BB81C4B892C41A340G3sBI" TargetMode = "External"/>
	<Relationship Id="rId13" Type="http://schemas.openxmlformats.org/officeDocument/2006/relationships/hyperlink" Target="consultantplus://offline/ref=DEF57D02D579C0641EFAF2C9850F546DBD7562B38992DEE154B4BF48D3AB19F087EFF5F79BB81C4B892C41A340G3sBI" TargetMode = "External"/>
	<Relationship Id="rId14" Type="http://schemas.openxmlformats.org/officeDocument/2006/relationships/hyperlink" Target="consultantplus://offline/ref=DEF57D02D579C0641EFAF2C9850F546DBF7A63BE8E9BDEE154B4BF48D3AB19F095EFADFB9ABB02498F3917F2066C3257FDE80538F449640EG1s5I" TargetMode = "External"/>
	<Relationship Id="rId15" Type="http://schemas.openxmlformats.org/officeDocument/2006/relationships/hyperlink" Target="consultantplus://offline/ref=DEF57D02D579C0641EFAF2C9850F546DBF7469B18C93DEE154B4BF48D3AB19F095EFADFB9ABB024B8E3917F2066C3257FDE80538F449640EG1s5I" TargetMode = "External"/>
	<Relationship Id="rId16" Type="http://schemas.openxmlformats.org/officeDocument/2006/relationships/hyperlink" Target="consultantplus://offline/ref=DEF57D02D579C0641EFAF2C9850F546DBF7169B78092DEE154B4BF48D3AB19F087EFF5F79BB81C4B892C41A340G3s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24.11.2022 N 1173
"Об утверждении требований к проектированию систем передачи извещений о пожаре"
(Зарегистрировано в Минюсте России 30.11.2022 N 71239)</dc:title>
  <dcterms:created xsi:type="dcterms:W3CDTF">2022-12-13T08:44:06Z</dcterms:created>
</cp:coreProperties>
</file>