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22.07.2008 N 123-ФЗ</w:t>
              <w:br/>
              <w:t xml:space="preserve">(ред. от 14.07.2022)</w:t>
              <w:br/>
              <w:t xml:space="preserve">"Технический регламент о требованиях пожарной безопасности"</w:t>
              <w:br/>
              <w:t xml:space="preserve">(с изм. и доп., вступ. в силу с 01.03.2023)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22 июля 2008 года</w:t>
            </w:r>
          </w:p>
        </w:tc>
        <w:tc>
          <w:tcPr>
            <w:tcW w:w="5103" w:type="dxa"/>
            <w:tcBorders>
              <w:top w:val="nil"/>
              <w:left w:val="nil"/>
              <w:bottom w:val="nil"/>
              <w:right w:val="nil"/>
            </w:tcBorders>
          </w:tcPr>
          <w:p>
            <w:pPr>
              <w:pStyle w:val="0"/>
              <w:outlineLvl w:val="0"/>
              <w:jc w:val="right"/>
            </w:pPr>
            <w:r>
              <w:rPr>
                <w:sz w:val="20"/>
              </w:rPr>
              <w:t xml:space="preserve">N 123-ФЗ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ТЕХНИЧЕСКИЙ РЕГЛАМЕНТ</w:t>
      </w:r>
    </w:p>
    <w:p>
      <w:pPr>
        <w:pStyle w:val="2"/>
        <w:jc w:val="center"/>
      </w:pPr>
      <w:r>
        <w:rPr>
          <w:sz w:val="20"/>
        </w:rPr>
        <w:t xml:space="preserve">О ТРЕБОВАНИЯХ ПОЖАРНОЙ БЕЗОПАСНОСТИ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4 июля 2008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11 июля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10.07.2012 </w:t>
            </w:r>
            <w:hyperlink w:history="0" r:id="rId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color w:val="392c69"/>
              </w:rPr>
              <w:t xml:space="preserve">,</w:t>
            </w:r>
          </w:p>
          <w:p>
            <w:pPr>
              <w:pStyle w:val="0"/>
              <w:jc w:val="center"/>
            </w:pPr>
            <w:r>
              <w:rPr>
                <w:sz w:val="20"/>
                <w:color w:val="392c69"/>
              </w:rPr>
              <w:t xml:space="preserve">от 02.07.2013 </w:t>
            </w:r>
            <w:hyperlink w:history="0" r:id="rId8"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23.06.2014 </w:t>
            </w:r>
            <w:hyperlink w:history="0" r:id="rId9" w:tooltip="Федеральный закон от 23.06.2014 N 160-ФЗ (ред. от 29.07.2017) &quot;О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13.07.2015 </w:t>
            </w:r>
            <w:hyperlink w:history="0" r:id="rId10"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0"/>
                  <w:color w:val="0000ff"/>
                </w:rPr>
                <w:t xml:space="preserve">N 234-ФЗ</w:t>
              </w:r>
            </w:hyperlink>
            <w:r>
              <w:rPr>
                <w:sz w:val="20"/>
                <w:color w:val="392c69"/>
              </w:rPr>
              <w:t xml:space="preserve">,</w:t>
            </w:r>
          </w:p>
          <w:p>
            <w:pPr>
              <w:pStyle w:val="0"/>
              <w:jc w:val="center"/>
            </w:pPr>
            <w:r>
              <w:rPr>
                <w:sz w:val="20"/>
                <w:color w:val="392c69"/>
              </w:rPr>
              <w:t xml:space="preserve">от 03.07.2016 </w:t>
            </w:r>
            <w:hyperlink w:history="0" r:id="rId11" w:tooltip="Федеральный закон от 03.07.2016 N 301-ФЗ &quot;О внесении изменения в статью 4 Федерального закона &quot;Технический регламент о требованиях пожарной безопасности&quot; {КонсультантПлюс}">
              <w:r>
                <w:rPr>
                  <w:sz w:val="20"/>
                  <w:color w:val="0000ff"/>
                </w:rPr>
                <w:t xml:space="preserve">N 301-ФЗ</w:t>
              </w:r>
            </w:hyperlink>
            <w:r>
              <w:rPr>
                <w:sz w:val="20"/>
                <w:color w:val="392c69"/>
              </w:rPr>
              <w:t xml:space="preserve">, от 29.07.2017 </w:t>
            </w:r>
            <w:hyperlink w:history="0" r:id="rId12"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244-ФЗ</w:t>
              </w:r>
            </w:hyperlink>
            <w:r>
              <w:rPr>
                <w:sz w:val="20"/>
                <w:color w:val="392c69"/>
              </w:rPr>
              <w:t xml:space="preserve">, от 27.12.2018 </w:t>
            </w:r>
            <w:hyperlink w:history="0" r:id="rId13"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color w:val="392c69"/>
              </w:rPr>
              <w:t xml:space="preserve">,</w:t>
            </w:r>
          </w:p>
          <w:p>
            <w:pPr>
              <w:pStyle w:val="0"/>
              <w:jc w:val="center"/>
            </w:pPr>
            <w:r>
              <w:rPr>
                <w:sz w:val="20"/>
                <w:color w:val="392c69"/>
              </w:rPr>
              <w:t xml:space="preserve">от 30.04.2021 </w:t>
            </w:r>
            <w:hyperlink w:history="0" r:id="rId14" w:tooltip="Федеральный закон от 30.04.2021 N 117-ФЗ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color w:val="392c69"/>
              </w:rPr>
              <w:t xml:space="preserve">, от 14.07.2022 </w:t>
            </w:r>
            <w:hyperlink w:history="0" r:id="rId1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Раздел I. ОБЩИЕ ПРИНЦИПЫ ОБЕСПЕЧЕНИЯ ПОЖАРНОЙ БЕЗОПАСНОСТИ</w:t>
      </w:r>
    </w:p>
    <w:p>
      <w:pPr>
        <w:pStyle w:val="0"/>
        <w:ind w:firstLine="540"/>
        <w:jc w:val="both"/>
      </w:pPr>
      <w:r>
        <w:rPr>
          <w:sz w:val="20"/>
        </w:rPr>
      </w:r>
    </w:p>
    <w:p>
      <w:pPr>
        <w:pStyle w:val="2"/>
        <w:outlineLvl w:val="2"/>
        <w:jc w:val="center"/>
      </w:pPr>
      <w:r>
        <w:rPr>
          <w:sz w:val="20"/>
        </w:rPr>
        <w:t xml:space="preserve">Глава 1. ОБЩИЕ ПОЛОЖЕНИЯ</w:t>
      </w:r>
    </w:p>
    <w:p>
      <w:pPr>
        <w:pStyle w:val="0"/>
        <w:ind w:firstLine="540"/>
        <w:jc w:val="both"/>
      </w:pPr>
      <w:r>
        <w:rPr>
          <w:sz w:val="20"/>
        </w:rPr>
      </w:r>
    </w:p>
    <w:p>
      <w:pPr>
        <w:pStyle w:val="2"/>
        <w:outlineLvl w:val="3"/>
        <w:ind w:firstLine="540"/>
        <w:jc w:val="both"/>
      </w:pPr>
      <w:r>
        <w:rPr>
          <w:sz w:val="20"/>
        </w:rPr>
        <w:t xml:space="preserve">Статья 1. Цели и сфера применения </w:t>
      </w:r>
      <w:hyperlink w:history="0" r:id="rId16"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технического регламента</w:t>
        </w:r>
      </w:hyperlink>
    </w:p>
    <w:p>
      <w:pPr>
        <w:pStyle w:val="0"/>
        <w:ind w:firstLine="540"/>
        <w:jc w:val="both"/>
      </w:pPr>
      <w:r>
        <w:rPr>
          <w:sz w:val="20"/>
        </w:rPr>
      </w:r>
    </w:p>
    <w:p>
      <w:pPr>
        <w:pStyle w:val="0"/>
        <w:ind w:firstLine="540"/>
        <w:jc w:val="both"/>
      </w:pPr>
      <w:r>
        <w:rPr>
          <w:sz w:val="20"/>
        </w:rPr>
        <w:t xml:space="preserve">1. Настоящий Федеральный закон принимается в целях защиты жизни, здоровья, имущества граждан и юридических лиц, государственного и муниципального имущества от пожаров, определяет основные положения технического регулирования в области пожарной безопасности и устанавливает минимально необходимые требования пожарной безопасности к объектам защиты (продукции), в том числе к зданиям и сооружениям, производственным объектам, пожарно-технической продукции и продукции общего назначения. Технические регламенты, принятые в соответствии с Федеральным </w:t>
      </w:r>
      <w:hyperlink w:history="0" r:id="rId17"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года N 184-ФЗ "О техническом регулировании" (далее - Федеральный закон "О техническом регулировании"), не действуют в части, содержащей требования пожарной безопасности к указанной продукции, отличные от требований, установленных настоящим Федеральным законом.</w:t>
      </w:r>
    </w:p>
    <w:p>
      <w:pPr>
        <w:pStyle w:val="0"/>
        <w:jc w:val="both"/>
      </w:pPr>
      <w:r>
        <w:rPr>
          <w:sz w:val="20"/>
        </w:rPr>
        <w:t xml:space="preserve">(в ред. Федеральных законов от 10.07.2012 </w:t>
      </w:r>
      <w:hyperlink w:history="0" r:id="rId1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29.07.2017 </w:t>
      </w:r>
      <w:hyperlink w:history="0" r:id="rId19"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244-ФЗ</w:t>
        </w:r>
      </w:hyperlink>
      <w:r>
        <w:rPr>
          <w:sz w:val="20"/>
        </w:rPr>
        <w:t xml:space="preserve">, от 14.07.2022 </w:t>
      </w:r>
      <w:hyperlink w:history="0" r:id="rId2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2. Положения настоящего Федерального закона об обеспечении пожарной безопасности объектов защиты обязательны для исполнения при:</w:t>
      </w:r>
    </w:p>
    <w:p>
      <w:pPr>
        <w:pStyle w:val="0"/>
        <w:spacing w:before="200" w:line-rule="auto"/>
        <w:ind w:firstLine="540"/>
        <w:jc w:val="both"/>
      </w:pPr>
      <w:r>
        <w:rPr>
          <w:sz w:val="20"/>
        </w:rPr>
        <w:t xml:space="preserve">1) проектировании, строительстве, капитальном ремонте, реконструкции, техническом перевооружении, изменении функционального назначения, техническом обслуживании, эксплуатации и утилизации объектов защиты;</w:t>
      </w:r>
    </w:p>
    <w:p>
      <w:pPr>
        <w:pStyle w:val="0"/>
        <w:spacing w:before="200" w:line-rule="auto"/>
        <w:ind w:firstLine="540"/>
        <w:jc w:val="both"/>
      </w:pPr>
      <w:r>
        <w:rPr>
          <w:sz w:val="20"/>
        </w:rPr>
        <w:t xml:space="preserve">2) разработке, принятии, применении и исполнении технических регламентов, принятых в соответствии с Федеральным </w:t>
      </w:r>
      <w:hyperlink w:history="0" r:id="rId21"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 техническом регулировании", содержащих требования пожарной безопасности, а также нормативных документов по пожарной безопасности;</w:t>
      </w:r>
    </w:p>
    <w:p>
      <w:pPr>
        <w:pStyle w:val="0"/>
        <w:jc w:val="both"/>
      </w:pPr>
      <w:r>
        <w:rPr>
          <w:sz w:val="20"/>
        </w:rPr>
        <w:t xml:space="preserve">(в ред. Федерального </w:t>
      </w:r>
      <w:hyperlink w:history="0" r:id="rId2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разработке технической документации на объекты защиты.</w:t>
      </w:r>
    </w:p>
    <w:p>
      <w:pPr>
        <w:pStyle w:val="0"/>
        <w:spacing w:before="200" w:line-rule="auto"/>
        <w:ind w:firstLine="540"/>
        <w:jc w:val="both"/>
      </w:pPr>
      <w:r>
        <w:rPr>
          <w:sz w:val="20"/>
        </w:rPr>
        <w:t xml:space="preserve">3. В отношении объектов защиты специального назначения, в том числе объектов военного назначения, атомных станций, производственных объектов, объектов переработки, хранения радиоактивных и взрывчатых веществ и материалов, объектов уничтожения и хранения химического оружия и средств взрывания, наземных космических объектов и стартовых комплексов, горных выработок, объектов, расположенных в лесах, наряду с настоящим Федеральным законом должны соблюдаться требования пожарной безопасности, установленные нормативными правовыми актами Российской Федерации.</w:t>
      </w:r>
    </w:p>
    <w:p>
      <w:pPr>
        <w:pStyle w:val="0"/>
        <w:jc w:val="both"/>
      </w:pPr>
      <w:r>
        <w:rPr>
          <w:sz w:val="20"/>
        </w:rPr>
        <w:t xml:space="preserve">(в ред. Федерального </w:t>
      </w:r>
      <w:hyperlink w:history="0" r:id="rId2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4. Техническое регулирование в области пожарной безопасности ядерного оружия и связанных с ним процессов разработки, производства, эксплуатации, хранения, перевозки, ликвидации и утилизации его составных частей, а также в области пожарной безопасности зданий и сооружений, объектов организаций ядерного оружейного комплекса Российской Федерации устанавливается законодательством Российской Федерации.</w:t>
      </w:r>
    </w:p>
    <w:p>
      <w:pPr>
        <w:pStyle w:val="0"/>
        <w:jc w:val="both"/>
      </w:pPr>
      <w:r>
        <w:rPr>
          <w:sz w:val="20"/>
        </w:rPr>
        <w:t xml:space="preserve">(в ред. Федерального </w:t>
      </w:r>
      <w:hyperlink w:history="0" r:id="rId2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5. В отношении объектов культурного наследия (памятников истории и культуры) народов Российской Федерации религиозного назначения требования пожарной безопасности устанавливаются соответствующим нормативным </w:t>
      </w:r>
      <w:hyperlink w:history="0" r:id="rId25" w:tooltip="Приказ МЧС России от 13.08.2018 N 332 &quot;Об утверждении свода правил &quot;Объекты культурного наследия религиозного назначения. Требования пожарной безопасности&quot; (вместе с &quot;СП 388.1311500.2018. Свод правил. Объекты культурного наследия религиозного назначения. Требования пожарной безопасности&quot;) {КонсультантПлюс}">
        <w:r>
          <w:rPr>
            <w:sz w:val="20"/>
            <w:color w:val="0000ff"/>
          </w:rPr>
          <w:t xml:space="preserve">документом</w:t>
        </w:r>
      </w:hyperlink>
      <w:r>
        <w:rPr>
          <w:sz w:val="20"/>
        </w:rPr>
        <w:t xml:space="preserve"> по пожарной безопасности.</w:t>
      </w:r>
    </w:p>
    <w:p>
      <w:pPr>
        <w:pStyle w:val="0"/>
        <w:jc w:val="both"/>
      </w:pPr>
      <w:r>
        <w:rPr>
          <w:sz w:val="20"/>
        </w:rPr>
        <w:t xml:space="preserve">(часть 5 введена Федеральным </w:t>
      </w:r>
      <w:hyperlink w:history="0" r:id="rId26"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29.07.2017 N 244-ФЗ)</w:t>
      </w:r>
    </w:p>
    <w:p>
      <w:pPr>
        <w:pStyle w:val="0"/>
        <w:spacing w:before="200" w:line-rule="auto"/>
        <w:ind w:firstLine="540"/>
        <w:jc w:val="both"/>
      </w:pPr>
      <w:r>
        <w:rPr>
          <w:sz w:val="20"/>
        </w:rPr>
        <w:t xml:space="preserve">6. В отношении средств обеспечения пожарной безопасности и пожаротушения требования пожарной безопасности устанавливаются техническим </w:t>
      </w:r>
      <w:hyperlink w:history="0" r:id="rId27" w:tooltip="Решение Совета Евразийской экономической комиссии от 23.06.2017 N 40 &quot;О техническом регламенте Евразийского экономического союза &quot;О требованиях к средствам обеспечения пожарной безопасности и пожаротушения&quot; (вместе с &quot;ТР ЕАЭС 043/2017. Технический регламент Евразийского экономического союза &quot;О требованиях к средствам обеспечения пожарной безопасности и пожаротушения&quot;) {КонсультантПлюс}">
        <w:r>
          <w:rPr>
            <w:sz w:val="20"/>
            <w:color w:val="0000ff"/>
          </w:rPr>
          <w:t xml:space="preserve">регламентом</w:t>
        </w:r>
      </w:hyperlink>
      <w:r>
        <w:rPr>
          <w:sz w:val="20"/>
        </w:rPr>
        <w:t xml:space="preserve"> Евразийского экономического союза "О требованиях к средствам обеспечения пожарной безопасности и пожаротушения" (ТР ЕАЭС 043/2017).</w:t>
      </w:r>
    </w:p>
    <w:p>
      <w:pPr>
        <w:pStyle w:val="0"/>
        <w:jc w:val="both"/>
      </w:pPr>
      <w:r>
        <w:rPr>
          <w:sz w:val="20"/>
        </w:rPr>
        <w:t xml:space="preserve">(часть 6 введена Федеральным </w:t>
      </w:r>
      <w:hyperlink w:history="0" r:id="rId2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14.07.2022 N 276-ФЗ)</w:t>
      </w:r>
    </w:p>
    <w:p>
      <w:pPr>
        <w:pStyle w:val="0"/>
        <w:ind w:firstLine="540"/>
        <w:jc w:val="both"/>
      </w:pPr>
      <w:r>
        <w:rPr>
          <w:sz w:val="20"/>
        </w:rPr>
      </w:r>
    </w:p>
    <w:p>
      <w:pPr>
        <w:pStyle w:val="2"/>
        <w:outlineLvl w:val="3"/>
        <w:ind w:firstLine="540"/>
        <w:jc w:val="both"/>
      </w:pPr>
      <w:r>
        <w:rPr>
          <w:sz w:val="20"/>
        </w:rPr>
        <w:t xml:space="preserve">Статья 2. Основные понятия</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основные понятия, установленные </w:t>
      </w:r>
      <w:hyperlink w:history="0" r:id="rId29"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статьей 2</w:t>
        </w:r>
      </w:hyperlink>
      <w:r>
        <w:rPr>
          <w:sz w:val="20"/>
        </w:rPr>
        <w:t xml:space="preserve"> Федерального закона "О техническом регулировании", </w:t>
      </w:r>
      <w:hyperlink w:history="0" r:id="rId30" w:tooltip="Федеральный закон от 21.12.1994 N 69-ФЗ (ред. от 14.07.2022) &quot;О пожарной безопасности&quot; (с изм. и доп., вступ. в силу с 13.10.2022) {КонсультантПлюс}">
        <w:r>
          <w:rPr>
            <w:sz w:val="20"/>
            <w:color w:val="0000ff"/>
          </w:rPr>
          <w:t xml:space="preserve">статьей 1</w:t>
        </w:r>
      </w:hyperlink>
      <w:r>
        <w:rPr>
          <w:sz w:val="20"/>
        </w:rPr>
        <w:t xml:space="preserve"> Федерального закона от 21 декабря 1994 года N 69-ФЗ "О пожарной безопасности" (далее - Федеральный закон "О пожарной безопасности"), а также следующие основные понятия:</w:t>
      </w:r>
    </w:p>
    <w:p>
      <w:pPr>
        <w:pStyle w:val="0"/>
        <w:jc w:val="both"/>
      </w:pPr>
      <w:r>
        <w:rPr>
          <w:sz w:val="20"/>
        </w:rPr>
        <w:t xml:space="preserve">(в ред. Федерального </w:t>
      </w:r>
      <w:hyperlink w:history="0" r:id="rId3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 аварийный выход - выход, который не отвечает требованиям, предъявляемым к эвакуационным выходам, и предусматривается для повышения безопасности людей при пожаре;</w:t>
      </w:r>
    </w:p>
    <w:p>
      <w:pPr>
        <w:pStyle w:val="0"/>
        <w:jc w:val="both"/>
      </w:pPr>
      <w:r>
        <w:rPr>
          <w:sz w:val="20"/>
        </w:rPr>
        <w:t xml:space="preserve">(п. 1 в ред. Федерального </w:t>
      </w:r>
      <w:hyperlink w:history="0" r:id="rId3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 безопасная зона - зона, в которой люди защищены от воздействия опасных факторов пожара или в которой опасные факторы пожара отсутствуют;</w:t>
      </w:r>
    </w:p>
    <w:p>
      <w:pPr>
        <w:pStyle w:val="0"/>
        <w:jc w:val="both"/>
      </w:pPr>
      <w:r>
        <w:rPr>
          <w:sz w:val="20"/>
        </w:rPr>
        <w:t xml:space="preserve">(в ред. Федеральных законов от 10.07.2012 </w:t>
      </w:r>
      <w:hyperlink w:history="0" r:id="rId3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14.07.2022 </w:t>
      </w:r>
      <w:hyperlink w:history="0" r:id="rId3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3) взрыв - быстрое химическое превращение среды, сопровождающееся выделением энергии и образованием сжатых газов;</w:t>
      </w:r>
    </w:p>
    <w:p>
      <w:pPr>
        <w:pStyle w:val="0"/>
        <w:spacing w:before="200" w:line-rule="auto"/>
        <w:ind w:firstLine="540"/>
        <w:jc w:val="both"/>
      </w:pPr>
      <w:r>
        <w:rPr>
          <w:sz w:val="20"/>
        </w:rPr>
        <w:t xml:space="preserve">4) взрывоопасная смесь - смесь воздуха или окислителя с горючими газами, парами легковоспламеняющихся жидкостей, горючими пылями или волокнами, которая при определенной концентрации и возникновении источника инициирования взрыва способна взорваться;</w:t>
      </w:r>
    </w:p>
    <w:p>
      <w:pPr>
        <w:pStyle w:val="0"/>
        <w:spacing w:before="200" w:line-rule="auto"/>
        <w:ind w:firstLine="540"/>
        <w:jc w:val="both"/>
      </w:pPr>
      <w:r>
        <w:rPr>
          <w:sz w:val="20"/>
        </w:rPr>
        <w:t xml:space="preserve">5) взрывопожароопасность объекта защиты - состояние объекта защиты, характеризуемое возможностью возникновения взрыва и развития пожара или возникновения пожара и последующего взрыва;</w:t>
      </w:r>
    </w:p>
    <w:p>
      <w:pPr>
        <w:pStyle w:val="0"/>
        <w:jc w:val="both"/>
      </w:pPr>
      <w:r>
        <w:rPr>
          <w:sz w:val="20"/>
        </w:rPr>
        <w:t xml:space="preserve">(в ред. Федерального </w:t>
      </w:r>
      <w:hyperlink w:history="0" r:id="rId3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6) горючая среда - среда, способная воспламеняться при воздействии источника зажигания;</w:t>
      </w:r>
    </w:p>
    <w:p>
      <w:pPr>
        <w:pStyle w:val="0"/>
        <w:spacing w:before="200" w:line-rule="auto"/>
        <w:ind w:firstLine="540"/>
        <w:jc w:val="both"/>
      </w:pPr>
      <w:r>
        <w:rPr>
          <w:sz w:val="20"/>
        </w:rPr>
        <w:t xml:space="preserve">7) </w:t>
      </w:r>
      <w:hyperlink w:history="0" r:id="rId36" w:tooltip="Приказ МЧС России от 16.03.2020 N 171 &quot;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регистрации декларации пожарной безопасности и формы декларации пожарной безопасности&quot; (Зарегистрировано в Минюсте России 17.04.2020 N 58127) {КонсультантПлюс}">
        <w:r>
          <w:rPr>
            <w:sz w:val="20"/>
            <w:color w:val="0000ff"/>
          </w:rPr>
          <w:t xml:space="preserve">декларация</w:t>
        </w:r>
      </w:hyperlink>
      <w:r>
        <w:rPr>
          <w:sz w:val="20"/>
        </w:rPr>
        <w:t xml:space="preserve"> пожарной безопасности - форма оценки соответствия, содержащая информацию о мерах пожарной безопасности, направленных на обеспечение на объекте защиты нормативного значения пожарного риска;</w:t>
      </w:r>
    </w:p>
    <w:p>
      <w:pPr>
        <w:pStyle w:val="0"/>
        <w:spacing w:before="200" w:line-rule="auto"/>
        <w:ind w:firstLine="540"/>
        <w:jc w:val="both"/>
      </w:pPr>
      <w:r>
        <w:rPr>
          <w:sz w:val="20"/>
        </w:rPr>
        <w:t xml:space="preserve">8) допустимый пожарный риск - пожарный риск, уровень которого допустим и обоснован исходя из социально-экономических условий;</w:t>
      </w:r>
    </w:p>
    <w:p>
      <w:pPr>
        <w:pStyle w:val="0"/>
        <w:spacing w:before="200" w:line-rule="auto"/>
        <w:ind w:firstLine="540"/>
        <w:jc w:val="both"/>
      </w:pPr>
      <w:r>
        <w:rPr>
          <w:sz w:val="20"/>
        </w:rPr>
        <w:t xml:space="preserve">9) индивидуальный пожарный риск - пожарный риск, который может привести к гибели человека в результате воздействия опасных факторов пожара;</w:t>
      </w:r>
    </w:p>
    <w:p>
      <w:pPr>
        <w:pStyle w:val="0"/>
        <w:spacing w:before="200" w:line-rule="auto"/>
        <w:ind w:firstLine="540"/>
        <w:jc w:val="both"/>
      </w:pPr>
      <w:r>
        <w:rPr>
          <w:sz w:val="20"/>
        </w:rPr>
        <w:t xml:space="preserve">10) источник зажигания - средство энергетического воздействия, инициирующее возникновение горения;</w:t>
      </w:r>
    </w:p>
    <w:p>
      <w:pPr>
        <w:pStyle w:val="0"/>
        <w:spacing w:before="200" w:line-rule="auto"/>
        <w:ind w:firstLine="540"/>
        <w:jc w:val="both"/>
      </w:pPr>
      <w:r>
        <w:rPr>
          <w:sz w:val="20"/>
        </w:rPr>
        <w:t xml:space="preserve">11) класс конструктивной пожарной опасности зданий, сооружений и пожарных отсеков - классификационная характеристика зданий, сооружений и пожарных отсеков, определяемая степенью участия строительных конструкций в развитии пожара и образовании опасных факторов пожара;</w:t>
      </w:r>
    </w:p>
    <w:p>
      <w:pPr>
        <w:pStyle w:val="0"/>
        <w:jc w:val="both"/>
      </w:pPr>
      <w:r>
        <w:rPr>
          <w:sz w:val="20"/>
        </w:rPr>
        <w:t xml:space="preserve">(в ред. Федерального </w:t>
      </w:r>
      <w:hyperlink w:history="0" r:id="rId3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12) класс функциональной пожарной опасности зданий, сооружений и пожарных отсеков - классификационная характеристика зданий, сооружений и пожарных отсеков, определяемая назначением и особенностями эксплуатации указанных зданий, сооружений и пожарных отсеков, в том числе особенностями осуществления в указанных зданиях, сооружениях и пожарных отсеках технологических процессов производства;</w:t>
      </w:r>
    </w:p>
    <w:p>
      <w:pPr>
        <w:pStyle w:val="0"/>
        <w:jc w:val="both"/>
      </w:pPr>
      <w:r>
        <w:rPr>
          <w:sz w:val="20"/>
        </w:rPr>
        <w:t xml:space="preserve">(в ред. Федерального </w:t>
      </w:r>
      <w:hyperlink w:history="0" r:id="rId3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13) наружная установка - комплекс аппаратов и технологического оборудования, расположенных вне зданий и сооружений;</w:t>
      </w:r>
    </w:p>
    <w:p>
      <w:pPr>
        <w:pStyle w:val="0"/>
        <w:jc w:val="both"/>
      </w:pPr>
      <w:r>
        <w:rPr>
          <w:sz w:val="20"/>
        </w:rPr>
        <w:t xml:space="preserve">(в ред. Федерального </w:t>
      </w:r>
      <w:hyperlink w:history="0" r:id="rId3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14) необходимое время эвакуации - время с момента возникновения пожара, в течение которого люди должны эвакуироваться в безопасную зону без причинения вреда жизни и здоровью людей в результате воздействия опасных факторов пожара;</w:t>
      </w:r>
    </w:p>
    <w:p>
      <w:pPr>
        <w:pStyle w:val="0"/>
        <w:spacing w:before="200" w:line-rule="auto"/>
        <w:ind w:firstLine="540"/>
        <w:jc w:val="both"/>
      </w:pPr>
      <w:r>
        <w:rPr>
          <w:sz w:val="20"/>
        </w:rPr>
        <w:t xml:space="preserve">15) объект защиты - продукция, в том числе имущество граждан или юридических лиц, государственное или муниципальное имущество (включая объекты, расположенные на территориях населенных пунктов, а также здания, сооружения, транспортные средства, технологические установки, оборудование, агрегаты, изделия и иное имущество), к которой установлены или должны быть установлены требования пожарной безопасности для предотвращения пожара и защиты людей при пожаре;</w:t>
      </w:r>
    </w:p>
    <w:p>
      <w:pPr>
        <w:pStyle w:val="0"/>
        <w:jc w:val="both"/>
      </w:pPr>
      <w:r>
        <w:rPr>
          <w:sz w:val="20"/>
        </w:rPr>
        <w:t xml:space="preserve">(в ред. Федеральных законов от 10.07.2012 </w:t>
      </w:r>
      <w:hyperlink w:history="0" r:id="rId4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14.07.2022 </w:t>
      </w:r>
      <w:hyperlink w:history="0" r:id="rId4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16) окислители - вещества и материалы, обладающие способностью вступать в реакцию с горючими веществами, вызывая их горение, а также увеличивать его интенсивность;</w:t>
      </w:r>
    </w:p>
    <w:p>
      <w:pPr>
        <w:pStyle w:val="0"/>
        <w:spacing w:before="200" w:line-rule="auto"/>
        <w:ind w:firstLine="540"/>
        <w:jc w:val="both"/>
      </w:pPr>
      <w:r>
        <w:rPr>
          <w:sz w:val="20"/>
        </w:rPr>
        <w:t xml:space="preserve">17) опасные факторы пожара - факторы пожара, воздействие которых может привести к травме, отравлению или гибели человека и (или) к материальному ущербу;</w:t>
      </w:r>
    </w:p>
    <w:p>
      <w:pPr>
        <w:pStyle w:val="0"/>
        <w:spacing w:before="200" w:line-rule="auto"/>
        <w:ind w:firstLine="540"/>
        <w:jc w:val="both"/>
      </w:pPr>
      <w:r>
        <w:rPr>
          <w:sz w:val="20"/>
        </w:rPr>
        <w:t xml:space="preserve">18) очаг пожара - место первоначального возникновения пожара;</w:t>
      </w:r>
    </w:p>
    <w:p>
      <w:pPr>
        <w:pStyle w:val="0"/>
        <w:spacing w:before="200" w:line-rule="auto"/>
        <w:ind w:firstLine="540"/>
        <w:jc w:val="both"/>
      </w:pPr>
      <w:r>
        <w:rPr>
          <w:sz w:val="20"/>
        </w:rPr>
        <w:t xml:space="preserve">19) утратил силу. - Федеральный </w:t>
      </w:r>
      <w:hyperlink w:history="0" r:id="rId4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20) пожарная безопасность объекта защиты -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w:t>
      </w:r>
    </w:p>
    <w:p>
      <w:pPr>
        <w:pStyle w:val="0"/>
        <w:spacing w:before="200" w:line-rule="auto"/>
        <w:ind w:firstLine="540"/>
        <w:jc w:val="both"/>
      </w:pPr>
      <w:r>
        <w:rPr>
          <w:sz w:val="20"/>
        </w:rPr>
        <w:t xml:space="preserve">21) пожарная опасность веществ и материалов - состояние веществ и материалов, характеризуемое возможностью возникновения горения или взрыва веществ и материалов;</w:t>
      </w:r>
    </w:p>
    <w:p>
      <w:pPr>
        <w:pStyle w:val="0"/>
        <w:spacing w:before="200" w:line-rule="auto"/>
        <w:ind w:firstLine="540"/>
        <w:jc w:val="both"/>
      </w:pPr>
      <w:r>
        <w:rPr>
          <w:sz w:val="20"/>
        </w:rPr>
        <w:t xml:space="preserve">22) пожарная опасность объекта защиты - состояние объекта защиты, характеризуемое возможностью возникновения и развития пожара, а также воздействия на людей и имущество опасных факторов пожара;</w:t>
      </w:r>
    </w:p>
    <w:p>
      <w:pPr>
        <w:pStyle w:val="0"/>
        <w:spacing w:before="200" w:line-rule="auto"/>
        <w:ind w:firstLine="540"/>
        <w:jc w:val="both"/>
      </w:pPr>
      <w:r>
        <w:rPr>
          <w:sz w:val="20"/>
        </w:rPr>
        <w:t xml:space="preserve">22.1) пожарная секция - часть пожарного отсека, выделенная противопожарными преградами и (или) зоной, свободной от пожарной нагрузки;</w:t>
      </w:r>
    </w:p>
    <w:p>
      <w:pPr>
        <w:pStyle w:val="0"/>
        <w:jc w:val="both"/>
      </w:pPr>
      <w:r>
        <w:rPr>
          <w:sz w:val="20"/>
        </w:rPr>
        <w:t xml:space="preserve">(п. 22.1 введен Федеральным </w:t>
      </w:r>
      <w:hyperlink w:history="0" r:id="rId43"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29.07.2017 N 244-ФЗ; в ред. Федерального </w:t>
      </w:r>
      <w:hyperlink w:history="0" r:id="rId4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23) утратил силу. - Федеральный </w:t>
      </w:r>
      <w:hyperlink w:history="0" r:id="rId4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24) пожарное депо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pPr>
        <w:pStyle w:val="0"/>
        <w:spacing w:before="200" w:line-rule="auto"/>
        <w:ind w:firstLine="540"/>
        <w:jc w:val="both"/>
      </w:pPr>
      <w:r>
        <w:rPr>
          <w:sz w:val="20"/>
        </w:rPr>
        <w:t xml:space="preserve">25) - 26) утратили силу. - Федеральный </w:t>
      </w:r>
      <w:hyperlink w:history="0" r:id="rId4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27) пожарный отсек - часть здания или сооружения, выделенная противопожарными стенами и (или) противопожарными перекрытиями 1-го типа;</w:t>
      </w:r>
    </w:p>
    <w:p>
      <w:pPr>
        <w:pStyle w:val="0"/>
        <w:jc w:val="both"/>
      </w:pPr>
      <w:r>
        <w:rPr>
          <w:sz w:val="20"/>
        </w:rPr>
        <w:t xml:space="preserve">(п. 27 в ред. Федерального </w:t>
      </w:r>
      <w:hyperlink w:history="0" r:id="rId4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28) пожарный риск - мера возможности реализации пожарной опасности объекта защиты и ее последствий для людей и материальных ценностей;</w:t>
      </w:r>
    </w:p>
    <w:p>
      <w:pPr>
        <w:pStyle w:val="0"/>
        <w:spacing w:before="200" w:line-rule="auto"/>
        <w:ind w:firstLine="540"/>
        <w:jc w:val="both"/>
      </w:pPr>
      <w:r>
        <w:rPr>
          <w:sz w:val="20"/>
        </w:rPr>
        <w:t xml:space="preserve">29) пожаровзрывоопасность веществ и материалов - способность веществ и материалов к образованию горючей (пожароопасной или взрывоопасной) среды, характеризуемая их физико-химическими свойствами и (или) поведением в условиях пожара;</w:t>
      </w:r>
    </w:p>
    <w:p>
      <w:pPr>
        <w:pStyle w:val="0"/>
        <w:spacing w:before="200" w:line-rule="auto"/>
        <w:ind w:firstLine="540"/>
        <w:jc w:val="both"/>
      </w:pPr>
      <w:r>
        <w:rPr>
          <w:sz w:val="20"/>
        </w:rPr>
        <w:t xml:space="preserve">30) пожароопасная (взрывоопасная) зона - часть замкнутого или открытого пространства, в пределах которого постоянно или периодически обращаются горючие вещества и в котором они могут находиться при нормальном режиме технологического процесса или его нарушении (аварии);</w:t>
      </w:r>
    </w:p>
    <w:p>
      <w:pPr>
        <w:pStyle w:val="0"/>
        <w:spacing w:before="200" w:line-rule="auto"/>
        <w:ind w:firstLine="540"/>
        <w:jc w:val="both"/>
      </w:pPr>
      <w:r>
        <w:rPr>
          <w:sz w:val="20"/>
        </w:rPr>
        <w:t xml:space="preserve">31) - 33) утратили силу. - Федеральный </w:t>
      </w:r>
      <w:hyperlink w:history="0" r:id="rId4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34) производственные объекты - 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речного, морского, воздушного и трубопроводного транспорта), объекты связи;</w:t>
      </w:r>
    </w:p>
    <w:p>
      <w:pPr>
        <w:pStyle w:val="0"/>
        <w:spacing w:before="200" w:line-rule="auto"/>
        <w:ind w:firstLine="540"/>
        <w:jc w:val="both"/>
      </w:pPr>
      <w:r>
        <w:rPr>
          <w:sz w:val="20"/>
        </w:rPr>
        <w:t xml:space="preserve">35) противопожарная преграда - строительная конструкция с нормированными пределом огнестойкости и классом конструктивной пожарной опасности конструкции, объемный элемент здания или иное инженерное решение, предназначенные для предотвращения распространения пожара из одной части здания, сооружения в другую или между зданиями, сооружениями, зелеными насаждениями;</w:t>
      </w:r>
    </w:p>
    <w:p>
      <w:pPr>
        <w:pStyle w:val="0"/>
        <w:jc w:val="both"/>
      </w:pPr>
      <w:r>
        <w:rPr>
          <w:sz w:val="20"/>
        </w:rPr>
        <w:t xml:space="preserve">(в ред. Федерального </w:t>
      </w:r>
      <w:hyperlink w:history="0" r:id="rId4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36) противопожарный разрыв (противопожарное расстояние) - нормированное расстояние между зданиями, сооружениями, устанавливаемое для предотвращения распространения пожара;</w:t>
      </w:r>
    </w:p>
    <w:p>
      <w:pPr>
        <w:pStyle w:val="0"/>
        <w:jc w:val="both"/>
      </w:pPr>
      <w:r>
        <w:rPr>
          <w:sz w:val="20"/>
        </w:rPr>
        <w:t xml:space="preserve">(в ред. Федеральных законов от 10.07.2012 </w:t>
      </w:r>
      <w:hyperlink w:history="0" r:id="rId5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14.07.2022 </w:t>
      </w:r>
      <w:hyperlink w:history="0" r:id="rId5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37) - 38) утратили силу. - Федеральный </w:t>
      </w:r>
      <w:hyperlink w:history="0" r:id="rId5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39) система предотвращения пожара - комплекс организационных мероприятий и технических средств, исключающих возможность возникновения пожара на объекте защиты;</w:t>
      </w:r>
    </w:p>
    <w:p>
      <w:pPr>
        <w:pStyle w:val="0"/>
        <w:spacing w:before="200" w:line-rule="auto"/>
        <w:ind w:firstLine="540"/>
        <w:jc w:val="both"/>
      </w:pPr>
      <w:r>
        <w:rPr>
          <w:sz w:val="20"/>
        </w:rPr>
        <w:t xml:space="preserve">40) система противодымной защиты - комплекс организационных мероприятий, объемно-планировочных решений, инженерных систем и технических средств, направленных на предотвращение или ограничение опасности задымления зданий и сооружений при пожаре, а также воздействия опасных факторов пожара на людей и материальные ценности;</w:t>
      </w:r>
    </w:p>
    <w:p>
      <w:pPr>
        <w:pStyle w:val="0"/>
        <w:jc w:val="both"/>
      </w:pPr>
      <w:r>
        <w:rPr>
          <w:sz w:val="20"/>
        </w:rPr>
        <w:t xml:space="preserve">(в ред. Федерального </w:t>
      </w:r>
      <w:hyperlink w:history="0" r:id="rId5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41) система противопожарной защиты - комплекс организационных мероприятий и технических средств, направленных на защиту людей и имущества от воздействия опасных факторов пожара и (или) ограничение последствий воздействия опасных факторов пожара на объект защиты (продукцию);</w:t>
      </w:r>
    </w:p>
    <w:p>
      <w:pPr>
        <w:pStyle w:val="0"/>
        <w:spacing w:before="200" w:line-rule="auto"/>
        <w:ind w:firstLine="540"/>
        <w:jc w:val="both"/>
      </w:pPr>
      <w:r>
        <w:rPr>
          <w:sz w:val="20"/>
        </w:rPr>
        <w:t xml:space="preserve">42) утратил силу. - Федеральный </w:t>
      </w:r>
      <w:hyperlink w:history="0" r:id="rId5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spacing w:before="200" w:line-rule="auto"/>
        <w:ind w:firstLine="540"/>
        <w:jc w:val="both"/>
      </w:pPr>
      <w:r>
        <w:rPr>
          <w:sz w:val="20"/>
        </w:rPr>
        <w:t xml:space="preserve">43) социальный пожарный риск - степень опасности, ведущей к гибели группы людей в результате воздействия опасных факторов пожара;</w:t>
      </w:r>
    </w:p>
    <w:p>
      <w:pPr>
        <w:pStyle w:val="0"/>
        <w:spacing w:before="200" w:line-rule="auto"/>
        <w:ind w:firstLine="540"/>
        <w:jc w:val="both"/>
      </w:pPr>
      <w:r>
        <w:rPr>
          <w:sz w:val="20"/>
        </w:rPr>
        <w:t xml:space="preserve">44) степень огнестойкости зданий, сооружений и пожарных отсеков - классификационная характеристика зданий, сооружений и пожарных отсеков, определяемая пределами огнестойкости конструкций, применяемых для строительства указанных зданий, сооружений и отсеков;</w:t>
      </w:r>
    </w:p>
    <w:p>
      <w:pPr>
        <w:pStyle w:val="0"/>
        <w:jc w:val="both"/>
      </w:pPr>
      <w:r>
        <w:rPr>
          <w:sz w:val="20"/>
        </w:rPr>
        <w:t xml:space="preserve">(в ред. Федерального </w:t>
      </w:r>
      <w:hyperlink w:history="0" r:id="rId5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45) утратил силу. - Федеральный </w:t>
      </w:r>
      <w:hyperlink w:history="0" r:id="rId5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46) технологическая среда - вещества и материалы, обращающиеся в технологической аппаратуре (технологической системе);</w:t>
      </w:r>
    </w:p>
    <w:p>
      <w:pPr>
        <w:pStyle w:val="0"/>
        <w:spacing w:before="200" w:line-rule="auto"/>
        <w:ind w:firstLine="540"/>
        <w:jc w:val="both"/>
      </w:pPr>
      <w:r>
        <w:rPr>
          <w:sz w:val="20"/>
        </w:rPr>
        <w:t xml:space="preserve">47) устойчивость объекта защиты при пожаре - свойство объекта защиты сохранять конструктивную целостность и (или) функциональное назначение при воздействии опасных факторов пожара и вторичных проявлений опасных факторов пожара;</w:t>
      </w:r>
    </w:p>
    <w:p>
      <w:pPr>
        <w:pStyle w:val="0"/>
        <w:spacing w:before="200" w:line-rule="auto"/>
        <w:ind w:firstLine="540"/>
        <w:jc w:val="both"/>
      </w:pPr>
      <w:r>
        <w:rPr>
          <w:sz w:val="20"/>
        </w:rPr>
        <w:t xml:space="preserve">48) эвакуационный выход - выход, ведущий на путь эвакуации, непосредственно наружу или в безопасную зону;</w:t>
      </w:r>
    </w:p>
    <w:p>
      <w:pPr>
        <w:pStyle w:val="0"/>
        <w:spacing w:before="200" w:line-rule="auto"/>
        <w:ind w:firstLine="540"/>
        <w:jc w:val="both"/>
      </w:pPr>
      <w:r>
        <w:rPr>
          <w:sz w:val="20"/>
        </w:rPr>
        <w:t xml:space="preserve">49) эвакуационный путь (путь эвакуации) - путь движения и (или) перемещения людей, ведущий непосредственно наружу или в безопасную зону, удовлетворяющий требованиям безопасной эвакуации людей при пожаре;</w:t>
      </w:r>
    </w:p>
    <w:p>
      <w:pPr>
        <w:pStyle w:val="0"/>
        <w:spacing w:before="200" w:line-rule="auto"/>
        <w:ind w:firstLine="540"/>
        <w:jc w:val="both"/>
      </w:pPr>
      <w:r>
        <w:rPr>
          <w:sz w:val="20"/>
        </w:rPr>
        <w:t xml:space="preserve">50) эвакуация - процесс организованного самостоятельного движения людей непосредственно наружу или в безопасную зону по путям эвакуации через эвакуационные выходы;</w:t>
      </w:r>
    </w:p>
    <w:p>
      <w:pPr>
        <w:pStyle w:val="0"/>
        <w:jc w:val="both"/>
      </w:pPr>
      <w:r>
        <w:rPr>
          <w:sz w:val="20"/>
        </w:rPr>
        <w:t xml:space="preserve">(п. 50 в ред. Федерального </w:t>
      </w:r>
      <w:hyperlink w:history="0" r:id="rId5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51) экранная стена - самонесущая строительная конструкция или заполнение проема в строительной конструкции с нормированным пределом огнестойкости, предназначенные для предотвращения распространения пожара.</w:t>
      </w:r>
    </w:p>
    <w:p>
      <w:pPr>
        <w:pStyle w:val="0"/>
        <w:jc w:val="both"/>
      </w:pPr>
      <w:r>
        <w:rPr>
          <w:sz w:val="20"/>
        </w:rPr>
        <w:t xml:space="preserve">(п. 51 введен Федеральным </w:t>
      </w:r>
      <w:hyperlink w:history="0" r:id="rId5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14.07.2022 N 276-ФЗ)</w:t>
      </w:r>
    </w:p>
    <w:p>
      <w:pPr>
        <w:pStyle w:val="0"/>
        <w:ind w:firstLine="540"/>
        <w:jc w:val="both"/>
      </w:pPr>
      <w:r>
        <w:rPr>
          <w:sz w:val="20"/>
        </w:rPr>
      </w:r>
    </w:p>
    <w:p>
      <w:pPr>
        <w:pStyle w:val="2"/>
        <w:outlineLvl w:val="3"/>
        <w:ind w:firstLine="540"/>
        <w:jc w:val="both"/>
      </w:pPr>
      <w:r>
        <w:rPr>
          <w:sz w:val="20"/>
        </w:rPr>
        <w:t xml:space="preserve">Статья 3. Правовые основы технического регулирования в области пожарной безопасности</w:t>
      </w:r>
    </w:p>
    <w:p>
      <w:pPr>
        <w:pStyle w:val="0"/>
        <w:ind w:firstLine="540"/>
        <w:jc w:val="both"/>
      </w:pPr>
      <w:r>
        <w:rPr>
          <w:sz w:val="20"/>
        </w:rPr>
      </w:r>
    </w:p>
    <w:p>
      <w:pPr>
        <w:pStyle w:val="0"/>
        <w:ind w:firstLine="540"/>
        <w:jc w:val="both"/>
      </w:pPr>
      <w:r>
        <w:rPr>
          <w:sz w:val="20"/>
        </w:rPr>
        <w:t xml:space="preserve">Правовой основой технического регулирования в области пожарной безопасности являются </w:t>
      </w:r>
      <w:hyperlink w:history="0" r:id="rId5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общепризнанные принципы и нормы международного права, международные договоры Российской Федерации, Федеральный </w:t>
      </w:r>
      <w:hyperlink w:history="0" r:id="rId60"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w:t>
        </w:r>
      </w:hyperlink>
      <w:r>
        <w:rPr>
          <w:sz w:val="20"/>
        </w:rPr>
        <w:t xml:space="preserve"> "О техническом регулировании", Федеральный </w:t>
      </w:r>
      <w:hyperlink w:history="0" r:id="rId61" w:tooltip="Федеральный закон от 21.12.1994 N 69-ФЗ (ред. от 14.07.2022) &quot;О пожарной безопасности&quot; (с изм. и доп., вступ. в силу с 13.10.2022) {КонсультантПлюс}">
        <w:r>
          <w:rPr>
            <w:sz w:val="20"/>
            <w:color w:val="0000ff"/>
          </w:rPr>
          <w:t xml:space="preserve">закон</w:t>
        </w:r>
      </w:hyperlink>
      <w:r>
        <w:rPr>
          <w:sz w:val="20"/>
        </w:rPr>
        <w:t xml:space="preserve"> "О пожарной безопасности" и настоящий Федеральный закон, в соответствии с которыми разрабатываются и принимаются нормативные правовые акты Российской Федерации, регулирующие вопросы обеспечения пожарной безопасности объектов защиты (продукции).</w:t>
      </w:r>
    </w:p>
    <w:p>
      <w:pPr>
        <w:pStyle w:val="0"/>
        <w:ind w:firstLine="540"/>
        <w:jc w:val="both"/>
      </w:pPr>
      <w:r>
        <w:rPr>
          <w:sz w:val="20"/>
        </w:rPr>
      </w:r>
    </w:p>
    <w:p>
      <w:pPr>
        <w:pStyle w:val="2"/>
        <w:outlineLvl w:val="3"/>
        <w:ind w:firstLine="540"/>
        <w:jc w:val="both"/>
      </w:pPr>
      <w:r>
        <w:rPr>
          <w:sz w:val="20"/>
        </w:rPr>
        <w:t xml:space="preserve">Статья 4. Техническое регулирование в области пожарной безопасности</w:t>
      </w:r>
    </w:p>
    <w:p>
      <w:pPr>
        <w:pStyle w:val="0"/>
        <w:ind w:firstLine="540"/>
        <w:jc w:val="both"/>
      </w:pPr>
      <w:r>
        <w:rPr>
          <w:sz w:val="20"/>
        </w:rPr>
      </w:r>
    </w:p>
    <w:p>
      <w:pPr>
        <w:pStyle w:val="0"/>
        <w:ind w:firstLine="540"/>
        <w:jc w:val="both"/>
      </w:pPr>
      <w:r>
        <w:rPr>
          <w:sz w:val="20"/>
        </w:rPr>
        <w:t xml:space="preserve">1. Техническое регулирование в области пожарной безопасности представляет собой:</w:t>
      </w:r>
    </w:p>
    <w:p>
      <w:pPr>
        <w:pStyle w:val="0"/>
        <w:spacing w:before="200" w:line-rule="auto"/>
        <w:ind w:firstLine="540"/>
        <w:jc w:val="both"/>
      </w:pPr>
      <w:r>
        <w:rPr>
          <w:sz w:val="20"/>
        </w:rPr>
        <w:t xml:space="preserve">1) установление в нормативных правовых актах Российской Федерации и нормативных документах по пожарной безопасности требований пожарной безопасности к продукции, процессам проектирования, производства, эксплуатации, хранения, транспортирования, реализации и утилизации;</w:t>
      </w:r>
    </w:p>
    <w:p>
      <w:pPr>
        <w:pStyle w:val="0"/>
        <w:spacing w:before="200" w:line-rule="auto"/>
        <w:ind w:firstLine="540"/>
        <w:jc w:val="both"/>
      </w:pPr>
      <w:r>
        <w:rPr>
          <w:sz w:val="20"/>
        </w:rPr>
        <w:t xml:space="preserve">2) правовое регулирование отношений в области применения и использования требований пожарной безопасности;</w:t>
      </w:r>
    </w:p>
    <w:p>
      <w:pPr>
        <w:pStyle w:val="0"/>
        <w:spacing w:before="200" w:line-rule="auto"/>
        <w:ind w:firstLine="540"/>
        <w:jc w:val="both"/>
      </w:pPr>
      <w:r>
        <w:rPr>
          <w:sz w:val="20"/>
        </w:rPr>
        <w:t xml:space="preserve">3) правовое регулирование отношений в области оценки соответствия.</w:t>
      </w:r>
    </w:p>
    <w:p>
      <w:pPr>
        <w:pStyle w:val="0"/>
        <w:spacing w:before="200" w:line-rule="auto"/>
        <w:ind w:firstLine="540"/>
        <w:jc w:val="both"/>
      </w:pPr>
      <w:r>
        <w:rPr>
          <w:sz w:val="20"/>
        </w:rPr>
        <w:t xml:space="preserve">2. К нормативным правовым актам Российской Федерации по пожарной безопасности относятся технические регламенты, принятые в соответствии с Федеральным </w:t>
      </w:r>
      <w:hyperlink w:history="0" r:id="rId62"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 техническом регулировании", федеральные законы и иные нормативные правовые акты Российской Федерации, устанавливающие обязательные для исполнения требования пожарной безопасности.</w:t>
      </w:r>
    </w:p>
    <w:p>
      <w:pPr>
        <w:pStyle w:val="0"/>
        <w:jc w:val="both"/>
      </w:pPr>
      <w:r>
        <w:rPr>
          <w:sz w:val="20"/>
        </w:rPr>
        <w:t xml:space="preserve">(в ред. Федерального </w:t>
      </w:r>
      <w:hyperlink w:history="0" r:id="rId6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К нормативным документам по пожарной безопасности относятся:</w:t>
      </w:r>
    </w:p>
    <w:bookmarkStart w:id="127" w:name="P127"/>
    <w:bookmarkEnd w:id="127"/>
    <w:p>
      <w:pPr>
        <w:pStyle w:val="0"/>
        <w:spacing w:before="200" w:line-rule="auto"/>
        <w:ind w:firstLine="540"/>
        <w:jc w:val="both"/>
      </w:pPr>
      <w:r>
        <w:rPr>
          <w:sz w:val="20"/>
        </w:rPr>
        <w:t xml:space="preserve">1) национальные стандарты, своды правил, а также иные содержащие требования пожарной безопасности документы, которые включены в перечень документов по стандартизации и в результате применения которых на добровольной основе обеспечивается соблюдение требований настоящего Федерального закона;</w:t>
      </w:r>
    </w:p>
    <w:p>
      <w:pPr>
        <w:pStyle w:val="0"/>
        <w:spacing w:before="200" w:line-rule="auto"/>
        <w:ind w:firstLine="540"/>
        <w:jc w:val="both"/>
      </w:pPr>
      <w:r>
        <w:rPr>
          <w:sz w:val="20"/>
        </w:rPr>
        <w:t xml:space="preserve">2) стандарты организаций, содержащие требования пожарной безопасности, а также специальные технические условия, отражающие специфику обеспечения пожарной безопасности зданий и сооружений и содержащие комплекс необходимых инженерно-технических и организационных мероприятий по обеспечению пожарной безопасности.</w:t>
      </w:r>
    </w:p>
    <w:p>
      <w:pPr>
        <w:pStyle w:val="0"/>
        <w:jc w:val="both"/>
      </w:pPr>
      <w:r>
        <w:rPr>
          <w:sz w:val="20"/>
        </w:rPr>
        <w:t xml:space="preserve">(часть 3 в ред. Федерального </w:t>
      </w:r>
      <w:hyperlink w:history="0" r:id="rId6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4. В случае, если положениями настоящего Федерального закона (за исключением положений </w:t>
      </w:r>
      <w:hyperlink w:history="0" w:anchor="P864" w:tooltip="Статья 64. Требования к декларации пожарной безопасности">
        <w:r>
          <w:rPr>
            <w:sz w:val="20"/>
            <w:color w:val="0000ff"/>
          </w:rPr>
          <w:t xml:space="preserve">статьи 64</w:t>
        </w:r>
      </w:hyperlink>
      <w:r>
        <w:rPr>
          <w:sz w:val="20"/>
        </w:rPr>
        <w:t xml:space="preserve">, </w:t>
      </w:r>
      <w:hyperlink w:history="0" w:anchor="P1086" w:tooltip="1. Электроустановки зданий и сооружений должны соответствовать классу пожаровзрывоопасной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даниях класса функциональной пожарной опасности Ф1.1 с круглосуточным пребыванием людей, должны предусматриваться автономные резервные источники электроснабжения.">
        <w:r>
          <w:rPr>
            <w:sz w:val="20"/>
            <w:color w:val="0000ff"/>
          </w:rPr>
          <w:t xml:space="preserve">части 1 статьи 82</w:t>
        </w:r>
      </w:hyperlink>
      <w:r>
        <w:rPr>
          <w:sz w:val="20"/>
        </w:rPr>
        <w:t xml:space="preserve">, </w:t>
      </w:r>
      <w:hyperlink w:history="0" w:anchor="P1127" w:tooltip="7. Системы пожарной сигнализации должны обеспечивать подачу светового и звукового сигналов о возникновении пожара на прибор приемно-контрольный пожарный, устанавливаемый в помещении дежурного персонала, или на специальные выносные устройства оповещения, а в зданиях классов функциональной пожарной опасности Ф1.1, Ф1.2, Ф4.1, Ф4.2 с автоматическим дублированием этих сигналов в подразделение пожарной охраны с использованием системы передачи извещений о пожаре.">
        <w:r>
          <w:rPr>
            <w:sz w:val="20"/>
            <w:color w:val="0000ff"/>
          </w:rPr>
          <w:t xml:space="preserve">части 7 статьи 83</w:t>
        </w:r>
      </w:hyperlink>
      <w:r>
        <w:rPr>
          <w:sz w:val="20"/>
        </w:rPr>
        <w:t xml:space="preserve">, </w:t>
      </w:r>
      <w:hyperlink w:history="0" w:anchor="P1135" w:tooltip="Статья 84. Требования пожарной безопасности к системам оповещения людей о пожаре и управления эвакуацией людей в зданиях и сооружениях">
        <w:r>
          <w:rPr>
            <w:sz w:val="20"/>
            <w:color w:val="0000ff"/>
          </w:rPr>
          <w:t xml:space="preserve">части 12 статьи 84</w:t>
        </w:r>
      </w:hyperlink>
      <w:r>
        <w:rPr>
          <w:sz w:val="20"/>
        </w:rPr>
        <w:t xml:space="preserve">, </w:t>
      </w:r>
      <w:hyperlink w:history="0" w:anchor="P1402" w:tooltip="1. Подразделения пожарной охраны и здания пожарных депо размещаются на производственных объектах:">
        <w:r>
          <w:rPr>
            <w:sz w:val="20"/>
            <w:color w:val="0000ff"/>
          </w:rPr>
          <w:t xml:space="preserve">частей 1.1</w:t>
        </w:r>
      </w:hyperlink>
      <w:r>
        <w:rPr>
          <w:sz w:val="20"/>
        </w:rPr>
        <w:t xml:space="preserve"> и </w:t>
      </w:r>
      <w:hyperlink w:history="0" w:anchor="P1406" w:tooltip="2. Подразделения пожарной охраны оснащаются пожарными автомобилями исходя из специфики производственных объектов, требуемого расхода воды на наружное пожаротушение, однородности средств пожаротушения, а также с учетом показателей пожарной опасности, токсичности, химической активности хранящихся и обращающихся на производственных объектах веществ и материалов. Тип и количество пожарных автомобилей подразделений пожарной охраны на производственных объектах определяются с учетом привлекаемых для тушения пож...">
        <w:r>
          <w:rPr>
            <w:sz w:val="20"/>
            <w:color w:val="0000ff"/>
          </w:rPr>
          <w:t xml:space="preserve">1.2 статьи 97</w:t>
        </w:r>
      </w:hyperlink>
      <w:r>
        <w:rPr>
          <w:sz w:val="20"/>
        </w:rPr>
        <w:t xml:space="preserve"> настоящего Федерального закона)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 были введены в эксплуатацию либо проектная документация на которые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перевооружению.</w:t>
      </w:r>
    </w:p>
    <w:p>
      <w:pPr>
        <w:pStyle w:val="0"/>
        <w:jc w:val="both"/>
      </w:pPr>
      <w:r>
        <w:rPr>
          <w:sz w:val="20"/>
        </w:rPr>
        <w:t xml:space="preserve">(часть 4 в ред. Федерального </w:t>
      </w:r>
      <w:hyperlink w:history="0" r:id="rId6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5. На территориях Республики Крым и города федерального значения Севастополя в отношении объектов защиты, которые были введены в эксплуатацию либо проектная документация на которые была направлена на экспертизу до 1 января 2015 года, ранее действовавшие требования пожарной безопасности применяются до 1 сентября 2018 года.</w:t>
      </w:r>
    </w:p>
    <w:p>
      <w:pPr>
        <w:pStyle w:val="0"/>
        <w:jc w:val="both"/>
      </w:pPr>
      <w:r>
        <w:rPr>
          <w:sz w:val="20"/>
        </w:rPr>
        <w:t xml:space="preserve">(часть 5 введена Федеральным </w:t>
      </w:r>
      <w:hyperlink w:history="0" r:id="rId66" w:tooltip="Федеральный закон от 03.07.2016 N 301-ФЗ &quot;О внесении изменения в статью 4 Федерального закона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03.07.2016 N 301-ФЗ)</w:t>
      </w:r>
    </w:p>
    <w:p>
      <w:pPr>
        <w:pStyle w:val="0"/>
        <w:ind w:firstLine="540"/>
        <w:jc w:val="both"/>
      </w:pPr>
      <w:r>
        <w:rPr>
          <w:sz w:val="20"/>
        </w:rPr>
      </w:r>
    </w:p>
    <w:p>
      <w:pPr>
        <w:pStyle w:val="2"/>
        <w:outlineLvl w:val="3"/>
        <w:ind w:firstLine="540"/>
        <w:jc w:val="both"/>
      </w:pPr>
      <w:r>
        <w:rPr>
          <w:sz w:val="20"/>
        </w:rPr>
        <w:t xml:space="preserve">Статья 5. Обеспечение пожарной безопасности объектов защиты</w:t>
      </w:r>
    </w:p>
    <w:p>
      <w:pPr>
        <w:pStyle w:val="0"/>
        <w:ind w:firstLine="540"/>
        <w:jc w:val="both"/>
      </w:pPr>
      <w:r>
        <w:rPr>
          <w:sz w:val="20"/>
        </w:rPr>
      </w:r>
    </w:p>
    <w:p>
      <w:pPr>
        <w:pStyle w:val="0"/>
        <w:ind w:firstLine="540"/>
        <w:jc w:val="both"/>
      </w:pPr>
      <w:r>
        <w:rPr>
          <w:sz w:val="20"/>
        </w:rPr>
        <w:t xml:space="preserve">1. Каждый объект защиты должен иметь систему обеспечения пожарной безопасности.</w:t>
      </w:r>
    </w:p>
    <w:p>
      <w:pPr>
        <w:pStyle w:val="0"/>
        <w:spacing w:before="200" w:line-rule="auto"/>
        <w:ind w:firstLine="540"/>
        <w:jc w:val="both"/>
      </w:pPr>
      <w:r>
        <w:rPr>
          <w:sz w:val="20"/>
        </w:rPr>
        <w:t xml:space="preserve">2. Целью создания системы обеспечения пожарной безопасности объекта защиты является предотвращение пожара, обеспечение безопасности людей и защита имущества при пожаре.</w:t>
      </w:r>
    </w:p>
    <w:p>
      <w:pPr>
        <w:pStyle w:val="0"/>
        <w:spacing w:before="200" w:line-rule="auto"/>
        <w:ind w:firstLine="540"/>
        <w:jc w:val="both"/>
      </w:pPr>
      <w:r>
        <w:rPr>
          <w:sz w:val="20"/>
        </w:rPr>
        <w:t xml:space="preserve">3. Система обеспечения пожарной безопасности объекта защиты включает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p>
    <w:p>
      <w:pPr>
        <w:pStyle w:val="0"/>
        <w:spacing w:before="200" w:line-rule="auto"/>
        <w:ind w:firstLine="540"/>
        <w:jc w:val="both"/>
      </w:pPr>
      <w:r>
        <w:rPr>
          <w:sz w:val="20"/>
        </w:rPr>
        <w:t xml:space="preserve">4. Система обеспечения пожарной безопасности объекта защиты в обязательном порядке должна содержать комплекс мероприятий, исключающих возможность превышения значений допустимого пожарного риска, установленного настоящим Федеральным законом, и направленных на предотвращение опасности причинения вреда третьим лицам в результате пожара.</w:t>
      </w:r>
    </w:p>
    <w:p>
      <w:pPr>
        <w:pStyle w:val="0"/>
        <w:ind w:firstLine="540"/>
        <w:jc w:val="both"/>
      </w:pPr>
      <w:r>
        <w:rPr>
          <w:sz w:val="20"/>
        </w:rPr>
      </w:r>
    </w:p>
    <w:p>
      <w:pPr>
        <w:pStyle w:val="2"/>
        <w:outlineLvl w:val="3"/>
        <w:ind w:firstLine="540"/>
        <w:jc w:val="both"/>
      </w:pPr>
      <w:r>
        <w:rPr>
          <w:sz w:val="20"/>
        </w:rPr>
        <w:t xml:space="preserve">Статья 6. Условия соответствия объекта защиты требованиям пожарной безопасности</w:t>
      </w:r>
    </w:p>
    <w:p>
      <w:pPr>
        <w:pStyle w:val="0"/>
        <w:ind w:firstLine="540"/>
        <w:jc w:val="both"/>
      </w:pPr>
      <w:r>
        <w:rPr>
          <w:sz w:val="20"/>
        </w:rPr>
      </w:r>
    </w:p>
    <w:p>
      <w:pPr>
        <w:pStyle w:val="0"/>
        <w:ind w:firstLine="540"/>
        <w:jc w:val="both"/>
      </w:pPr>
      <w:r>
        <w:rPr>
          <w:sz w:val="20"/>
        </w:rPr>
        <w:t xml:space="preserve">1. Пожарная безопасность объекта защиты считается обеспеченной при выполнении в полном объеме требований пожарной безопасности, установленных настоящим Федеральным законом, а также одного из следующих условий:</w:t>
      </w:r>
    </w:p>
    <w:p>
      <w:pPr>
        <w:pStyle w:val="0"/>
        <w:spacing w:before="200" w:line-rule="auto"/>
        <w:ind w:firstLine="540"/>
        <w:jc w:val="both"/>
      </w:pPr>
      <w:r>
        <w:rPr>
          <w:sz w:val="20"/>
        </w:rPr>
        <w:t xml:space="preserve">1) выполнены требования пожарной безопасности, содержащиеся в нормативных документах по пожарной безопасности, указанных в </w:t>
      </w:r>
      <w:hyperlink w:history="0" w:anchor="P127" w:tooltip="1) национальные стандарты, своды правил, а также иные содержащие требования пожарной безопасности документы, которые включены в перечень документов по стандартизации и в результате применения которых на добровольной основе обеспечивается соблюдение требований настоящего Федерального закона;">
        <w:r>
          <w:rPr>
            <w:sz w:val="20"/>
            <w:color w:val="0000ff"/>
          </w:rPr>
          <w:t xml:space="preserve">пункте 1 части 3 статьи 4</w:t>
        </w:r>
      </w:hyperlink>
      <w:r>
        <w:rPr>
          <w:sz w:val="20"/>
        </w:rPr>
        <w:t xml:space="preserve"> настоящего Федерального закона;</w:t>
      </w:r>
    </w:p>
    <w:p>
      <w:pPr>
        <w:pStyle w:val="0"/>
        <w:spacing w:before="200" w:line-rule="auto"/>
        <w:ind w:firstLine="540"/>
        <w:jc w:val="both"/>
      </w:pPr>
      <w:r>
        <w:rPr>
          <w:sz w:val="20"/>
        </w:rPr>
        <w:t xml:space="preserve">2) пожарный риск не превышает допустимых значений, установленных настоящим Федеральным законом;</w:t>
      </w:r>
    </w:p>
    <w:p>
      <w:pPr>
        <w:pStyle w:val="0"/>
        <w:spacing w:before="200" w:line-rule="auto"/>
        <w:ind w:firstLine="540"/>
        <w:jc w:val="both"/>
      </w:pPr>
      <w:r>
        <w:rPr>
          <w:sz w:val="20"/>
        </w:rPr>
        <w:t xml:space="preserve">3) выполнены требования пожарной безопасности, содержащиеся в специальных технических условиях, отражающих специфику обеспечения пожарной безопасности зданий и сооружений и содержащих комплекс необходимых инженерно-технических и организационных мероприятий по обеспечению пожарной безопасности, согласованных в порядке, установленном федеральным органом исполнительной власти, уполномоченным на решение задач в области пожарной безопасности;</w:t>
      </w:r>
    </w:p>
    <w:p>
      <w:pPr>
        <w:pStyle w:val="0"/>
        <w:spacing w:before="200" w:line-rule="auto"/>
        <w:ind w:firstLine="540"/>
        <w:jc w:val="both"/>
      </w:pPr>
      <w:r>
        <w:rPr>
          <w:sz w:val="20"/>
        </w:rPr>
        <w:t xml:space="preserve">4) выполнены требования пожарной безопасности, содержащиеся в стандарте организации, который согласован в </w:t>
      </w:r>
      <w:hyperlink w:history="0" r:id="rId67" w:tooltip="Приказ МЧС России от 15.11.2022 N 1161 &quot;Об утверждении Порядка согласования стандартов организаций, содержащих требования пожарной безопасности&quot; (Зарегистрировано в Минюсте России 30.11.2022 N 71259) {КонсультантПлюс}">
        <w:r>
          <w:rPr>
            <w:sz w:val="20"/>
            <w:color w:val="0000ff"/>
          </w:rPr>
          <w:t xml:space="preserve">порядке</w:t>
        </w:r>
      </w:hyperlink>
      <w:r>
        <w:rPr>
          <w:sz w:val="20"/>
        </w:rPr>
        <w:t xml:space="preserve">, установленном федеральным органом исполнительной власти, уполномоченным на решение задач в области пожарной безопасности;</w:t>
      </w:r>
    </w:p>
    <w:p>
      <w:pPr>
        <w:pStyle w:val="0"/>
        <w:spacing w:before="200" w:line-rule="auto"/>
        <w:ind w:firstLine="540"/>
        <w:jc w:val="both"/>
      </w:pPr>
      <w:r>
        <w:rPr>
          <w:sz w:val="20"/>
        </w:rPr>
        <w:t xml:space="preserve">5) результаты исследований, расчетов и (или) испытаний подтверждают обеспечение пожарной безопасности объекта защиты в соответствии с </w:t>
      </w:r>
      <w:hyperlink w:history="0" w:anchor="P158" w:tooltip="7. Порядок проведения расчетов по оценке пожарного риска определяется нормативными правовыми актами Российской Федерации и нормативными документами по пожарной безопасности.">
        <w:r>
          <w:rPr>
            <w:sz w:val="20"/>
            <w:color w:val="0000ff"/>
          </w:rPr>
          <w:t xml:space="preserve">частью 7</w:t>
        </w:r>
      </w:hyperlink>
      <w:r>
        <w:rPr>
          <w:sz w:val="20"/>
        </w:rPr>
        <w:t xml:space="preserve"> настоящей статьи.</w:t>
      </w:r>
    </w:p>
    <w:p>
      <w:pPr>
        <w:pStyle w:val="0"/>
        <w:jc w:val="both"/>
      </w:pPr>
      <w:r>
        <w:rPr>
          <w:sz w:val="20"/>
        </w:rPr>
        <w:t xml:space="preserve">(часть 1 в ред. Федерального </w:t>
      </w:r>
      <w:hyperlink w:history="0" r:id="rId6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 Утратил силу. - Федеральный </w:t>
      </w:r>
      <w:hyperlink w:history="0" r:id="rId6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spacing w:before="200" w:line-rule="auto"/>
        <w:ind w:firstLine="540"/>
        <w:jc w:val="both"/>
      </w:pPr>
      <w:r>
        <w:rPr>
          <w:sz w:val="20"/>
        </w:rPr>
        <w:t xml:space="preserve">3. При выполнении обязательных требований пожарной безопасности, установленных техническими регламентами, принятыми в соответствии с Федеральным </w:t>
      </w:r>
      <w:hyperlink w:history="0" r:id="rId70"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 техническом регулировании", и требований нормативных документов по пожарной безопасности, а также для объектов защиты, которые были введены в эксплуатацию или проектная документация на которые была направлена на экспертизу до дня вступления в силу настоящего Федерального закона, расчет пожарного риска не требуется.</w:t>
      </w:r>
    </w:p>
    <w:p>
      <w:pPr>
        <w:pStyle w:val="0"/>
        <w:jc w:val="both"/>
      </w:pPr>
      <w:r>
        <w:rPr>
          <w:sz w:val="20"/>
        </w:rPr>
        <w:t xml:space="preserve">(часть 3 в ред. Федерального </w:t>
      </w:r>
      <w:hyperlink w:history="0" r:id="rId7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4. Утратил силу. - Федеральный </w:t>
      </w:r>
      <w:hyperlink w:history="0" r:id="rId7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5. Собственник объекта защиты или лицо, которое владеет им на ином законном основании (на праве аренды, хозяйственного ведения, оперативного управления и другое), должны в рамках реализации мер пожарной безопасности в соответствии со </w:t>
      </w:r>
      <w:hyperlink w:history="0" w:anchor="P864" w:tooltip="Статья 64. Требования к декларации пожарной безопасности">
        <w:r>
          <w:rPr>
            <w:sz w:val="20"/>
            <w:color w:val="0000ff"/>
          </w:rPr>
          <w:t xml:space="preserve">статьей 64</w:t>
        </w:r>
      </w:hyperlink>
      <w:r>
        <w:rPr>
          <w:sz w:val="20"/>
        </w:rPr>
        <w:t xml:space="preserve"> настоящего Федерального закона в течение шести месяцев со дня приобретения такого права разработать и представить в уведомительном порядке декларацию пожарной безопасности.</w:t>
      </w:r>
    </w:p>
    <w:p>
      <w:pPr>
        <w:pStyle w:val="0"/>
        <w:jc w:val="both"/>
      </w:pPr>
      <w:r>
        <w:rPr>
          <w:sz w:val="20"/>
        </w:rPr>
        <w:t xml:space="preserve">(часть 5 в ред. Федерального </w:t>
      </w:r>
      <w:hyperlink w:history="0" r:id="rId7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6. Расчеты по оценке пожарного риска являются составной частью </w:t>
      </w:r>
      <w:hyperlink w:history="0" r:id="rId74" w:tooltip="Приказ МЧС России от 16.03.2020 N 171 &quot;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регистрации декларации пожарной безопасности и формы декларации пожарной безопасности&quot; (Зарегистрировано в Минюсте России 17.04.2020 N 58127) {КонсультантПлюс}">
        <w:r>
          <w:rPr>
            <w:sz w:val="20"/>
            <w:color w:val="0000ff"/>
          </w:rPr>
          <w:t xml:space="preserve">декларации</w:t>
        </w:r>
      </w:hyperlink>
      <w:r>
        <w:rPr>
          <w:sz w:val="20"/>
        </w:rPr>
        <w:t xml:space="preserve"> пожарной безопасности или декларации промышленной безопасности (на объектах, для которых они должны быть разработаны в соответствии с законодательством Российской Федерации).</w:t>
      </w:r>
    </w:p>
    <w:bookmarkStart w:id="158" w:name="P158"/>
    <w:bookmarkEnd w:id="158"/>
    <w:p>
      <w:pPr>
        <w:pStyle w:val="0"/>
        <w:spacing w:before="200" w:line-rule="auto"/>
        <w:ind w:firstLine="540"/>
        <w:jc w:val="both"/>
      </w:pPr>
      <w:r>
        <w:rPr>
          <w:sz w:val="20"/>
        </w:rPr>
        <w:t xml:space="preserve">7. </w:t>
      </w:r>
      <w:r>
        <w:rPr>
          <w:sz w:val="20"/>
        </w:rPr>
        <w:t xml:space="preserve">Порядок</w:t>
      </w:r>
      <w:r>
        <w:rPr>
          <w:sz w:val="20"/>
        </w:rPr>
        <w:t xml:space="preserve"> проведения расчетов по оценке пожарного риска определяется нормативными правовыми актами Российской Федерации и нормативными документами по пожарной безопасности.</w:t>
      </w:r>
    </w:p>
    <w:p>
      <w:pPr>
        <w:pStyle w:val="0"/>
        <w:jc w:val="both"/>
      </w:pPr>
      <w:r>
        <w:rPr>
          <w:sz w:val="20"/>
        </w:rPr>
        <w:t xml:space="preserve">(в ред. Федерального </w:t>
      </w:r>
      <w:hyperlink w:history="0" r:id="rId7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8. Разработка декларации пожарной безопасности не требуется для обоснования пожарной безопасности пожарно-технической продукции и продукции общего назначения.</w:t>
      </w:r>
    </w:p>
    <w:p>
      <w:pPr>
        <w:pStyle w:val="0"/>
        <w:ind w:firstLine="540"/>
        <w:jc w:val="both"/>
      </w:pPr>
      <w:r>
        <w:rPr>
          <w:sz w:val="20"/>
        </w:rPr>
      </w:r>
    </w:p>
    <w:p>
      <w:pPr>
        <w:pStyle w:val="2"/>
        <w:outlineLvl w:val="3"/>
        <w:ind w:firstLine="540"/>
        <w:jc w:val="both"/>
      </w:pPr>
      <w:r>
        <w:rPr>
          <w:sz w:val="20"/>
        </w:rPr>
        <w:t xml:space="preserve">Статья 6.1. Идентификация объектов защиты</w:t>
      </w:r>
    </w:p>
    <w:p>
      <w:pPr>
        <w:pStyle w:val="0"/>
        <w:ind w:firstLine="540"/>
        <w:jc w:val="both"/>
      </w:pPr>
      <w:r>
        <w:rPr>
          <w:sz w:val="20"/>
        </w:rPr>
        <w:t xml:space="preserve">(введена Федеральным </w:t>
      </w:r>
      <w:hyperlink w:history="0" r:id="rId76"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29.07.2017 N 244-ФЗ)</w:t>
      </w:r>
    </w:p>
    <w:p>
      <w:pPr>
        <w:pStyle w:val="0"/>
        <w:ind w:firstLine="540"/>
        <w:jc w:val="both"/>
      </w:pPr>
      <w:r>
        <w:rPr>
          <w:sz w:val="20"/>
        </w:rPr>
      </w:r>
    </w:p>
    <w:p>
      <w:pPr>
        <w:pStyle w:val="0"/>
        <w:ind w:firstLine="540"/>
        <w:jc w:val="both"/>
      </w:pPr>
      <w:r>
        <w:rPr>
          <w:sz w:val="20"/>
        </w:rPr>
        <w:t xml:space="preserve">Идентификация здания, сооружения, производственного объекта проводится путем установления их соответствия следующим существенным признакам:</w:t>
      </w:r>
    </w:p>
    <w:p>
      <w:pPr>
        <w:pStyle w:val="0"/>
        <w:spacing w:before="200" w:line-rule="auto"/>
        <w:ind w:firstLine="540"/>
        <w:jc w:val="both"/>
      </w:pPr>
      <w:r>
        <w:rPr>
          <w:sz w:val="20"/>
        </w:rPr>
        <w:t xml:space="preserve">1) класс функциональной пожарной опасности;</w:t>
      </w:r>
    </w:p>
    <w:p>
      <w:pPr>
        <w:pStyle w:val="0"/>
        <w:spacing w:before="200" w:line-rule="auto"/>
        <w:ind w:firstLine="540"/>
        <w:jc w:val="both"/>
      </w:pPr>
      <w:r>
        <w:rPr>
          <w:sz w:val="20"/>
        </w:rPr>
        <w:t xml:space="preserve">2) степень огнестойкости, класс конструктивной пожарной опасности;</w:t>
      </w:r>
    </w:p>
    <w:p>
      <w:pPr>
        <w:pStyle w:val="0"/>
        <w:spacing w:before="200" w:line-rule="auto"/>
        <w:ind w:firstLine="540"/>
        <w:jc w:val="both"/>
      </w:pPr>
      <w:r>
        <w:rPr>
          <w:sz w:val="20"/>
        </w:rPr>
        <w:t xml:space="preserve">3) категория наружных установок по пожарной опасности, категория зданий, сооружений и помещений по пожарной и взрывопожарной опасности (для производственных объектов).</w:t>
      </w:r>
    </w:p>
    <w:p>
      <w:pPr>
        <w:pStyle w:val="0"/>
        <w:ind w:firstLine="540"/>
        <w:jc w:val="both"/>
      </w:pPr>
      <w:r>
        <w:rPr>
          <w:sz w:val="20"/>
        </w:rPr>
      </w:r>
    </w:p>
    <w:p>
      <w:pPr>
        <w:pStyle w:val="2"/>
        <w:outlineLvl w:val="2"/>
        <w:jc w:val="center"/>
      </w:pPr>
      <w:r>
        <w:rPr>
          <w:sz w:val="20"/>
        </w:rPr>
        <w:t xml:space="preserve">Глава 2. КЛАССИФИКАЦИЯ ПОЖАРОВ И ОПАСНЫХ ФАКТОРОВ ПОЖАРА</w:t>
      </w:r>
    </w:p>
    <w:p>
      <w:pPr>
        <w:pStyle w:val="0"/>
        <w:jc w:val="center"/>
      </w:pPr>
      <w:r>
        <w:rPr>
          <w:sz w:val="20"/>
        </w:rPr>
      </w:r>
    </w:p>
    <w:p>
      <w:pPr>
        <w:pStyle w:val="2"/>
        <w:outlineLvl w:val="3"/>
        <w:ind w:firstLine="540"/>
        <w:jc w:val="both"/>
      </w:pPr>
      <w:r>
        <w:rPr>
          <w:sz w:val="20"/>
        </w:rPr>
        <w:t xml:space="preserve">Статья 7. Цель классификации пожаров и опасных факторов пожара</w:t>
      </w:r>
    </w:p>
    <w:p>
      <w:pPr>
        <w:pStyle w:val="0"/>
        <w:ind w:firstLine="540"/>
        <w:jc w:val="both"/>
      </w:pPr>
      <w:r>
        <w:rPr>
          <w:sz w:val="20"/>
        </w:rPr>
      </w:r>
    </w:p>
    <w:p>
      <w:pPr>
        <w:pStyle w:val="0"/>
        <w:ind w:firstLine="540"/>
        <w:jc w:val="both"/>
      </w:pPr>
      <w:r>
        <w:rPr>
          <w:sz w:val="20"/>
        </w:rPr>
        <w:t xml:space="preserve">1. Классификация пожаров по виду горючего материала используется для обозначения области применения средств пожаротушения.</w:t>
      </w:r>
    </w:p>
    <w:p>
      <w:pPr>
        <w:pStyle w:val="0"/>
        <w:spacing w:before="200" w:line-rule="auto"/>
        <w:ind w:firstLine="540"/>
        <w:jc w:val="both"/>
      </w:pPr>
      <w:r>
        <w:rPr>
          <w:sz w:val="20"/>
        </w:rPr>
        <w:t xml:space="preserve">2. Классификация пожаров по сложности их тушения используется при определении состава сил и средств подразделений пожарной охраны и других служб, необходимых для тушения пожаров.</w:t>
      </w:r>
    </w:p>
    <w:p>
      <w:pPr>
        <w:pStyle w:val="0"/>
        <w:spacing w:before="200" w:line-rule="auto"/>
        <w:ind w:firstLine="540"/>
        <w:jc w:val="both"/>
      </w:pPr>
      <w:r>
        <w:rPr>
          <w:sz w:val="20"/>
        </w:rPr>
        <w:t xml:space="preserve">3. Классификация опасных факторов пожара используется при обосновании мер пожарной безопасности, необходимых для защиты людей и имущества при пожаре.</w:t>
      </w:r>
    </w:p>
    <w:p>
      <w:pPr>
        <w:pStyle w:val="0"/>
        <w:ind w:firstLine="540"/>
        <w:jc w:val="both"/>
      </w:pPr>
      <w:r>
        <w:rPr>
          <w:sz w:val="20"/>
        </w:rPr>
      </w:r>
    </w:p>
    <w:p>
      <w:pPr>
        <w:pStyle w:val="2"/>
        <w:outlineLvl w:val="3"/>
        <w:ind w:firstLine="540"/>
        <w:jc w:val="both"/>
      </w:pPr>
      <w:r>
        <w:rPr>
          <w:sz w:val="20"/>
        </w:rPr>
        <w:t xml:space="preserve">Статья 8. Классификация пожаров</w:t>
      </w:r>
    </w:p>
    <w:p>
      <w:pPr>
        <w:pStyle w:val="0"/>
        <w:ind w:firstLine="540"/>
        <w:jc w:val="both"/>
      </w:pPr>
      <w:r>
        <w:rPr>
          <w:sz w:val="20"/>
        </w:rPr>
      </w:r>
    </w:p>
    <w:p>
      <w:pPr>
        <w:pStyle w:val="0"/>
        <w:ind w:firstLine="540"/>
        <w:jc w:val="both"/>
      </w:pPr>
      <w:hyperlink w:history="0" r:id="rId7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1</w:t>
        </w:r>
      </w:hyperlink>
      <w:r>
        <w:rPr>
          <w:sz w:val="20"/>
        </w:rPr>
        <w:t xml:space="preserve">. Пожары классифицируются по виду горючего материала и подразделяются на следующие основные классы:</w:t>
      </w:r>
    </w:p>
    <w:p>
      <w:pPr>
        <w:pStyle w:val="0"/>
        <w:jc w:val="both"/>
      </w:pPr>
      <w:r>
        <w:rPr>
          <w:sz w:val="20"/>
        </w:rPr>
        <w:t xml:space="preserve">(в ред. Федерального </w:t>
      </w:r>
      <w:hyperlink w:history="0" r:id="rId7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 пожары твердых горючих веществ и материалов (A);</w:t>
      </w:r>
    </w:p>
    <w:p>
      <w:pPr>
        <w:pStyle w:val="0"/>
        <w:spacing w:before="200" w:line-rule="auto"/>
        <w:ind w:firstLine="540"/>
        <w:jc w:val="both"/>
      </w:pPr>
      <w:r>
        <w:rPr>
          <w:sz w:val="20"/>
        </w:rPr>
        <w:t xml:space="preserve">2) пожары горючих жидкостей или плавящихся твердых веществ и материалов (B);</w:t>
      </w:r>
    </w:p>
    <w:p>
      <w:pPr>
        <w:pStyle w:val="0"/>
        <w:spacing w:before="200" w:line-rule="auto"/>
        <w:ind w:firstLine="540"/>
        <w:jc w:val="both"/>
      </w:pPr>
      <w:r>
        <w:rPr>
          <w:sz w:val="20"/>
        </w:rPr>
        <w:t xml:space="preserve">3) пожары газов (C);</w:t>
      </w:r>
    </w:p>
    <w:p>
      <w:pPr>
        <w:pStyle w:val="0"/>
        <w:spacing w:before="200" w:line-rule="auto"/>
        <w:ind w:firstLine="540"/>
        <w:jc w:val="both"/>
      </w:pPr>
      <w:r>
        <w:rPr>
          <w:sz w:val="20"/>
        </w:rPr>
        <w:t xml:space="preserve">4) пожары металлов (D);</w:t>
      </w:r>
    </w:p>
    <w:p>
      <w:pPr>
        <w:pStyle w:val="0"/>
        <w:spacing w:before="200" w:line-rule="auto"/>
        <w:ind w:firstLine="540"/>
        <w:jc w:val="both"/>
      </w:pPr>
      <w:r>
        <w:rPr>
          <w:sz w:val="20"/>
        </w:rPr>
        <w:t xml:space="preserve">5) пожары горючих веществ и материалов электроустановок, находящихся под напряжением (E);</w:t>
      </w:r>
    </w:p>
    <w:p>
      <w:pPr>
        <w:pStyle w:val="0"/>
        <w:spacing w:before="200" w:line-rule="auto"/>
        <w:ind w:firstLine="540"/>
        <w:jc w:val="both"/>
      </w:pPr>
      <w:r>
        <w:rPr>
          <w:sz w:val="20"/>
        </w:rPr>
        <w:t xml:space="preserve">6) пожары ядерных материалов, радиоактивных отходов и радиоактивных веществ (F).</w:t>
      </w:r>
    </w:p>
    <w:p>
      <w:pPr>
        <w:pStyle w:val="0"/>
        <w:spacing w:before="200" w:line-rule="auto"/>
        <w:ind w:firstLine="540"/>
        <w:jc w:val="both"/>
      </w:pPr>
      <w:r>
        <w:rPr>
          <w:sz w:val="20"/>
        </w:rPr>
        <w:t xml:space="preserve">2. Дополнительные классы и подклассы пожаров могут быть установлены нормативными документами по пожарной безопасности.</w:t>
      </w:r>
    </w:p>
    <w:p>
      <w:pPr>
        <w:pStyle w:val="0"/>
        <w:jc w:val="both"/>
      </w:pPr>
      <w:r>
        <w:rPr>
          <w:sz w:val="20"/>
        </w:rPr>
        <w:t xml:space="preserve">(часть 2 введена Федеральным </w:t>
      </w:r>
      <w:hyperlink w:history="0" r:id="rId7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14.07.2022 N 276-ФЗ)</w:t>
      </w:r>
    </w:p>
    <w:p>
      <w:pPr>
        <w:pStyle w:val="0"/>
        <w:ind w:firstLine="540"/>
        <w:jc w:val="both"/>
      </w:pPr>
      <w:r>
        <w:rPr>
          <w:sz w:val="20"/>
        </w:rPr>
      </w:r>
    </w:p>
    <w:p>
      <w:pPr>
        <w:pStyle w:val="2"/>
        <w:outlineLvl w:val="3"/>
        <w:ind w:firstLine="540"/>
        <w:jc w:val="both"/>
      </w:pPr>
      <w:r>
        <w:rPr>
          <w:sz w:val="20"/>
        </w:rPr>
        <w:t xml:space="preserve">Статья 9. Опасные факторы пожара</w:t>
      </w:r>
    </w:p>
    <w:p>
      <w:pPr>
        <w:pStyle w:val="0"/>
        <w:ind w:firstLine="540"/>
        <w:jc w:val="both"/>
      </w:pPr>
      <w:r>
        <w:rPr>
          <w:sz w:val="20"/>
        </w:rPr>
      </w:r>
    </w:p>
    <w:p>
      <w:pPr>
        <w:pStyle w:val="0"/>
        <w:ind w:firstLine="540"/>
        <w:jc w:val="both"/>
      </w:pPr>
      <w:r>
        <w:rPr>
          <w:sz w:val="20"/>
        </w:rPr>
        <w:t xml:space="preserve">1. К опасным факторам пожара, воздействующим на людей и имущество, относятся:</w:t>
      </w:r>
    </w:p>
    <w:p>
      <w:pPr>
        <w:pStyle w:val="0"/>
        <w:spacing w:before="200" w:line-rule="auto"/>
        <w:ind w:firstLine="540"/>
        <w:jc w:val="both"/>
      </w:pPr>
      <w:r>
        <w:rPr>
          <w:sz w:val="20"/>
        </w:rPr>
        <w:t xml:space="preserve">1) пламя и искры;</w:t>
      </w:r>
    </w:p>
    <w:p>
      <w:pPr>
        <w:pStyle w:val="0"/>
        <w:spacing w:before="200" w:line-rule="auto"/>
        <w:ind w:firstLine="540"/>
        <w:jc w:val="both"/>
      </w:pPr>
      <w:r>
        <w:rPr>
          <w:sz w:val="20"/>
        </w:rPr>
        <w:t xml:space="preserve">2) тепловой поток;</w:t>
      </w:r>
    </w:p>
    <w:p>
      <w:pPr>
        <w:pStyle w:val="0"/>
        <w:spacing w:before="200" w:line-rule="auto"/>
        <w:ind w:firstLine="540"/>
        <w:jc w:val="both"/>
      </w:pPr>
      <w:r>
        <w:rPr>
          <w:sz w:val="20"/>
        </w:rPr>
        <w:t xml:space="preserve">3) повышенная температура окружающей среды;</w:t>
      </w:r>
    </w:p>
    <w:p>
      <w:pPr>
        <w:pStyle w:val="0"/>
        <w:spacing w:before="200" w:line-rule="auto"/>
        <w:ind w:firstLine="540"/>
        <w:jc w:val="both"/>
      </w:pPr>
      <w:r>
        <w:rPr>
          <w:sz w:val="20"/>
        </w:rPr>
        <w:t xml:space="preserve">4) повышенная концентрация токсичных продуктов горения и термического разложения;</w:t>
      </w:r>
    </w:p>
    <w:p>
      <w:pPr>
        <w:pStyle w:val="0"/>
        <w:spacing w:before="200" w:line-rule="auto"/>
        <w:ind w:firstLine="540"/>
        <w:jc w:val="both"/>
      </w:pPr>
      <w:r>
        <w:rPr>
          <w:sz w:val="20"/>
        </w:rPr>
        <w:t xml:space="preserve">5) пониженная концентрация кислорода;</w:t>
      </w:r>
    </w:p>
    <w:p>
      <w:pPr>
        <w:pStyle w:val="0"/>
        <w:spacing w:before="200" w:line-rule="auto"/>
        <w:ind w:firstLine="540"/>
        <w:jc w:val="both"/>
      </w:pPr>
      <w:r>
        <w:rPr>
          <w:sz w:val="20"/>
        </w:rPr>
        <w:t xml:space="preserve">6) снижение видимости в дыму.</w:t>
      </w:r>
    </w:p>
    <w:p>
      <w:pPr>
        <w:pStyle w:val="0"/>
        <w:spacing w:before="200" w:line-rule="auto"/>
        <w:ind w:firstLine="540"/>
        <w:jc w:val="both"/>
      </w:pPr>
      <w:r>
        <w:rPr>
          <w:sz w:val="20"/>
        </w:rPr>
        <w:t xml:space="preserve">2. К сопутствующим проявлениям опасных факторов пожара относятся:</w:t>
      </w:r>
    </w:p>
    <w:p>
      <w:pPr>
        <w:pStyle w:val="0"/>
        <w:spacing w:before="200" w:line-rule="auto"/>
        <w:ind w:firstLine="540"/>
        <w:jc w:val="both"/>
      </w:pPr>
      <w:r>
        <w:rPr>
          <w:sz w:val="20"/>
        </w:rPr>
        <w:t xml:space="preserve">1) осколки, части разрушившихся зданий, сооружений, транспортных средств, технологических установок, оборудования, агрегатов, изделий и иного имущества;</w:t>
      </w:r>
    </w:p>
    <w:p>
      <w:pPr>
        <w:pStyle w:val="0"/>
        <w:jc w:val="both"/>
      </w:pPr>
      <w:r>
        <w:rPr>
          <w:sz w:val="20"/>
        </w:rPr>
        <w:t xml:space="preserve">(в ред. Федерального </w:t>
      </w:r>
      <w:hyperlink w:history="0" r:id="rId8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w:t>
      </w:r>
    </w:p>
    <w:p>
      <w:pPr>
        <w:pStyle w:val="0"/>
        <w:spacing w:before="200" w:line-rule="auto"/>
        <w:ind w:firstLine="540"/>
        <w:jc w:val="both"/>
      </w:pPr>
      <w:r>
        <w:rPr>
          <w:sz w:val="20"/>
        </w:rPr>
        <w:t xml:space="preserve">3) вынос высокого напряжения на токопроводящие части технологических установок, оборудования, агрегатов, изделий и иного имущества;</w:t>
      </w:r>
    </w:p>
    <w:p>
      <w:pPr>
        <w:pStyle w:val="0"/>
        <w:spacing w:before="200" w:line-rule="auto"/>
        <w:ind w:firstLine="540"/>
        <w:jc w:val="both"/>
      </w:pPr>
      <w:r>
        <w:rPr>
          <w:sz w:val="20"/>
        </w:rPr>
        <w:t xml:space="preserve">4) опасные факторы взрыва, происшедшего вследствие пожара;</w:t>
      </w:r>
    </w:p>
    <w:p>
      <w:pPr>
        <w:pStyle w:val="0"/>
        <w:spacing w:before="200" w:line-rule="auto"/>
        <w:ind w:firstLine="540"/>
        <w:jc w:val="both"/>
      </w:pPr>
      <w:r>
        <w:rPr>
          <w:sz w:val="20"/>
        </w:rPr>
        <w:t xml:space="preserve">5) воздействие огнетушащих веществ.</w:t>
      </w:r>
    </w:p>
    <w:p>
      <w:pPr>
        <w:pStyle w:val="0"/>
        <w:ind w:firstLine="540"/>
        <w:jc w:val="both"/>
      </w:pPr>
      <w:r>
        <w:rPr>
          <w:sz w:val="20"/>
        </w:rPr>
      </w:r>
    </w:p>
    <w:p>
      <w:pPr>
        <w:pStyle w:val="2"/>
        <w:outlineLvl w:val="2"/>
        <w:jc w:val="center"/>
      </w:pPr>
      <w:r>
        <w:rPr>
          <w:sz w:val="20"/>
        </w:rPr>
        <w:t xml:space="preserve">Глава 3. ПОКАЗАТЕЛИ И КЛАССИФИКАЦИЯ ПОЖАРОВЗРЫВООПАСНОСТИ</w:t>
      </w:r>
    </w:p>
    <w:p>
      <w:pPr>
        <w:pStyle w:val="2"/>
        <w:jc w:val="center"/>
      </w:pPr>
      <w:r>
        <w:rPr>
          <w:sz w:val="20"/>
        </w:rPr>
        <w:t xml:space="preserve">И ПОЖАРНОЙ ОПАСНОСТИ ВЕЩЕСТВ И МАТЕРИАЛОВ</w:t>
      </w:r>
    </w:p>
    <w:p>
      <w:pPr>
        <w:pStyle w:val="0"/>
        <w:ind w:firstLine="540"/>
        <w:jc w:val="both"/>
      </w:pPr>
      <w:r>
        <w:rPr>
          <w:sz w:val="20"/>
        </w:rPr>
      </w:r>
    </w:p>
    <w:p>
      <w:pPr>
        <w:pStyle w:val="2"/>
        <w:outlineLvl w:val="3"/>
        <w:ind w:firstLine="540"/>
        <w:jc w:val="both"/>
      </w:pPr>
      <w:r>
        <w:rPr>
          <w:sz w:val="20"/>
        </w:rPr>
        <w:t xml:space="preserve">Статья 10. Цель классификации веществ и материалов по пожаровзрывоопасности и пожарной опасности</w:t>
      </w:r>
    </w:p>
    <w:p>
      <w:pPr>
        <w:pStyle w:val="0"/>
        <w:ind w:firstLine="540"/>
        <w:jc w:val="both"/>
      </w:pPr>
      <w:r>
        <w:rPr>
          <w:sz w:val="20"/>
        </w:rPr>
      </w:r>
    </w:p>
    <w:p>
      <w:pPr>
        <w:pStyle w:val="0"/>
        <w:ind w:firstLine="540"/>
        <w:jc w:val="both"/>
      </w:pPr>
      <w:r>
        <w:rPr>
          <w:sz w:val="20"/>
        </w:rPr>
        <w:t xml:space="preserve">1. Классификация веществ и материалов по пожаровзрывоопасности и пожарной опасности используется для установления требований пожарной безопасности при получении веществ и материалов, применении, хранении, транспортировании, переработке и утилизации.</w:t>
      </w:r>
    </w:p>
    <w:p>
      <w:pPr>
        <w:pStyle w:val="0"/>
        <w:spacing w:before="200" w:line-rule="auto"/>
        <w:ind w:firstLine="540"/>
        <w:jc w:val="both"/>
      </w:pPr>
      <w:r>
        <w:rPr>
          <w:sz w:val="20"/>
        </w:rPr>
        <w:t xml:space="preserve">2. Для установления требований пожарной безопасности к конструкции зданий, сооружений и системам противопожарной защиты используется классификация строительных материалов по пожарной опасности.</w:t>
      </w:r>
    </w:p>
    <w:p>
      <w:pPr>
        <w:pStyle w:val="0"/>
        <w:jc w:val="both"/>
      </w:pPr>
      <w:r>
        <w:rPr>
          <w:sz w:val="20"/>
        </w:rPr>
        <w:t xml:space="preserve">(в ред. Федерального </w:t>
      </w:r>
      <w:hyperlink w:history="0" r:id="rId8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bookmarkStart w:id="217" w:name="P217"/>
    <w:bookmarkEnd w:id="217"/>
    <w:p>
      <w:pPr>
        <w:pStyle w:val="2"/>
        <w:outlineLvl w:val="3"/>
        <w:ind w:firstLine="540"/>
        <w:jc w:val="both"/>
      </w:pPr>
      <w:r>
        <w:rPr>
          <w:sz w:val="20"/>
        </w:rPr>
        <w:t xml:space="preserve">Статья 11. Показатели пожаровзрывоопасности и пожарной опасности веществ и материалов</w:t>
      </w:r>
    </w:p>
    <w:p>
      <w:pPr>
        <w:pStyle w:val="0"/>
        <w:ind w:firstLine="540"/>
        <w:jc w:val="both"/>
      </w:pPr>
      <w:r>
        <w:rPr>
          <w:sz w:val="20"/>
        </w:rPr>
      </w:r>
    </w:p>
    <w:p>
      <w:pPr>
        <w:pStyle w:val="0"/>
        <w:ind w:firstLine="540"/>
        <w:jc w:val="both"/>
      </w:pPr>
      <w:r>
        <w:rPr>
          <w:sz w:val="20"/>
        </w:rPr>
        <w:t xml:space="preserve">1. Перечень показателей для оценки пожаровзрывоопасности и пожарной опасности веществ и материалов в зависимости от их агрегатного состояния приведен в </w:t>
      </w:r>
      <w:hyperlink w:history="0" w:anchor="P2003" w:tooltip="Перечень показателей для оценки">
        <w:r>
          <w:rPr>
            <w:sz w:val="20"/>
            <w:color w:val="0000ff"/>
          </w:rPr>
          <w:t xml:space="preserve">таблице 1</w:t>
        </w:r>
      </w:hyperlink>
      <w:r>
        <w:rPr>
          <w:sz w:val="20"/>
        </w:rPr>
        <w:t xml:space="preserve"> приложения к настоящему Федеральному закону.</w:t>
      </w:r>
    </w:p>
    <w:p>
      <w:pPr>
        <w:pStyle w:val="0"/>
        <w:jc w:val="both"/>
      </w:pPr>
      <w:r>
        <w:rPr>
          <w:sz w:val="20"/>
        </w:rPr>
        <w:t xml:space="preserve">(в ред. Федерального </w:t>
      </w:r>
      <w:hyperlink w:history="0" r:id="rId8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 </w:t>
      </w:r>
      <w:hyperlink w:history="0" r:id="rId83"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 {КонсультантПлюс}">
        <w:r>
          <w:rPr>
            <w:sz w:val="20"/>
            <w:color w:val="0000ff"/>
          </w:rPr>
          <w:t xml:space="preserve">Методы</w:t>
        </w:r>
      </w:hyperlink>
      <w:r>
        <w:rPr>
          <w:sz w:val="20"/>
        </w:rPr>
        <w:t xml:space="preserve"> определения показателей пожаровзрывоопасности и пожарной опасности веществ и материалов, приведенных в </w:t>
      </w:r>
      <w:hyperlink w:history="0" w:anchor="P2003" w:tooltip="Перечень показателей для оценки">
        <w:r>
          <w:rPr>
            <w:sz w:val="20"/>
            <w:color w:val="0000ff"/>
          </w:rPr>
          <w:t xml:space="preserve">таблице 1</w:t>
        </w:r>
      </w:hyperlink>
      <w:r>
        <w:rPr>
          <w:sz w:val="20"/>
        </w:rPr>
        <w:t xml:space="preserve"> приложения к настоящему Федеральному закону, устанавливаются нормативными документами по пожарной безопасности.</w:t>
      </w:r>
    </w:p>
    <w:p>
      <w:pPr>
        <w:pStyle w:val="0"/>
        <w:spacing w:before="200" w:line-rule="auto"/>
        <w:ind w:firstLine="540"/>
        <w:jc w:val="both"/>
      </w:pPr>
      <w:r>
        <w:rPr>
          <w:sz w:val="20"/>
        </w:rPr>
        <w:t xml:space="preserve">3. Показатели пожаровзрывоопасности и пожарной опасности веществ и материалов используются для установления требований к применению веществ и материалов и расчета пожарного риска.</w:t>
      </w:r>
    </w:p>
    <w:p>
      <w:pPr>
        <w:pStyle w:val="0"/>
        <w:ind w:firstLine="540"/>
        <w:jc w:val="both"/>
      </w:pPr>
      <w:r>
        <w:rPr>
          <w:sz w:val="20"/>
        </w:rPr>
      </w:r>
    </w:p>
    <w:p>
      <w:pPr>
        <w:pStyle w:val="2"/>
        <w:outlineLvl w:val="3"/>
        <w:ind w:firstLine="540"/>
        <w:jc w:val="both"/>
      </w:pPr>
      <w:r>
        <w:rPr>
          <w:sz w:val="20"/>
        </w:rPr>
        <w:t xml:space="preserve">Статья 12. Классификация веществ и материалов (за исключением строительных, текстильных и кожевенных материалов) по пожарной опасности</w:t>
      </w:r>
    </w:p>
    <w:p>
      <w:pPr>
        <w:pStyle w:val="0"/>
        <w:ind w:firstLine="540"/>
        <w:jc w:val="both"/>
      </w:pPr>
      <w:r>
        <w:rPr>
          <w:sz w:val="20"/>
        </w:rPr>
      </w:r>
    </w:p>
    <w:p>
      <w:pPr>
        <w:pStyle w:val="0"/>
        <w:ind w:firstLine="540"/>
        <w:jc w:val="both"/>
      </w:pPr>
      <w:r>
        <w:rPr>
          <w:sz w:val="20"/>
        </w:rPr>
        <w:t xml:space="preserve">1. Классификация веществ и материалов по пожарной опасности основывается на их свойствах и способности к образованию опасных факторов пожара или взрыва.</w:t>
      </w:r>
    </w:p>
    <w:p>
      <w:pPr>
        <w:pStyle w:val="0"/>
        <w:spacing w:before="200" w:line-rule="auto"/>
        <w:ind w:firstLine="540"/>
        <w:jc w:val="both"/>
      </w:pPr>
      <w:r>
        <w:rPr>
          <w:sz w:val="20"/>
        </w:rPr>
        <w:t xml:space="preserve">2. По горючести вещества и материалы подразделяются на следующие группы:</w:t>
      </w:r>
    </w:p>
    <w:p>
      <w:pPr>
        <w:pStyle w:val="0"/>
        <w:spacing w:before="200" w:line-rule="auto"/>
        <w:ind w:firstLine="540"/>
        <w:jc w:val="both"/>
      </w:pPr>
      <w:r>
        <w:rPr>
          <w:sz w:val="20"/>
        </w:rPr>
        <w:t xml:space="preserve">1) негорючие - вещества и материалы, неспособные гореть в воздушной среде. Негорючие вещества могут быть пожаровзрывоопасными (например, окислители или вещества, выделяющие горючие продукты при взаимодействии с водой или друг с другом);</w:t>
      </w:r>
    </w:p>
    <w:p>
      <w:pPr>
        <w:pStyle w:val="0"/>
        <w:jc w:val="both"/>
      </w:pPr>
      <w:r>
        <w:rPr>
          <w:sz w:val="20"/>
        </w:rPr>
        <w:t xml:space="preserve">(в ред. Федерального </w:t>
      </w:r>
      <w:hyperlink w:history="0" r:id="rId8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 трудногорючие - вещества и материалы, способные гореть в воздушной среде при воздействии источника зажигания, но неспособные самостоятельно гореть после его удаления;</w:t>
      </w:r>
    </w:p>
    <w:p>
      <w:pPr>
        <w:pStyle w:val="0"/>
        <w:jc w:val="both"/>
      </w:pPr>
      <w:r>
        <w:rPr>
          <w:sz w:val="20"/>
        </w:rPr>
        <w:t xml:space="preserve">(в ред. Федерального </w:t>
      </w:r>
      <w:hyperlink w:history="0" r:id="rId8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3) горючие - вещества и материалы, способные самовозгораться, а также возгораться под воздействием источника зажигания и самостоятельно гореть после его удаления.</w:t>
      </w:r>
    </w:p>
    <w:p>
      <w:pPr>
        <w:pStyle w:val="0"/>
        <w:spacing w:before="200" w:line-rule="auto"/>
        <w:ind w:firstLine="540"/>
        <w:jc w:val="both"/>
      </w:pPr>
      <w:r>
        <w:rPr>
          <w:sz w:val="20"/>
        </w:rPr>
        <w:t xml:space="preserve">3. </w:t>
      </w:r>
      <w:hyperlink w:history="0" r:id="rId86"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 {КонсультантПлюс}">
        <w:r>
          <w:rPr>
            <w:sz w:val="20"/>
            <w:color w:val="0000ff"/>
          </w:rPr>
          <w:t xml:space="preserve">Методы</w:t>
        </w:r>
      </w:hyperlink>
      <w:r>
        <w:rPr>
          <w:sz w:val="20"/>
        </w:rPr>
        <w:t xml:space="preserve"> испытаний на горючесть веществ и материалов устанавливаются нормативными документами по пожарной безопасности.</w:t>
      </w:r>
    </w:p>
    <w:p>
      <w:pPr>
        <w:pStyle w:val="0"/>
        <w:spacing w:before="200" w:line-rule="auto"/>
        <w:ind w:firstLine="540"/>
        <w:jc w:val="both"/>
      </w:pPr>
      <w:r>
        <w:rPr>
          <w:sz w:val="20"/>
        </w:rPr>
        <w:t xml:space="preserve">4. Из горючих жидкостей выделяют группы легковоспламеняющихся и особо опасных легковоспламеняющихся жидкостей, воспламенение паров которых происходит при низких температурах, определенных нормативными документами по пожарной безопасности.</w:t>
      </w:r>
    </w:p>
    <w:p>
      <w:pPr>
        <w:pStyle w:val="0"/>
        <w:ind w:firstLine="540"/>
        <w:jc w:val="both"/>
      </w:pPr>
      <w:r>
        <w:rPr>
          <w:sz w:val="20"/>
        </w:rPr>
      </w:r>
    </w:p>
    <w:p>
      <w:pPr>
        <w:pStyle w:val="2"/>
        <w:outlineLvl w:val="3"/>
        <w:ind w:firstLine="540"/>
        <w:jc w:val="both"/>
      </w:pPr>
      <w:r>
        <w:rPr>
          <w:sz w:val="20"/>
        </w:rPr>
        <w:t xml:space="preserve">Статья 13. Классификация строительных, текстильных и кожевенных материалов по пожарной опасности</w:t>
      </w:r>
    </w:p>
    <w:p>
      <w:pPr>
        <w:pStyle w:val="0"/>
        <w:ind w:firstLine="540"/>
        <w:jc w:val="both"/>
      </w:pPr>
      <w:r>
        <w:rPr>
          <w:sz w:val="20"/>
        </w:rPr>
      </w:r>
    </w:p>
    <w:p>
      <w:pPr>
        <w:pStyle w:val="0"/>
        <w:ind w:firstLine="540"/>
        <w:jc w:val="both"/>
      </w:pPr>
      <w:r>
        <w:rPr>
          <w:sz w:val="20"/>
        </w:rPr>
        <w:t xml:space="preserve">1. Классификация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w:t>
      </w:r>
    </w:p>
    <w:p>
      <w:pPr>
        <w:pStyle w:val="0"/>
        <w:spacing w:before="200" w:line-rule="auto"/>
        <w:ind w:firstLine="540"/>
        <w:jc w:val="both"/>
      </w:pPr>
      <w:r>
        <w:rPr>
          <w:sz w:val="20"/>
        </w:rPr>
        <w:t xml:space="preserve">2. Пожарная опасность горючих строительных, текстильных и кожевенных материалов характеризуется следующими свойствами:</w:t>
      </w:r>
    </w:p>
    <w:p>
      <w:pPr>
        <w:pStyle w:val="0"/>
        <w:jc w:val="both"/>
      </w:pPr>
      <w:r>
        <w:rPr>
          <w:sz w:val="20"/>
        </w:rPr>
        <w:t xml:space="preserve">(в ред. Федерального </w:t>
      </w:r>
      <w:hyperlink w:history="0" r:id="rId8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 горючесть;</w:t>
      </w:r>
    </w:p>
    <w:p>
      <w:pPr>
        <w:pStyle w:val="0"/>
        <w:spacing w:before="200" w:line-rule="auto"/>
        <w:ind w:firstLine="540"/>
        <w:jc w:val="both"/>
      </w:pPr>
      <w:r>
        <w:rPr>
          <w:sz w:val="20"/>
        </w:rPr>
        <w:t xml:space="preserve">2) воспламеняемость;</w:t>
      </w:r>
    </w:p>
    <w:p>
      <w:pPr>
        <w:pStyle w:val="0"/>
        <w:spacing w:before="200" w:line-rule="auto"/>
        <w:ind w:firstLine="540"/>
        <w:jc w:val="both"/>
      </w:pPr>
      <w:r>
        <w:rPr>
          <w:sz w:val="20"/>
        </w:rPr>
        <w:t xml:space="preserve">3) способность распространения пламени по поверхности;</w:t>
      </w:r>
    </w:p>
    <w:p>
      <w:pPr>
        <w:pStyle w:val="0"/>
        <w:spacing w:before="200" w:line-rule="auto"/>
        <w:ind w:firstLine="540"/>
        <w:jc w:val="both"/>
      </w:pPr>
      <w:r>
        <w:rPr>
          <w:sz w:val="20"/>
        </w:rPr>
        <w:t xml:space="preserve">4) дымообразующая способность;</w:t>
      </w:r>
    </w:p>
    <w:p>
      <w:pPr>
        <w:pStyle w:val="0"/>
        <w:spacing w:before="200" w:line-rule="auto"/>
        <w:ind w:firstLine="540"/>
        <w:jc w:val="both"/>
      </w:pPr>
      <w:r>
        <w:rPr>
          <w:sz w:val="20"/>
        </w:rPr>
        <w:t xml:space="preserve">5) токсичность продуктов горения.</w:t>
      </w:r>
    </w:p>
    <w:p>
      <w:pPr>
        <w:pStyle w:val="0"/>
        <w:spacing w:before="200" w:line-rule="auto"/>
        <w:ind w:firstLine="540"/>
        <w:jc w:val="both"/>
      </w:pPr>
      <w:r>
        <w:rPr>
          <w:sz w:val="20"/>
        </w:rPr>
        <w:t xml:space="preserve">3. По горючести строительные материалы подразделяются на негорючие (НГ) и горючие (Г1 - Г4).</w:t>
      </w:r>
    </w:p>
    <w:p>
      <w:pPr>
        <w:pStyle w:val="0"/>
        <w:jc w:val="both"/>
      </w:pPr>
      <w:r>
        <w:rPr>
          <w:sz w:val="20"/>
        </w:rPr>
        <w:t xml:space="preserve">(в ред. Федерального </w:t>
      </w:r>
      <w:hyperlink w:history="0" r:id="rId8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4. Строительные материалы относятся к негорючим при следующих значениях параметров горючести, определяемых экспериментальным путем: прирост температуры - не более 50 градусов Цельсия, потеря массы образца - не более 50 процентов, продолжительность устойчивого пламенного горения - не более 10 секунд.</w:t>
      </w:r>
    </w:p>
    <w:p>
      <w:pPr>
        <w:pStyle w:val="0"/>
        <w:spacing w:before="200" w:line-rule="auto"/>
        <w:ind w:firstLine="540"/>
        <w:jc w:val="both"/>
      </w:pPr>
      <w:r>
        <w:rPr>
          <w:sz w:val="20"/>
        </w:rPr>
        <w:t xml:space="preserve">5. Горючие строительные материалы подразделяются на следующие группы:</w:t>
      </w:r>
    </w:p>
    <w:p>
      <w:pPr>
        <w:pStyle w:val="0"/>
        <w:spacing w:before="200" w:line-rule="auto"/>
        <w:ind w:firstLine="540"/>
        <w:jc w:val="both"/>
      </w:pPr>
      <w:r>
        <w:rPr>
          <w:sz w:val="20"/>
        </w:rPr>
        <w:t xml:space="preserve">1) слабогорючие (Г1);</w:t>
      </w:r>
    </w:p>
    <w:p>
      <w:pPr>
        <w:pStyle w:val="0"/>
        <w:spacing w:before="200" w:line-rule="auto"/>
        <w:ind w:firstLine="540"/>
        <w:jc w:val="both"/>
      </w:pPr>
      <w:r>
        <w:rPr>
          <w:sz w:val="20"/>
        </w:rPr>
        <w:t xml:space="preserve">2) умеренногорючие (Г2);</w:t>
      </w:r>
    </w:p>
    <w:p>
      <w:pPr>
        <w:pStyle w:val="0"/>
        <w:spacing w:before="200" w:line-rule="auto"/>
        <w:ind w:firstLine="540"/>
        <w:jc w:val="both"/>
      </w:pPr>
      <w:r>
        <w:rPr>
          <w:sz w:val="20"/>
        </w:rPr>
        <w:t xml:space="preserve">3) нормальногорючие (Г3);</w:t>
      </w:r>
    </w:p>
    <w:p>
      <w:pPr>
        <w:pStyle w:val="0"/>
        <w:spacing w:before="200" w:line-rule="auto"/>
        <w:ind w:firstLine="540"/>
        <w:jc w:val="both"/>
      </w:pPr>
      <w:r>
        <w:rPr>
          <w:sz w:val="20"/>
        </w:rPr>
        <w:t xml:space="preserve">4) сильногорючие (Г4).</w:t>
      </w:r>
    </w:p>
    <w:p>
      <w:pPr>
        <w:pStyle w:val="0"/>
        <w:jc w:val="both"/>
      </w:pPr>
      <w:r>
        <w:rPr>
          <w:sz w:val="20"/>
        </w:rPr>
        <w:t xml:space="preserve">(часть 5 в ред. Федерального </w:t>
      </w:r>
      <w:hyperlink w:history="0" r:id="rId8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6. Для горючих строительных материалов, относящихся к группам Г1 и Г2, при испытании не допускается образование капель расплава. Для горючих строительных материалов, относящихся к группе Г3, при испытании не допускается образование горящих капель расплава. Для негорючих строительных материалов другие показатели пожарной опасности не определяются и не нормируются.</w:t>
      </w:r>
    </w:p>
    <w:p>
      <w:pPr>
        <w:pStyle w:val="0"/>
        <w:jc w:val="both"/>
      </w:pPr>
      <w:r>
        <w:rPr>
          <w:sz w:val="20"/>
        </w:rPr>
        <w:t xml:space="preserve">(часть 6 в ред. Федерального </w:t>
      </w:r>
      <w:hyperlink w:history="0" r:id="rId9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7. По воспламеняемости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pPr>
        <w:pStyle w:val="0"/>
        <w:spacing w:before="200" w:line-rule="auto"/>
        <w:ind w:firstLine="540"/>
        <w:jc w:val="both"/>
      </w:pPr>
      <w:r>
        <w:rPr>
          <w:sz w:val="20"/>
        </w:rPr>
        <w:t xml:space="preserve">1) трудновоспламеняемые (В1);</w:t>
      </w:r>
    </w:p>
    <w:p>
      <w:pPr>
        <w:pStyle w:val="0"/>
        <w:jc w:val="both"/>
      </w:pPr>
      <w:r>
        <w:rPr>
          <w:sz w:val="20"/>
        </w:rPr>
        <w:t xml:space="preserve">(п. 1 в ред. Федерального </w:t>
      </w:r>
      <w:hyperlink w:history="0" r:id="rId9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 умеренновоспламеняемые (В2);</w:t>
      </w:r>
    </w:p>
    <w:p>
      <w:pPr>
        <w:pStyle w:val="0"/>
        <w:jc w:val="both"/>
      </w:pPr>
      <w:r>
        <w:rPr>
          <w:sz w:val="20"/>
        </w:rPr>
        <w:t xml:space="preserve">(п. 2 в ред. Федерального </w:t>
      </w:r>
      <w:hyperlink w:history="0" r:id="rId9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3) легковоспламеняемые (В3).</w:t>
      </w:r>
    </w:p>
    <w:p>
      <w:pPr>
        <w:pStyle w:val="0"/>
        <w:jc w:val="both"/>
      </w:pPr>
      <w:r>
        <w:rPr>
          <w:sz w:val="20"/>
        </w:rPr>
        <w:t xml:space="preserve">(п. 3 в ред. Федерального </w:t>
      </w:r>
      <w:hyperlink w:history="0" r:id="rId9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8. По скорости распространения пламени по поверхности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pPr>
        <w:pStyle w:val="0"/>
        <w:spacing w:before="200" w:line-rule="auto"/>
        <w:ind w:firstLine="540"/>
        <w:jc w:val="both"/>
      </w:pPr>
      <w:r>
        <w:rPr>
          <w:sz w:val="20"/>
        </w:rPr>
        <w:t xml:space="preserve">1) нераспространяющие (РП1);</w:t>
      </w:r>
    </w:p>
    <w:p>
      <w:pPr>
        <w:pStyle w:val="0"/>
        <w:jc w:val="both"/>
      </w:pPr>
      <w:r>
        <w:rPr>
          <w:sz w:val="20"/>
        </w:rPr>
        <w:t xml:space="preserve">(п. 1 в ред. Федерального </w:t>
      </w:r>
      <w:hyperlink w:history="0" r:id="rId9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 слабораспространяющие (РП2);</w:t>
      </w:r>
    </w:p>
    <w:p>
      <w:pPr>
        <w:pStyle w:val="0"/>
        <w:jc w:val="both"/>
      </w:pPr>
      <w:r>
        <w:rPr>
          <w:sz w:val="20"/>
        </w:rPr>
        <w:t xml:space="preserve">(п. 2 в ред. Федерального </w:t>
      </w:r>
      <w:hyperlink w:history="0" r:id="rId9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3) умереннораспространяющие (РП3);</w:t>
      </w:r>
    </w:p>
    <w:p>
      <w:pPr>
        <w:pStyle w:val="0"/>
        <w:jc w:val="both"/>
      </w:pPr>
      <w:r>
        <w:rPr>
          <w:sz w:val="20"/>
        </w:rPr>
        <w:t xml:space="preserve">(п. 3 в ред. Федерального </w:t>
      </w:r>
      <w:hyperlink w:history="0" r:id="rId9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4) сильнораспространяющие (РП4).</w:t>
      </w:r>
    </w:p>
    <w:p>
      <w:pPr>
        <w:pStyle w:val="0"/>
        <w:jc w:val="both"/>
      </w:pPr>
      <w:r>
        <w:rPr>
          <w:sz w:val="20"/>
        </w:rPr>
        <w:t xml:space="preserve">(п. 4 в ред. Федерального </w:t>
      </w:r>
      <w:hyperlink w:history="0" r:id="rId9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9. По дымообразующей способности горючие строительные, текстильные и кожевенные материалы в зависимости от значения коэффициента дымообразования подразделяются на следующие группы:</w:t>
      </w:r>
    </w:p>
    <w:p>
      <w:pPr>
        <w:pStyle w:val="0"/>
        <w:spacing w:before="200" w:line-rule="auto"/>
        <w:ind w:firstLine="540"/>
        <w:jc w:val="both"/>
      </w:pPr>
      <w:r>
        <w:rPr>
          <w:sz w:val="20"/>
        </w:rPr>
        <w:t xml:space="preserve">1) с малой дымообразующей способностью (Д1);</w:t>
      </w:r>
    </w:p>
    <w:p>
      <w:pPr>
        <w:pStyle w:val="0"/>
        <w:spacing w:before="200" w:line-rule="auto"/>
        <w:ind w:firstLine="540"/>
        <w:jc w:val="both"/>
      </w:pPr>
      <w:r>
        <w:rPr>
          <w:sz w:val="20"/>
        </w:rPr>
        <w:t xml:space="preserve">2) с умеренной дымообразующей способностью (Д2);</w:t>
      </w:r>
    </w:p>
    <w:p>
      <w:pPr>
        <w:pStyle w:val="0"/>
        <w:spacing w:before="200" w:line-rule="auto"/>
        <w:ind w:firstLine="540"/>
        <w:jc w:val="both"/>
      </w:pPr>
      <w:r>
        <w:rPr>
          <w:sz w:val="20"/>
        </w:rPr>
        <w:t xml:space="preserve">3) с высокой дымообразующей способностью (Д3).</w:t>
      </w:r>
    </w:p>
    <w:p>
      <w:pPr>
        <w:pStyle w:val="0"/>
        <w:jc w:val="both"/>
      </w:pPr>
      <w:r>
        <w:rPr>
          <w:sz w:val="20"/>
        </w:rPr>
        <w:t xml:space="preserve">(часть 9 в ред. Федерального </w:t>
      </w:r>
      <w:hyperlink w:history="0" r:id="rId9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10. По токсичности продуктов горения горючие строительные, текстильные и кожевенные материалы подразделяются на следующие группы:</w:t>
      </w:r>
    </w:p>
    <w:p>
      <w:pPr>
        <w:pStyle w:val="0"/>
        <w:jc w:val="both"/>
      </w:pPr>
      <w:r>
        <w:rPr>
          <w:sz w:val="20"/>
        </w:rPr>
        <w:t xml:space="preserve">(в ред. Федерального </w:t>
      </w:r>
      <w:hyperlink w:history="0" r:id="rId9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 малоопасные (Т1);</w:t>
      </w:r>
    </w:p>
    <w:p>
      <w:pPr>
        <w:pStyle w:val="0"/>
        <w:spacing w:before="200" w:line-rule="auto"/>
        <w:ind w:firstLine="540"/>
        <w:jc w:val="both"/>
      </w:pPr>
      <w:r>
        <w:rPr>
          <w:sz w:val="20"/>
        </w:rPr>
        <w:t xml:space="preserve">2) умеренноопасные (Т2);</w:t>
      </w:r>
    </w:p>
    <w:p>
      <w:pPr>
        <w:pStyle w:val="0"/>
        <w:spacing w:before="200" w:line-rule="auto"/>
        <w:ind w:firstLine="540"/>
        <w:jc w:val="both"/>
      </w:pPr>
      <w:r>
        <w:rPr>
          <w:sz w:val="20"/>
        </w:rPr>
        <w:t xml:space="preserve">3) высокоопасные (Т3);</w:t>
      </w:r>
    </w:p>
    <w:p>
      <w:pPr>
        <w:pStyle w:val="0"/>
        <w:spacing w:before="200" w:line-rule="auto"/>
        <w:ind w:firstLine="540"/>
        <w:jc w:val="both"/>
      </w:pPr>
      <w:r>
        <w:rPr>
          <w:sz w:val="20"/>
        </w:rPr>
        <w:t xml:space="preserve">4) чрезвычайно опасные (Т4).</w:t>
      </w:r>
    </w:p>
    <w:p>
      <w:pPr>
        <w:pStyle w:val="0"/>
        <w:spacing w:before="200" w:line-rule="auto"/>
        <w:ind w:firstLine="540"/>
        <w:jc w:val="both"/>
      </w:pPr>
      <w:r>
        <w:rPr>
          <w:sz w:val="20"/>
        </w:rPr>
        <w:t xml:space="preserve">11. Утратил силу. - Федеральный </w:t>
      </w:r>
      <w:hyperlink w:history="0" r:id="rId10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12. Для напольных ковровых покрытий группа горючести не определяется.</w:t>
      </w:r>
    </w:p>
    <w:p>
      <w:pPr>
        <w:pStyle w:val="0"/>
        <w:spacing w:before="200" w:line-rule="auto"/>
        <w:ind w:firstLine="540"/>
        <w:jc w:val="both"/>
      </w:pPr>
      <w:r>
        <w:rPr>
          <w:sz w:val="20"/>
        </w:rPr>
        <w:t xml:space="preserve">13. Текстильные и кожевенные материалы по воспламеняемости подразделяются на легковоспламеняемые и трудновоспламеняемые.</w:t>
      </w:r>
    </w:p>
    <w:p>
      <w:pPr>
        <w:pStyle w:val="0"/>
        <w:jc w:val="both"/>
      </w:pPr>
      <w:r>
        <w:rPr>
          <w:sz w:val="20"/>
        </w:rPr>
        <w:t xml:space="preserve">(часть 13 в ред. Федерального </w:t>
      </w:r>
      <w:hyperlink w:history="0" r:id="rId10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14. Для классификации текстильных и кожевенных материалов следует применять значение индекса распространения пламени (I) - условного безразмерного показателя, характеризующего способность материалов или веществ воспламеняться, распространять пламя по поверхности и выделять тепло. По распространению пламени материалы подразделяются на следующие группы:</w:t>
      </w:r>
    </w:p>
    <w:p>
      <w:pPr>
        <w:pStyle w:val="0"/>
        <w:jc w:val="both"/>
      </w:pPr>
      <w:r>
        <w:rPr>
          <w:sz w:val="20"/>
        </w:rPr>
        <w:t xml:space="preserve">(в ред. Федерального </w:t>
      </w:r>
      <w:hyperlink w:history="0" r:id="rId10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 не распространяющие пламя по поверхности;</w:t>
      </w:r>
    </w:p>
    <w:p>
      <w:pPr>
        <w:pStyle w:val="0"/>
        <w:jc w:val="both"/>
      </w:pPr>
      <w:r>
        <w:rPr>
          <w:sz w:val="20"/>
        </w:rPr>
        <w:t xml:space="preserve">(в ред. Федерального </w:t>
      </w:r>
      <w:hyperlink w:history="0" r:id="rId10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 медленно распространяющие пламя по поверхности;</w:t>
      </w:r>
    </w:p>
    <w:p>
      <w:pPr>
        <w:pStyle w:val="0"/>
        <w:jc w:val="both"/>
      </w:pPr>
      <w:r>
        <w:rPr>
          <w:sz w:val="20"/>
        </w:rPr>
        <w:t xml:space="preserve">(в ред. Федерального </w:t>
      </w:r>
      <w:hyperlink w:history="0" r:id="rId10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3) быстро распространяющие пламя по поверхности.</w:t>
      </w:r>
    </w:p>
    <w:p>
      <w:pPr>
        <w:pStyle w:val="0"/>
        <w:jc w:val="both"/>
      </w:pPr>
      <w:r>
        <w:rPr>
          <w:sz w:val="20"/>
        </w:rPr>
        <w:t xml:space="preserve">(в ред. Федерального </w:t>
      </w:r>
      <w:hyperlink w:history="0" r:id="rId10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15. </w:t>
      </w:r>
      <w:hyperlink w:history="0" r:id="rId106"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 {КонсультантПлюс}">
        <w:r>
          <w:rPr>
            <w:sz w:val="20"/>
            <w:color w:val="0000ff"/>
          </w:rPr>
          <w:t xml:space="preserve">Методы</w:t>
        </w:r>
      </w:hyperlink>
      <w:r>
        <w:rPr>
          <w:sz w:val="20"/>
        </w:rPr>
        <w:t xml:space="preserve"> испытаний по определению классификационных показателей пожарной опасности строительных, текстильных и кожевенных материалов устанавливаются нормативными документами по пожарной безопасности.</w:t>
      </w:r>
    </w:p>
    <w:p>
      <w:pPr>
        <w:pStyle w:val="0"/>
        <w:ind w:firstLine="540"/>
        <w:jc w:val="both"/>
      </w:pPr>
      <w:r>
        <w:rPr>
          <w:sz w:val="20"/>
        </w:rPr>
      </w:r>
    </w:p>
    <w:p>
      <w:pPr>
        <w:pStyle w:val="2"/>
        <w:outlineLvl w:val="2"/>
        <w:jc w:val="center"/>
      </w:pPr>
      <w:r>
        <w:rPr>
          <w:sz w:val="20"/>
        </w:rPr>
        <w:t xml:space="preserve">Глава 4. ПОКАЗАТЕЛИ ПОЖАРОВЗРЫВООПАСНОСТИ</w:t>
      </w:r>
    </w:p>
    <w:p>
      <w:pPr>
        <w:pStyle w:val="2"/>
        <w:jc w:val="center"/>
      </w:pPr>
      <w:r>
        <w:rPr>
          <w:sz w:val="20"/>
        </w:rPr>
        <w:t xml:space="preserve">И ПОЖАРНОЙ ОПАСНОСТИ И КЛАССИФИКАЦИЯ ТЕХНОЛОГИЧЕСКИХ СРЕД</w:t>
      </w:r>
    </w:p>
    <w:p>
      <w:pPr>
        <w:pStyle w:val="2"/>
        <w:jc w:val="center"/>
      </w:pPr>
      <w:r>
        <w:rPr>
          <w:sz w:val="20"/>
        </w:rPr>
        <w:t xml:space="preserve">ПО ПОЖАРОВЗРЫВООПАСНОСТИ И ПОЖАРНОЙ ОПАСНОСТИ</w:t>
      </w:r>
    </w:p>
    <w:p>
      <w:pPr>
        <w:pStyle w:val="0"/>
        <w:ind w:firstLine="540"/>
        <w:jc w:val="both"/>
      </w:pPr>
      <w:r>
        <w:rPr>
          <w:sz w:val="20"/>
        </w:rPr>
      </w:r>
    </w:p>
    <w:p>
      <w:pPr>
        <w:pStyle w:val="2"/>
        <w:outlineLvl w:val="3"/>
        <w:ind w:firstLine="540"/>
        <w:jc w:val="both"/>
      </w:pPr>
      <w:r>
        <w:rPr>
          <w:sz w:val="20"/>
        </w:rPr>
        <w:t xml:space="preserve">Статья 14. Цель классификации технологических сред по пожаровзрывоопасности и пожарной опасности</w:t>
      </w:r>
    </w:p>
    <w:p>
      <w:pPr>
        <w:pStyle w:val="0"/>
        <w:ind w:firstLine="540"/>
        <w:jc w:val="both"/>
      </w:pPr>
      <w:r>
        <w:rPr>
          <w:sz w:val="20"/>
        </w:rPr>
      </w:r>
    </w:p>
    <w:p>
      <w:pPr>
        <w:pStyle w:val="0"/>
        <w:ind w:firstLine="540"/>
        <w:jc w:val="both"/>
      </w:pPr>
      <w:r>
        <w:rPr>
          <w:sz w:val="20"/>
        </w:rPr>
        <w:t xml:space="preserve">Классификация технологических сред по пожаровзрывоопасности и пожарной опасности используется для установления безопасных параметров ведения технологического процесса.</w:t>
      </w:r>
    </w:p>
    <w:p>
      <w:pPr>
        <w:pStyle w:val="0"/>
        <w:ind w:firstLine="540"/>
        <w:jc w:val="both"/>
      </w:pPr>
      <w:r>
        <w:rPr>
          <w:sz w:val="20"/>
        </w:rPr>
      </w:r>
    </w:p>
    <w:p>
      <w:pPr>
        <w:pStyle w:val="2"/>
        <w:outlineLvl w:val="3"/>
        <w:ind w:firstLine="540"/>
        <w:jc w:val="both"/>
      </w:pPr>
      <w:r>
        <w:rPr>
          <w:sz w:val="20"/>
        </w:rPr>
        <w:t xml:space="preserve">Статья 15. Показатели пожаровзрывоопасности и пожарной опасности технологических сред</w:t>
      </w:r>
    </w:p>
    <w:p>
      <w:pPr>
        <w:pStyle w:val="0"/>
        <w:ind w:firstLine="540"/>
        <w:jc w:val="both"/>
      </w:pPr>
      <w:r>
        <w:rPr>
          <w:sz w:val="20"/>
        </w:rPr>
      </w:r>
    </w:p>
    <w:p>
      <w:pPr>
        <w:pStyle w:val="0"/>
        <w:ind w:firstLine="540"/>
        <w:jc w:val="both"/>
      </w:pPr>
      <w:r>
        <w:rPr>
          <w:sz w:val="20"/>
        </w:rPr>
        <w:t xml:space="preserve">1. Пожаровзрывоопасность и пожарная опасность технологических сред характеризуется показателями пожаровзрывоопасности и пожарной опасности веществ, обращающихся в технологическом процессе, и параметрами технологического процесса. Перечень показателей, необходимых для оценки пожаровзрывоопасности и пожарной опасности веществ, приведен в </w:t>
      </w:r>
      <w:hyperlink w:history="0" w:anchor="P2003" w:tooltip="Перечень показателей для оценки">
        <w:r>
          <w:rPr>
            <w:sz w:val="20"/>
            <w:color w:val="0000ff"/>
          </w:rPr>
          <w:t xml:space="preserve">таблице 1</w:t>
        </w:r>
      </w:hyperlink>
      <w:r>
        <w:rPr>
          <w:sz w:val="20"/>
        </w:rPr>
        <w:t xml:space="preserve"> приложения к настоящему Федеральному закону.</w:t>
      </w:r>
    </w:p>
    <w:p>
      <w:pPr>
        <w:pStyle w:val="0"/>
        <w:spacing w:before="200" w:line-rule="auto"/>
        <w:ind w:firstLine="540"/>
        <w:jc w:val="both"/>
      </w:pPr>
      <w:r>
        <w:rPr>
          <w:sz w:val="20"/>
        </w:rPr>
        <w:t xml:space="preserve">2. </w:t>
      </w:r>
      <w:hyperlink w:history="0" r:id="rId107"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 {КонсультантПлюс}">
        <w:r>
          <w:rPr>
            <w:sz w:val="20"/>
            <w:color w:val="0000ff"/>
          </w:rPr>
          <w:t xml:space="preserve">Методы</w:t>
        </w:r>
      </w:hyperlink>
      <w:r>
        <w:rPr>
          <w:sz w:val="20"/>
        </w:rPr>
        <w:t xml:space="preserve"> определения показателей пожаровзрывоопасности и пожарной опасности веществ, входящих в состав технологических сред, устанавливаются нормативными документами по пожарной безопасности.</w:t>
      </w:r>
    </w:p>
    <w:p>
      <w:pPr>
        <w:pStyle w:val="0"/>
        <w:ind w:firstLine="540"/>
        <w:jc w:val="both"/>
      </w:pPr>
      <w:r>
        <w:rPr>
          <w:sz w:val="20"/>
        </w:rPr>
      </w:r>
    </w:p>
    <w:p>
      <w:pPr>
        <w:pStyle w:val="2"/>
        <w:outlineLvl w:val="3"/>
        <w:ind w:firstLine="540"/>
        <w:jc w:val="both"/>
      </w:pPr>
      <w:r>
        <w:rPr>
          <w:sz w:val="20"/>
        </w:rPr>
        <w:t xml:space="preserve">Статья 16. Классификация технологических сред по пожаровзрывоопасности</w:t>
      </w:r>
    </w:p>
    <w:p>
      <w:pPr>
        <w:pStyle w:val="0"/>
        <w:ind w:firstLine="540"/>
        <w:jc w:val="both"/>
      </w:pPr>
      <w:r>
        <w:rPr>
          <w:sz w:val="20"/>
        </w:rPr>
      </w:r>
    </w:p>
    <w:p>
      <w:pPr>
        <w:pStyle w:val="0"/>
        <w:ind w:firstLine="540"/>
        <w:jc w:val="both"/>
      </w:pPr>
      <w:r>
        <w:rPr>
          <w:sz w:val="20"/>
        </w:rPr>
        <w:t xml:space="preserve">1. Технологические среды по пожаровзрывоопасности подразделяются на следующие группы:</w:t>
      </w:r>
    </w:p>
    <w:p>
      <w:pPr>
        <w:pStyle w:val="0"/>
        <w:spacing w:before="200" w:line-rule="auto"/>
        <w:ind w:firstLine="540"/>
        <w:jc w:val="both"/>
      </w:pPr>
      <w:r>
        <w:rPr>
          <w:sz w:val="20"/>
        </w:rPr>
        <w:t xml:space="preserve">1) пожароопасные;</w:t>
      </w:r>
    </w:p>
    <w:p>
      <w:pPr>
        <w:pStyle w:val="0"/>
        <w:spacing w:before="200" w:line-rule="auto"/>
        <w:ind w:firstLine="540"/>
        <w:jc w:val="both"/>
      </w:pPr>
      <w:r>
        <w:rPr>
          <w:sz w:val="20"/>
        </w:rPr>
        <w:t xml:space="preserve">2) пожаровзрывоопасные;</w:t>
      </w:r>
    </w:p>
    <w:p>
      <w:pPr>
        <w:pStyle w:val="0"/>
        <w:spacing w:before="200" w:line-rule="auto"/>
        <w:ind w:firstLine="540"/>
        <w:jc w:val="both"/>
      </w:pPr>
      <w:r>
        <w:rPr>
          <w:sz w:val="20"/>
        </w:rPr>
        <w:t xml:space="preserve">3) взрывоопасные;</w:t>
      </w:r>
    </w:p>
    <w:p>
      <w:pPr>
        <w:pStyle w:val="0"/>
        <w:spacing w:before="200" w:line-rule="auto"/>
        <w:ind w:firstLine="540"/>
        <w:jc w:val="both"/>
      </w:pPr>
      <w:r>
        <w:rPr>
          <w:sz w:val="20"/>
        </w:rPr>
        <w:t xml:space="preserve">4) пожаробезопасные.</w:t>
      </w:r>
    </w:p>
    <w:p>
      <w:pPr>
        <w:pStyle w:val="0"/>
        <w:spacing w:before="200" w:line-rule="auto"/>
        <w:ind w:firstLine="540"/>
        <w:jc w:val="both"/>
      </w:pPr>
      <w:r>
        <w:rPr>
          <w:sz w:val="20"/>
        </w:rPr>
        <w:t xml:space="preserve">2. Среда относится к пожароопасным, если возможно образование горючей среды, а также появление источника зажигания достаточной мощности для возникновения пожара.</w:t>
      </w:r>
    </w:p>
    <w:p>
      <w:pPr>
        <w:pStyle w:val="0"/>
        <w:spacing w:before="200" w:line-rule="auto"/>
        <w:ind w:firstLine="540"/>
        <w:jc w:val="both"/>
      </w:pPr>
      <w:r>
        <w:rPr>
          <w:sz w:val="20"/>
        </w:rPr>
        <w:t xml:space="preserve">3. Среда относится к пожаровзрывоопасным, если возможно образование смесей окислителя с горючими газами, парами легковоспламеняющихся жидкостей, горючими аэрозолями и горючими пылями, в которых при появлении источника зажигания возможно инициирование взрыва и (или) пожара.</w:t>
      </w:r>
    </w:p>
    <w:p>
      <w:pPr>
        <w:pStyle w:val="0"/>
        <w:spacing w:before="200" w:line-rule="auto"/>
        <w:ind w:firstLine="540"/>
        <w:jc w:val="both"/>
      </w:pPr>
      <w:r>
        <w:rPr>
          <w:sz w:val="20"/>
        </w:rPr>
        <w:t xml:space="preserve">4. Среда относится к взрывоопасным, если возможно образование смесей воздуха с горючими газами, парами легковоспламеняющихся жидкостей, горючими жидкостями, горючими аэрозолями и горючими пылями или волокнами и если при определенной концентрации горючего и появлении источника инициирования взрыва (источника зажигания) она способна взрываться.</w:t>
      </w:r>
    </w:p>
    <w:p>
      <w:pPr>
        <w:pStyle w:val="0"/>
        <w:spacing w:before="200" w:line-rule="auto"/>
        <w:ind w:firstLine="540"/>
        <w:jc w:val="both"/>
      </w:pPr>
      <w:r>
        <w:rPr>
          <w:sz w:val="20"/>
        </w:rPr>
        <w:t xml:space="preserve">5. К пожаробезопасным средам относится пространство, в котором отсутствуют горючая среда и (или) окислитель.</w:t>
      </w:r>
    </w:p>
    <w:p>
      <w:pPr>
        <w:pStyle w:val="0"/>
        <w:ind w:firstLine="540"/>
        <w:jc w:val="both"/>
      </w:pPr>
      <w:r>
        <w:rPr>
          <w:sz w:val="20"/>
        </w:rPr>
      </w:r>
    </w:p>
    <w:p>
      <w:pPr>
        <w:pStyle w:val="2"/>
        <w:outlineLvl w:val="2"/>
        <w:jc w:val="center"/>
      </w:pPr>
      <w:r>
        <w:rPr>
          <w:sz w:val="20"/>
        </w:rPr>
        <w:t xml:space="preserve">Глава 5. КЛАССИФИКАЦИЯ ПОЖАРООПАСНЫХ И ВЗРЫВООПАСНЫХ ЗОН</w:t>
      </w:r>
    </w:p>
    <w:p>
      <w:pPr>
        <w:pStyle w:val="0"/>
        <w:jc w:val="center"/>
      </w:pPr>
      <w:r>
        <w:rPr>
          <w:sz w:val="20"/>
        </w:rPr>
      </w:r>
    </w:p>
    <w:p>
      <w:pPr>
        <w:pStyle w:val="2"/>
        <w:outlineLvl w:val="3"/>
        <w:ind w:firstLine="540"/>
        <w:jc w:val="both"/>
      </w:pPr>
      <w:r>
        <w:rPr>
          <w:sz w:val="20"/>
        </w:rPr>
        <w:t xml:space="preserve">Статья 17. Цель классификации</w:t>
      </w:r>
    </w:p>
    <w:p>
      <w:pPr>
        <w:pStyle w:val="0"/>
        <w:ind w:firstLine="540"/>
        <w:jc w:val="both"/>
      </w:pPr>
      <w:r>
        <w:rPr>
          <w:sz w:val="20"/>
        </w:rPr>
      </w:r>
    </w:p>
    <w:p>
      <w:pPr>
        <w:pStyle w:val="0"/>
        <w:ind w:firstLine="540"/>
        <w:jc w:val="both"/>
      </w:pPr>
      <w:r>
        <w:rPr>
          <w:sz w:val="20"/>
        </w:rPr>
        <w:t xml:space="preserve">Классификация пожароопасных и взрывоопасных зон применяется для выбора электротехнического и другого оборудования по степени их защиты, обеспечивающей их пожаровзрывобезопасную эксплуатацию в указанной зоне.</w:t>
      </w:r>
    </w:p>
    <w:p>
      <w:pPr>
        <w:pStyle w:val="0"/>
        <w:ind w:firstLine="540"/>
        <w:jc w:val="both"/>
      </w:pPr>
      <w:r>
        <w:rPr>
          <w:sz w:val="20"/>
        </w:rPr>
      </w:r>
    </w:p>
    <w:p>
      <w:pPr>
        <w:pStyle w:val="2"/>
        <w:outlineLvl w:val="3"/>
        <w:ind w:firstLine="540"/>
        <w:jc w:val="both"/>
      </w:pPr>
      <w:r>
        <w:rPr>
          <w:sz w:val="20"/>
        </w:rPr>
        <w:t xml:space="preserve">Статья 18. Классификация пожароопасных зон</w:t>
      </w:r>
    </w:p>
    <w:p>
      <w:pPr>
        <w:pStyle w:val="0"/>
        <w:ind w:firstLine="540"/>
        <w:jc w:val="both"/>
      </w:pPr>
      <w:r>
        <w:rPr>
          <w:sz w:val="20"/>
        </w:rPr>
      </w:r>
    </w:p>
    <w:p>
      <w:pPr>
        <w:pStyle w:val="0"/>
        <w:ind w:firstLine="540"/>
        <w:jc w:val="both"/>
      </w:pPr>
      <w:r>
        <w:rPr>
          <w:sz w:val="20"/>
        </w:rPr>
        <w:t xml:space="preserve">1. Пожароопасные зоны подразделяются на следующие классы:</w:t>
      </w:r>
    </w:p>
    <w:p>
      <w:pPr>
        <w:pStyle w:val="0"/>
        <w:spacing w:before="200" w:line-rule="auto"/>
        <w:ind w:firstLine="540"/>
        <w:jc w:val="both"/>
      </w:pPr>
      <w:r>
        <w:rPr>
          <w:sz w:val="20"/>
        </w:rPr>
        <w:t xml:space="preserve">1) П-I - зоны, расположенные в помещениях, в которых обращаются горючие жидкости с температурой вспышки 61 и более градуса Цельсия;</w:t>
      </w:r>
    </w:p>
    <w:p>
      <w:pPr>
        <w:pStyle w:val="0"/>
        <w:spacing w:before="200" w:line-rule="auto"/>
        <w:ind w:firstLine="540"/>
        <w:jc w:val="both"/>
      </w:pPr>
      <w:r>
        <w:rPr>
          <w:sz w:val="20"/>
        </w:rPr>
        <w:t xml:space="preserve">2) П-II - зоны, расположенные в помещениях, в которых выделяются горючие пыли или волокна;</w:t>
      </w:r>
    </w:p>
    <w:p>
      <w:pPr>
        <w:pStyle w:val="0"/>
        <w:spacing w:before="200" w:line-rule="auto"/>
        <w:ind w:firstLine="540"/>
        <w:jc w:val="both"/>
      </w:pPr>
      <w:r>
        <w:rPr>
          <w:sz w:val="20"/>
        </w:rPr>
        <w:t xml:space="preserve">3) П-IIа - зоны, расположенные в помещениях, в которых обращаются твердые горючие вещества в количестве, при котором удельная пожарная нагрузка составляет не менее 1 мегаджоуля на квадратный метр;</w:t>
      </w:r>
    </w:p>
    <w:p>
      <w:pPr>
        <w:pStyle w:val="0"/>
        <w:spacing w:before="200" w:line-rule="auto"/>
        <w:ind w:firstLine="540"/>
        <w:jc w:val="both"/>
      </w:pPr>
      <w:r>
        <w:rPr>
          <w:sz w:val="20"/>
        </w:rPr>
        <w:t xml:space="preserve">4) П-III - зоны, расположенные вне зданий, сооружений, в которых обращаются горючие жидкости с температурой вспышки 61 и более градуса Цельсия или любые твердые горючие вещества.</w:t>
      </w:r>
    </w:p>
    <w:p>
      <w:pPr>
        <w:pStyle w:val="0"/>
        <w:jc w:val="both"/>
      </w:pPr>
      <w:r>
        <w:rPr>
          <w:sz w:val="20"/>
        </w:rPr>
        <w:t xml:space="preserve">(в ред. Федерального </w:t>
      </w:r>
      <w:hyperlink w:history="0" r:id="rId10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w:t>
      </w:r>
      <w:hyperlink w:history="0" r:id="rId109"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 {КонсультантПлюс}">
        <w:r>
          <w:rPr>
            <w:sz w:val="20"/>
            <w:color w:val="0000ff"/>
          </w:rPr>
          <w:t xml:space="preserve">Методы</w:t>
        </w:r>
      </w:hyperlink>
      <w:r>
        <w:rPr>
          <w:sz w:val="20"/>
        </w:rPr>
        <w:t xml:space="preserve"> определения классификационных показателей пожароопасной зоны устанавливаются нормативными документами по пожарной безопасности.</w:t>
      </w:r>
    </w:p>
    <w:p>
      <w:pPr>
        <w:pStyle w:val="0"/>
        <w:ind w:firstLine="540"/>
        <w:jc w:val="both"/>
      </w:pPr>
      <w:r>
        <w:rPr>
          <w:sz w:val="20"/>
        </w:rPr>
      </w:r>
    </w:p>
    <w:p>
      <w:pPr>
        <w:pStyle w:val="2"/>
        <w:outlineLvl w:val="3"/>
        <w:ind w:firstLine="540"/>
        <w:jc w:val="both"/>
      </w:pPr>
      <w:r>
        <w:rPr>
          <w:sz w:val="20"/>
        </w:rPr>
        <w:t xml:space="preserve">Статья 19. Классификация взрывоопасных зон</w:t>
      </w:r>
    </w:p>
    <w:p>
      <w:pPr>
        <w:pStyle w:val="0"/>
        <w:ind w:firstLine="540"/>
        <w:jc w:val="both"/>
      </w:pPr>
      <w:r>
        <w:rPr>
          <w:sz w:val="20"/>
        </w:rPr>
      </w:r>
    </w:p>
    <w:p>
      <w:pPr>
        <w:pStyle w:val="0"/>
        <w:ind w:firstLine="540"/>
        <w:jc w:val="both"/>
      </w:pPr>
      <w:r>
        <w:rPr>
          <w:sz w:val="20"/>
        </w:rPr>
        <w:t xml:space="preserve">1. В зависимости от частоты и длительности присутствия взрывоопасной смеси взрывоопасные зоны подразделяются на следующие классы:</w:t>
      </w:r>
    </w:p>
    <w:p>
      <w:pPr>
        <w:pStyle w:val="0"/>
        <w:spacing w:before="200" w:line-rule="auto"/>
        <w:ind w:firstLine="540"/>
        <w:jc w:val="both"/>
      </w:pPr>
      <w:r>
        <w:rPr>
          <w:sz w:val="20"/>
        </w:rPr>
        <w:t xml:space="preserve">1) 0-й класс - зоны, в которых взрывоопасная смесь газов или паров жидкостей с воздухом присутствует постоянно или хотя бы в течение одного часа;</w:t>
      </w:r>
    </w:p>
    <w:p>
      <w:pPr>
        <w:pStyle w:val="0"/>
        <w:jc w:val="both"/>
      </w:pPr>
      <w:r>
        <w:rPr>
          <w:sz w:val="20"/>
        </w:rPr>
        <w:t xml:space="preserve">(в ред. Федерального </w:t>
      </w:r>
      <w:hyperlink w:history="0" r:id="rId11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1-й класс - зоны, в которых при нормальном режиме работы оборудования выделяются горючие газы или пары легковоспламеняющихся жидкостей, образующие с воздухом взрывоопасные смеси;</w:t>
      </w:r>
    </w:p>
    <w:p>
      <w:pPr>
        <w:pStyle w:val="0"/>
        <w:jc w:val="both"/>
      </w:pPr>
      <w:r>
        <w:rPr>
          <w:sz w:val="20"/>
        </w:rPr>
        <w:t xml:space="preserve">(в ред. Федерального </w:t>
      </w:r>
      <w:hyperlink w:history="0" r:id="rId11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2-й класс - зоны, в которых при нормальном режиме работы оборудования не образуются взрывоопасные смеси газов или паров жидкостей с воздухом, но возможно образование такой взрывоопасной смеси газов или паров жидкостей с воздухом только в результате аварии или повреждения технологического оборудования;</w:t>
      </w:r>
    </w:p>
    <w:p>
      <w:pPr>
        <w:pStyle w:val="0"/>
        <w:jc w:val="both"/>
      </w:pPr>
      <w:r>
        <w:rPr>
          <w:sz w:val="20"/>
        </w:rPr>
        <w:t xml:space="preserve">(п. 3 в ред. Федерального </w:t>
      </w:r>
      <w:hyperlink w:history="0" r:id="rId11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4) 20-й класс - зоны, в которых взрывоопасные смеси горючей пыли с воздухом имеют нижний концентрационный предел распространения пламени менее 65 граммов на кубический метр и присутствуют постоянно;</w:t>
      </w:r>
    </w:p>
    <w:p>
      <w:pPr>
        <w:pStyle w:val="0"/>
        <w:jc w:val="both"/>
      </w:pPr>
      <w:r>
        <w:rPr>
          <w:sz w:val="20"/>
        </w:rPr>
        <w:t xml:space="preserve">(в ред. Федерального </w:t>
      </w:r>
      <w:hyperlink w:history="0" r:id="rId113"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29.07.2017 N 244-ФЗ)</w:t>
      </w:r>
    </w:p>
    <w:p>
      <w:pPr>
        <w:pStyle w:val="0"/>
        <w:spacing w:before="200" w:line-rule="auto"/>
        <w:ind w:firstLine="540"/>
        <w:jc w:val="both"/>
      </w:pPr>
      <w:r>
        <w:rPr>
          <w:sz w:val="20"/>
        </w:rPr>
        <w:t xml:space="preserve">5) 21-й класс - зоны, расположенные в помещениях, в которых при нормальном режиме работы оборудования выделяются переходящие во взвешенное состояние горючие пыли или волокна, способные образовывать с воздухом взрывоопасные смеси при концентрации 65 и менее граммов на кубический метр;</w:t>
      </w:r>
    </w:p>
    <w:p>
      <w:pPr>
        <w:pStyle w:val="0"/>
        <w:spacing w:before="200" w:line-rule="auto"/>
        <w:ind w:firstLine="540"/>
        <w:jc w:val="both"/>
      </w:pPr>
      <w:r>
        <w:rPr>
          <w:sz w:val="20"/>
        </w:rPr>
        <w:t xml:space="preserve">6) 22-й класс - зоны, расположенные в помещениях, в которых при нормальном режиме работы оборудования не образуются взрывоопасные смеси горючих пылей или волокон с воздухом при концентрации 65 и менее граммов на кубический метр, но возможно образование такой взрывоопасной смеси горючих пылей или волокон с воздухом только в результате аварии или повреждения технологического оборудования.</w:t>
      </w:r>
    </w:p>
    <w:p>
      <w:pPr>
        <w:pStyle w:val="0"/>
        <w:spacing w:before="200" w:line-rule="auto"/>
        <w:ind w:firstLine="540"/>
        <w:jc w:val="both"/>
      </w:pPr>
      <w:r>
        <w:rPr>
          <w:sz w:val="20"/>
        </w:rPr>
        <w:t xml:space="preserve">2. </w:t>
      </w:r>
      <w:hyperlink w:history="0" r:id="rId114"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 {КонсультантПлюс}">
        <w:r>
          <w:rPr>
            <w:sz w:val="20"/>
            <w:color w:val="0000ff"/>
          </w:rPr>
          <w:t xml:space="preserve">Методы</w:t>
        </w:r>
      </w:hyperlink>
      <w:r>
        <w:rPr>
          <w:sz w:val="20"/>
        </w:rPr>
        <w:t xml:space="preserve"> определения классификационных показателей взрывоопасной зоны устанавливаются нормативными документами по пожарной безопасности.</w:t>
      </w:r>
    </w:p>
    <w:p>
      <w:pPr>
        <w:pStyle w:val="0"/>
        <w:ind w:firstLine="540"/>
        <w:jc w:val="both"/>
      </w:pPr>
      <w:r>
        <w:rPr>
          <w:sz w:val="20"/>
        </w:rPr>
      </w:r>
    </w:p>
    <w:p>
      <w:pPr>
        <w:pStyle w:val="2"/>
        <w:outlineLvl w:val="2"/>
        <w:jc w:val="center"/>
      </w:pPr>
      <w:r>
        <w:rPr>
          <w:sz w:val="20"/>
        </w:rPr>
        <w:t xml:space="preserve">Глава 6. КЛАССИФИКАЦИЯ ЭЛЕКТРООБОРУДОВАНИЯ</w:t>
      </w:r>
    </w:p>
    <w:p>
      <w:pPr>
        <w:pStyle w:val="2"/>
        <w:jc w:val="center"/>
      </w:pPr>
      <w:r>
        <w:rPr>
          <w:sz w:val="20"/>
        </w:rPr>
        <w:t xml:space="preserve">ПО ПОЖАРОВЗРЫВООПАСНОСТИ И ПОЖАРНОЙ ОПАСНОСТИ</w:t>
      </w:r>
    </w:p>
    <w:p>
      <w:pPr>
        <w:pStyle w:val="0"/>
        <w:jc w:val="center"/>
      </w:pPr>
      <w:r>
        <w:rPr>
          <w:sz w:val="20"/>
        </w:rPr>
      </w:r>
    </w:p>
    <w:p>
      <w:pPr>
        <w:pStyle w:val="2"/>
        <w:outlineLvl w:val="3"/>
        <w:ind w:firstLine="540"/>
        <w:jc w:val="both"/>
      </w:pPr>
      <w:r>
        <w:rPr>
          <w:sz w:val="20"/>
        </w:rPr>
        <w:t xml:space="preserve">Статья 20. Цель классификации</w:t>
      </w:r>
    </w:p>
    <w:p>
      <w:pPr>
        <w:pStyle w:val="0"/>
        <w:ind w:firstLine="540"/>
        <w:jc w:val="both"/>
      </w:pPr>
      <w:r>
        <w:rPr>
          <w:sz w:val="20"/>
        </w:rPr>
      </w:r>
    </w:p>
    <w:p>
      <w:pPr>
        <w:pStyle w:val="0"/>
        <w:ind w:firstLine="540"/>
        <w:jc w:val="both"/>
      </w:pPr>
      <w:r>
        <w:rPr>
          <w:sz w:val="20"/>
        </w:rPr>
        <w:t xml:space="preserve">Классификация электрооборудования по пожаровзрывоопасности и пожарной опасности применяется для определения области его безопасного применения и соответствующей этой области маркировки электрооборудования, а также для определения требований пожарной безопасности при эксплуатации электрооборудования.</w:t>
      </w:r>
    </w:p>
    <w:p>
      <w:pPr>
        <w:pStyle w:val="0"/>
        <w:ind w:firstLine="540"/>
        <w:jc w:val="both"/>
      </w:pPr>
      <w:r>
        <w:rPr>
          <w:sz w:val="20"/>
        </w:rPr>
      </w:r>
    </w:p>
    <w:p>
      <w:pPr>
        <w:pStyle w:val="2"/>
        <w:outlineLvl w:val="3"/>
        <w:ind w:firstLine="540"/>
        <w:jc w:val="both"/>
      </w:pPr>
      <w:r>
        <w:rPr>
          <w:sz w:val="20"/>
        </w:rPr>
        <w:t xml:space="preserve">Статья 21. Классификация электрооборудования по пожаровзрывоопасности и пожарной опасности</w:t>
      </w:r>
    </w:p>
    <w:p>
      <w:pPr>
        <w:pStyle w:val="0"/>
        <w:ind w:firstLine="540"/>
        <w:jc w:val="both"/>
      </w:pPr>
      <w:r>
        <w:rPr>
          <w:sz w:val="20"/>
        </w:rPr>
      </w:r>
    </w:p>
    <w:p>
      <w:pPr>
        <w:pStyle w:val="0"/>
        <w:ind w:firstLine="540"/>
        <w:jc w:val="both"/>
      </w:pPr>
      <w:r>
        <w:rPr>
          <w:sz w:val="20"/>
        </w:rPr>
        <w:t xml:space="preserve">1. В зависимости от степени пожаровзрывоопасности и пожарной опасности электрооборудование подразделяется на следующие виды:</w:t>
      </w:r>
    </w:p>
    <w:p>
      <w:pPr>
        <w:pStyle w:val="0"/>
        <w:spacing w:before="200" w:line-rule="auto"/>
        <w:ind w:firstLine="540"/>
        <w:jc w:val="both"/>
      </w:pPr>
      <w:r>
        <w:rPr>
          <w:sz w:val="20"/>
        </w:rPr>
        <w:t xml:space="preserve">1) электрооборудование без средств пожаровзрывозащиты;</w:t>
      </w:r>
    </w:p>
    <w:p>
      <w:pPr>
        <w:pStyle w:val="0"/>
        <w:spacing w:before="200" w:line-rule="auto"/>
        <w:ind w:firstLine="540"/>
        <w:jc w:val="both"/>
      </w:pPr>
      <w:r>
        <w:rPr>
          <w:sz w:val="20"/>
        </w:rPr>
        <w:t xml:space="preserve">2) пожарозащищенное электрооборудование (для пожароопасных зон);</w:t>
      </w:r>
    </w:p>
    <w:p>
      <w:pPr>
        <w:pStyle w:val="0"/>
        <w:spacing w:before="200" w:line-rule="auto"/>
        <w:ind w:firstLine="540"/>
        <w:jc w:val="both"/>
      </w:pPr>
      <w:r>
        <w:rPr>
          <w:sz w:val="20"/>
        </w:rPr>
        <w:t xml:space="preserve">3) взрывозащищенное электрооборудование (для взрывоопасных зон).</w:t>
      </w:r>
    </w:p>
    <w:p>
      <w:pPr>
        <w:pStyle w:val="0"/>
        <w:spacing w:before="200" w:line-rule="auto"/>
        <w:ind w:firstLine="540"/>
        <w:jc w:val="both"/>
      </w:pPr>
      <w:r>
        <w:rPr>
          <w:sz w:val="20"/>
        </w:rPr>
        <w:t xml:space="preserve">2. Под степенью пожаровзрывоопасности и пожарной опасности электрооборудования понимается опасность возникновения источника зажигания внутри электрооборудования и (или) опасность контакта источника зажигания с окружающей электрооборудование горючей средой. Электрооборудование без средств пожаровзрывозащиты по уровням пожарной защиты и взрывозащиты не классифицируется.</w:t>
      </w:r>
    </w:p>
    <w:p>
      <w:pPr>
        <w:pStyle w:val="0"/>
        <w:ind w:firstLine="540"/>
        <w:jc w:val="both"/>
      </w:pPr>
      <w:r>
        <w:rPr>
          <w:sz w:val="20"/>
        </w:rPr>
      </w:r>
    </w:p>
    <w:p>
      <w:pPr>
        <w:pStyle w:val="2"/>
        <w:outlineLvl w:val="3"/>
        <w:ind w:firstLine="540"/>
        <w:jc w:val="both"/>
      </w:pPr>
      <w:r>
        <w:rPr>
          <w:sz w:val="20"/>
        </w:rPr>
        <w:t xml:space="preserve">Статья 22. Классификация пожарозащищенного электрооборудования</w:t>
      </w:r>
    </w:p>
    <w:p>
      <w:pPr>
        <w:pStyle w:val="0"/>
        <w:ind w:firstLine="540"/>
        <w:jc w:val="both"/>
      </w:pPr>
      <w:r>
        <w:rPr>
          <w:sz w:val="20"/>
        </w:rPr>
      </w:r>
    </w:p>
    <w:p>
      <w:pPr>
        <w:pStyle w:val="0"/>
        <w:ind w:firstLine="540"/>
        <w:jc w:val="both"/>
      </w:pPr>
      <w:r>
        <w:rPr>
          <w:sz w:val="20"/>
        </w:rPr>
        <w:t xml:space="preserve">1. Электрооборудование, применяемое в пожароопасных зонах, классифицируется по степени защиты от проникновения внутрь воды и внешних твердых предметов, обеспечиваемой конструкцией этого электрооборудования. Классификация пожарозащищенного электрооборудования осуществляется в соответствии с </w:t>
      </w:r>
      <w:hyperlink w:history="0" w:anchor="P2202" w:tooltip="Степень защиты пожарозащищенного электрооборудования">
        <w:r>
          <w:rPr>
            <w:sz w:val="20"/>
            <w:color w:val="0000ff"/>
          </w:rPr>
          <w:t xml:space="preserve">таблицами 4</w:t>
        </w:r>
      </w:hyperlink>
      <w:r>
        <w:rPr>
          <w:sz w:val="20"/>
        </w:rPr>
        <w:t xml:space="preserve"> и </w:t>
      </w:r>
      <w:hyperlink w:history="0" w:anchor="P2224" w:tooltip="Степень защиты пожарозащищенного электрооборудования">
        <w:r>
          <w:rPr>
            <w:sz w:val="20"/>
            <w:color w:val="0000ff"/>
          </w:rPr>
          <w:t xml:space="preserve">5</w:t>
        </w:r>
      </w:hyperlink>
      <w:r>
        <w:rPr>
          <w:sz w:val="20"/>
        </w:rPr>
        <w:t xml:space="preserve"> приложения к настоящему Федеральному закону.</w:t>
      </w:r>
    </w:p>
    <w:p>
      <w:pPr>
        <w:pStyle w:val="0"/>
        <w:spacing w:before="200" w:line-rule="auto"/>
        <w:ind w:firstLine="540"/>
        <w:jc w:val="both"/>
      </w:pPr>
      <w:r>
        <w:rPr>
          <w:sz w:val="20"/>
        </w:rPr>
        <w:t xml:space="preserve">2. </w:t>
      </w:r>
      <w:hyperlink w:history="0" r:id="rId115"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 {КонсультантПлюс}">
        <w:r>
          <w:rPr>
            <w:sz w:val="20"/>
            <w:color w:val="0000ff"/>
          </w:rPr>
          <w:t xml:space="preserve">Методы</w:t>
        </w:r>
      </w:hyperlink>
      <w:r>
        <w:rPr>
          <w:sz w:val="20"/>
        </w:rPr>
        <w:t xml:space="preserve"> определения степени защиты оболочки пожарозащищенного электрооборудования устанавливаются нормативными документами по пожарной безопасности.</w:t>
      </w:r>
    </w:p>
    <w:p>
      <w:pPr>
        <w:pStyle w:val="0"/>
        <w:spacing w:before="200" w:line-rule="auto"/>
        <w:ind w:firstLine="540"/>
        <w:jc w:val="both"/>
      </w:pPr>
      <w:r>
        <w:rPr>
          <w:sz w:val="20"/>
        </w:rPr>
        <w:t xml:space="preserve">3. Маркировка степени защиты оболочки электрооборудования осуществляется при помощи международного знака защиты (IP) и двух цифр, первая из которых означает защиту от попадания твердых предметов, вторая - от проникновения воды.</w:t>
      </w:r>
    </w:p>
    <w:p>
      <w:pPr>
        <w:pStyle w:val="0"/>
        <w:ind w:firstLine="540"/>
        <w:jc w:val="both"/>
      </w:pPr>
      <w:r>
        <w:rPr>
          <w:sz w:val="20"/>
        </w:rPr>
      </w:r>
    </w:p>
    <w:p>
      <w:pPr>
        <w:pStyle w:val="2"/>
        <w:outlineLvl w:val="3"/>
        <w:ind w:firstLine="540"/>
        <w:jc w:val="both"/>
      </w:pPr>
      <w:r>
        <w:rPr>
          <w:sz w:val="20"/>
        </w:rPr>
        <w:t xml:space="preserve">Статья 23. Классификация взрывозащищенного электрооборудования</w:t>
      </w:r>
    </w:p>
    <w:p>
      <w:pPr>
        <w:pStyle w:val="0"/>
        <w:ind w:firstLine="540"/>
        <w:jc w:val="both"/>
      </w:pPr>
      <w:r>
        <w:rPr>
          <w:sz w:val="20"/>
        </w:rPr>
      </w:r>
    </w:p>
    <w:p>
      <w:pPr>
        <w:pStyle w:val="0"/>
        <w:ind w:firstLine="540"/>
        <w:jc w:val="both"/>
      </w:pPr>
      <w:r>
        <w:rPr>
          <w:sz w:val="20"/>
        </w:rPr>
        <w:t xml:space="preserve">1. Взрывозащищенное электрооборудование классифицируется по уровням взрывозащиты, видам взрывозащиты, группам и температурным классам.</w:t>
      </w:r>
    </w:p>
    <w:p>
      <w:pPr>
        <w:pStyle w:val="0"/>
        <w:spacing w:before="200" w:line-rule="auto"/>
        <w:ind w:firstLine="540"/>
        <w:jc w:val="both"/>
      </w:pPr>
      <w:r>
        <w:rPr>
          <w:sz w:val="20"/>
        </w:rPr>
        <w:t xml:space="preserve">2. Взрывозащищенное электрооборудование по уровням взрывозащиты подразделяется на следующие виды:</w:t>
      </w:r>
    </w:p>
    <w:p>
      <w:pPr>
        <w:pStyle w:val="0"/>
        <w:spacing w:before="200" w:line-rule="auto"/>
        <w:ind w:firstLine="540"/>
        <w:jc w:val="both"/>
      </w:pPr>
      <w:r>
        <w:rPr>
          <w:sz w:val="20"/>
        </w:rPr>
        <w:t xml:space="preserve">1) особовзрывобезопасное электрооборудование (уровень 0);</w:t>
      </w:r>
    </w:p>
    <w:p>
      <w:pPr>
        <w:pStyle w:val="0"/>
        <w:spacing w:before="200" w:line-rule="auto"/>
        <w:ind w:firstLine="540"/>
        <w:jc w:val="both"/>
      </w:pPr>
      <w:r>
        <w:rPr>
          <w:sz w:val="20"/>
        </w:rPr>
        <w:t xml:space="preserve">2) взрывобезопасное электрооборудование (уровень 1);</w:t>
      </w:r>
    </w:p>
    <w:p>
      <w:pPr>
        <w:pStyle w:val="0"/>
        <w:spacing w:before="200" w:line-rule="auto"/>
        <w:ind w:firstLine="540"/>
        <w:jc w:val="both"/>
      </w:pPr>
      <w:r>
        <w:rPr>
          <w:sz w:val="20"/>
        </w:rPr>
        <w:t xml:space="preserve">3) электрооборудование повышенной надежности против взрыва (уровень 2).</w:t>
      </w:r>
    </w:p>
    <w:p>
      <w:pPr>
        <w:pStyle w:val="0"/>
        <w:spacing w:before="200" w:line-rule="auto"/>
        <w:ind w:firstLine="540"/>
        <w:jc w:val="both"/>
      </w:pPr>
      <w:r>
        <w:rPr>
          <w:sz w:val="20"/>
        </w:rPr>
        <w:t xml:space="preserve">3. Особовзрывобезопасное электрооборудование - это взрывобезопасное электрооборудование с дополнительными средствами взрывозащиты.</w:t>
      </w:r>
    </w:p>
    <w:p>
      <w:pPr>
        <w:pStyle w:val="0"/>
        <w:spacing w:before="200" w:line-rule="auto"/>
        <w:ind w:firstLine="540"/>
        <w:jc w:val="both"/>
      </w:pPr>
      <w:r>
        <w:rPr>
          <w:sz w:val="20"/>
        </w:rPr>
        <w:t xml:space="preserve">4. Взрывобезопасное электрооборудование обеспечивает взрывозащиту как при нормальном режиме работы оборудования, так и при повреждении, за исключением повреждения средств взрывозащиты. Электрооборудование повышенной надежности против взрыва обеспечивает взрывозащиту только при нормальном режиме работы оборудования (при отсутствии аварий и повреждений).</w:t>
      </w:r>
    </w:p>
    <w:p>
      <w:pPr>
        <w:pStyle w:val="0"/>
        <w:spacing w:before="200" w:line-rule="auto"/>
        <w:ind w:firstLine="540"/>
        <w:jc w:val="both"/>
      </w:pPr>
      <w:r>
        <w:rPr>
          <w:sz w:val="20"/>
        </w:rPr>
        <w:t xml:space="preserve">5. Взрывозащищенное электрооборудование по видам взрывозащиты подразделяется на оборудование, имеющее:</w:t>
      </w:r>
    </w:p>
    <w:p>
      <w:pPr>
        <w:pStyle w:val="0"/>
        <w:spacing w:before="200" w:line-rule="auto"/>
        <w:ind w:firstLine="540"/>
        <w:jc w:val="both"/>
      </w:pPr>
      <w:r>
        <w:rPr>
          <w:sz w:val="20"/>
        </w:rPr>
        <w:t xml:space="preserve">1) взрывонепроницаемую оболочку (d);</w:t>
      </w:r>
    </w:p>
    <w:p>
      <w:pPr>
        <w:pStyle w:val="0"/>
        <w:spacing w:before="200" w:line-rule="auto"/>
        <w:ind w:firstLine="540"/>
        <w:jc w:val="both"/>
      </w:pPr>
      <w:r>
        <w:rPr>
          <w:sz w:val="20"/>
        </w:rPr>
        <w:t xml:space="preserve">2) заполнение или продувку оболочки под избыточным давлением защитным газом (p);</w:t>
      </w:r>
    </w:p>
    <w:p>
      <w:pPr>
        <w:pStyle w:val="0"/>
        <w:spacing w:before="200" w:line-rule="auto"/>
        <w:ind w:firstLine="540"/>
        <w:jc w:val="both"/>
      </w:pPr>
      <w:r>
        <w:rPr>
          <w:sz w:val="20"/>
        </w:rPr>
        <w:t xml:space="preserve">3) искробезопасную электрическую цепь (i);</w:t>
      </w:r>
    </w:p>
    <w:p>
      <w:pPr>
        <w:pStyle w:val="0"/>
        <w:spacing w:before="200" w:line-rule="auto"/>
        <w:ind w:firstLine="540"/>
        <w:jc w:val="both"/>
      </w:pPr>
      <w:r>
        <w:rPr>
          <w:sz w:val="20"/>
        </w:rPr>
        <w:t xml:space="preserve">4) кварцевое заполнение оболочки с токоведущими частями (q);</w:t>
      </w:r>
    </w:p>
    <w:p>
      <w:pPr>
        <w:pStyle w:val="0"/>
        <w:spacing w:before="200" w:line-rule="auto"/>
        <w:ind w:firstLine="540"/>
        <w:jc w:val="both"/>
      </w:pPr>
      <w:r>
        <w:rPr>
          <w:sz w:val="20"/>
        </w:rPr>
        <w:t xml:space="preserve">5) масляное заполнение оболочки с токоведущими частями (o);</w:t>
      </w:r>
    </w:p>
    <w:p>
      <w:pPr>
        <w:pStyle w:val="0"/>
        <w:spacing w:before="200" w:line-rule="auto"/>
        <w:ind w:firstLine="540"/>
        <w:jc w:val="both"/>
      </w:pPr>
      <w:r>
        <w:rPr>
          <w:sz w:val="20"/>
        </w:rPr>
        <w:t xml:space="preserve">6) специальный вид взрывозащиты, определяемый особенностями объекта (s);</w:t>
      </w:r>
    </w:p>
    <w:p>
      <w:pPr>
        <w:pStyle w:val="0"/>
        <w:spacing w:before="200" w:line-rule="auto"/>
        <w:ind w:firstLine="540"/>
        <w:jc w:val="both"/>
      </w:pPr>
      <w:r>
        <w:rPr>
          <w:sz w:val="20"/>
        </w:rPr>
        <w:t xml:space="preserve">7) любой иной вид защиты (e).</w:t>
      </w:r>
    </w:p>
    <w:p>
      <w:pPr>
        <w:pStyle w:val="0"/>
        <w:spacing w:before="200" w:line-rule="auto"/>
        <w:ind w:firstLine="540"/>
        <w:jc w:val="both"/>
      </w:pPr>
      <w:r>
        <w:rPr>
          <w:sz w:val="20"/>
        </w:rPr>
        <w:t xml:space="preserve">6. Взрывозащищенное электрооборудование по допустимости применения в зонах подразделяется на оборудование:</w:t>
      </w:r>
    </w:p>
    <w:p>
      <w:pPr>
        <w:pStyle w:val="0"/>
        <w:spacing w:before="200" w:line-rule="auto"/>
        <w:ind w:firstLine="540"/>
        <w:jc w:val="both"/>
      </w:pPr>
      <w:r>
        <w:rPr>
          <w:sz w:val="20"/>
        </w:rPr>
        <w:t xml:space="preserve">1) с промышленными газами и парами (группа II и подгруппы IIA, IIB, IIC);</w:t>
      </w:r>
    </w:p>
    <w:p>
      <w:pPr>
        <w:pStyle w:val="0"/>
        <w:spacing w:before="200" w:line-rule="auto"/>
        <w:ind w:firstLine="540"/>
        <w:jc w:val="both"/>
      </w:pPr>
      <w:r>
        <w:rPr>
          <w:sz w:val="20"/>
        </w:rPr>
        <w:t xml:space="preserve">2) с рудничным метаном (группа I).</w:t>
      </w:r>
    </w:p>
    <w:p>
      <w:pPr>
        <w:pStyle w:val="0"/>
        <w:spacing w:before="200" w:line-rule="auto"/>
        <w:ind w:firstLine="540"/>
        <w:jc w:val="both"/>
      </w:pPr>
      <w:r>
        <w:rPr>
          <w:sz w:val="20"/>
        </w:rPr>
        <w:t xml:space="preserve">7. В зависимости от наибольшей допустимой температуры поверхности взрывозащищенное электрооборудование группы II подразделяется на следующие температурные классы:</w:t>
      </w:r>
    </w:p>
    <w:p>
      <w:pPr>
        <w:pStyle w:val="0"/>
        <w:spacing w:before="200" w:line-rule="auto"/>
        <w:ind w:firstLine="540"/>
        <w:jc w:val="both"/>
      </w:pPr>
      <w:r>
        <w:rPr>
          <w:sz w:val="20"/>
        </w:rPr>
        <w:t xml:space="preserve">1) Т1 (450 градусов Цельсия);</w:t>
      </w:r>
    </w:p>
    <w:p>
      <w:pPr>
        <w:pStyle w:val="0"/>
        <w:spacing w:before="200" w:line-rule="auto"/>
        <w:ind w:firstLine="540"/>
        <w:jc w:val="both"/>
      </w:pPr>
      <w:r>
        <w:rPr>
          <w:sz w:val="20"/>
        </w:rPr>
        <w:t xml:space="preserve">2) Т2 (300 градусов Цельсия);</w:t>
      </w:r>
    </w:p>
    <w:p>
      <w:pPr>
        <w:pStyle w:val="0"/>
        <w:spacing w:before="200" w:line-rule="auto"/>
        <w:ind w:firstLine="540"/>
        <w:jc w:val="both"/>
      </w:pPr>
      <w:r>
        <w:rPr>
          <w:sz w:val="20"/>
        </w:rPr>
        <w:t xml:space="preserve">3) Т3 (200 градусов Цельсия);</w:t>
      </w:r>
    </w:p>
    <w:p>
      <w:pPr>
        <w:pStyle w:val="0"/>
        <w:spacing w:before="200" w:line-rule="auto"/>
        <w:ind w:firstLine="540"/>
        <w:jc w:val="both"/>
      </w:pPr>
      <w:r>
        <w:rPr>
          <w:sz w:val="20"/>
        </w:rPr>
        <w:t xml:space="preserve">4) Т4 (135 градусов Цельсия);</w:t>
      </w:r>
    </w:p>
    <w:p>
      <w:pPr>
        <w:pStyle w:val="0"/>
        <w:spacing w:before="200" w:line-rule="auto"/>
        <w:ind w:firstLine="540"/>
        <w:jc w:val="both"/>
      </w:pPr>
      <w:r>
        <w:rPr>
          <w:sz w:val="20"/>
        </w:rPr>
        <w:t xml:space="preserve">5) Т5 (100 градусов Цельсия);</w:t>
      </w:r>
    </w:p>
    <w:p>
      <w:pPr>
        <w:pStyle w:val="0"/>
        <w:spacing w:before="200" w:line-rule="auto"/>
        <w:ind w:firstLine="540"/>
        <w:jc w:val="both"/>
      </w:pPr>
      <w:r>
        <w:rPr>
          <w:sz w:val="20"/>
        </w:rPr>
        <w:t xml:space="preserve">6) Т6 (85 градусов Цельсия).</w:t>
      </w:r>
    </w:p>
    <w:p>
      <w:pPr>
        <w:pStyle w:val="0"/>
        <w:spacing w:before="200" w:line-rule="auto"/>
        <w:ind w:firstLine="540"/>
        <w:jc w:val="both"/>
      </w:pPr>
      <w:r>
        <w:rPr>
          <w:sz w:val="20"/>
        </w:rPr>
        <w:t xml:space="preserve">8. Взрывозащищенное электрооборудование должно иметь маркировку. В приведенной ниже последовательности должны указываться:</w:t>
      </w:r>
    </w:p>
    <w:p>
      <w:pPr>
        <w:pStyle w:val="0"/>
        <w:spacing w:before="200" w:line-rule="auto"/>
        <w:ind w:firstLine="540"/>
        <w:jc w:val="both"/>
      </w:pPr>
      <w:r>
        <w:rPr>
          <w:sz w:val="20"/>
        </w:rPr>
        <w:t xml:space="preserve">1) знак уровня взрывозащиты электрооборудования (2, 1, 0);</w:t>
      </w:r>
    </w:p>
    <w:p>
      <w:pPr>
        <w:pStyle w:val="0"/>
        <w:spacing w:before="200" w:line-rule="auto"/>
        <w:ind w:firstLine="540"/>
        <w:jc w:val="both"/>
      </w:pPr>
      <w:r>
        <w:rPr>
          <w:sz w:val="20"/>
        </w:rPr>
        <w:t xml:space="preserve">2) знак, относящий электрооборудование к взрывозащищенному (Ex);</w:t>
      </w:r>
    </w:p>
    <w:p>
      <w:pPr>
        <w:pStyle w:val="0"/>
        <w:spacing w:before="200" w:line-rule="auto"/>
        <w:ind w:firstLine="540"/>
        <w:jc w:val="both"/>
      </w:pPr>
      <w:r>
        <w:rPr>
          <w:sz w:val="20"/>
        </w:rPr>
        <w:t xml:space="preserve">3) знак вида взрывозащиты (d, p, i, q, o, s, e);</w:t>
      </w:r>
    </w:p>
    <w:p>
      <w:pPr>
        <w:pStyle w:val="0"/>
        <w:spacing w:before="200" w:line-rule="auto"/>
        <w:ind w:firstLine="540"/>
        <w:jc w:val="both"/>
      </w:pPr>
      <w:r>
        <w:rPr>
          <w:sz w:val="20"/>
        </w:rPr>
        <w:t xml:space="preserve">4) знак группы или подгруппы электрооборудования (I, II, IIA, IIB, IIC);</w:t>
      </w:r>
    </w:p>
    <w:p>
      <w:pPr>
        <w:pStyle w:val="0"/>
        <w:spacing w:before="200" w:line-rule="auto"/>
        <w:ind w:firstLine="540"/>
        <w:jc w:val="both"/>
      </w:pPr>
      <w:r>
        <w:rPr>
          <w:sz w:val="20"/>
        </w:rPr>
        <w:t xml:space="preserve">5) знак температурного класса электрооборудования (Т1, Т2, Т3, Т4, Т5, Т6).</w:t>
      </w:r>
    </w:p>
    <w:p>
      <w:pPr>
        <w:pStyle w:val="0"/>
        <w:spacing w:before="200" w:line-rule="auto"/>
        <w:ind w:firstLine="540"/>
        <w:jc w:val="both"/>
      </w:pPr>
      <w:r>
        <w:rPr>
          <w:sz w:val="20"/>
        </w:rPr>
        <w:t xml:space="preserve">9. </w:t>
      </w:r>
      <w:hyperlink w:history="0" r:id="rId116"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 {КонсультантПлюс}">
        <w:r>
          <w:rPr>
            <w:sz w:val="20"/>
            <w:color w:val="0000ff"/>
          </w:rPr>
          <w:t xml:space="preserve">Методы</w:t>
        </w:r>
      </w:hyperlink>
      <w:r>
        <w:rPr>
          <w:sz w:val="20"/>
        </w:rPr>
        <w:t xml:space="preserve"> испытания взрывозащищенного электрооборудования на принадлежность к соответствующему уровню, виду, группе (подгруппе), температурному классу устанавливаются нормативными документами по пожарной безопасности.</w:t>
      </w:r>
    </w:p>
    <w:p>
      <w:pPr>
        <w:pStyle w:val="0"/>
        <w:ind w:firstLine="540"/>
        <w:jc w:val="both"/>
      </w:pPr>
      <w:r>
        <w:rPr>
          <w:sz w:val="20"/>
        </w:rPr>
      </w:r>
    </w:p>
    <w:p>
      <w:pPr>
        <w:pStyle w:val="2"/>
        <w:outlineLvl w:val="2"/>
        <w:jc w:val="center"/>
      </w:pPr>
      <w:r>
        <w:rPr>
          <w:sz w:val="20"/>
        </w:rPr>
        <w:t xml:space="preserve">Глава 7. КЛАССИФИКАЦИЯ НАРУЖНЫХ УСТАНОВОК</w:t>
      </w:r>
    </w:p>
    <w:p>
      <w:pPr>
        <w:pStyle w:val="2"/>
        <w:jc w:val="center"/>
      </w:pPr>
      <w:r>
        <w:rPr>
          <w:sz w:val="20"/>
        </w:rPr>
        <w:t xml:space="preserve">ПО ПОЖАРНОЙ ОПАСНОСТИ</w:t>
      </w:r>
    </w:p>
    <w:p>
      <w:pPr>
        <w:pStyle w:val="0"/>
        <w:ind w:firstLine="540"/>
        <w:jc w:val="both"/>
      </w:pPr>
      <w:r>
        <w:rPr>
          <w:sz w:val="20"/>
        </w:rPr>
      </w:r>
    </w:p>
    <w:p>
      <w:pPr>
        <w:pStyle w:val="2"/>
        <w:outlineLvl w:val="3"/>
        <w:ind w:firstLine="540"/>
        <w:jc w:val="both"/>
      </w:pPr>
      <w:r>
        <w:rPr>
          <w:sz w:val="20"/>
        </w:rPr>
        <w:t xml:space="preserve">Статья 24. Цель классификации наружных установок по пожарной опасности</w:t>
      </w:r>
    </w:p>
    <w:p>
      <w:pPr>
        <w:pStyle w:val="0"/>
        <w:ind w:firstLine="540"/>
        <w:jc w:val="both"/>
      </w:pPr>
      <w:r>
        <w:rPr>
          <w:sz w:val="20"/>
        </w:rPr>
      </w:r>
    </w:p>
    <w:p>
      <w:pPr>
        <w:pStyle w:val="0"/>
        <w:ind w:firstLine="540"/>
        <w:jc w:val="both"/>
      </w:pPr>
      <w:r>
        <w:rPr>
          <w:sz w:val="20"/>
        </w:rPr>
        <w:t xml:space="preserve">1. Классификация наружных установок по пожарной опасности используется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на наружных установках.</w:t>
      </w:r>
    </w:p>
    <w:p>
      <w:pPr>
        <w:pStyle w:val="0"/>
        <w:spacing w:before="200" w:line-rule="auto"/>
        <w:ind w:firstLine="540"/>
        <w:jc w:val="both"/>
      </w:pPr>
      <w:r>
        <w:rPr>
          <w:sz w:val="20"/>
        </w:rPr>
        <w:t xml:space="preserve">2. Классификация наружных установок по пожарной опасности основывается на определении их принадлежности к соответствующей категории.</w:t>
      </w:r>
    </w:p>
    <w:p>
      <w:pPr>
        <w:pStyle w:val="0"/>
        <w:spacing w:before="200" w:line-rule="auto"/>
        <w:ind w:firstLine="540"/>
        <w:jc w:val="both"/>
      </w:pPr>
      <w:r>
        <w:rPr>
          <w:sz w:val="20"/>
        </w:rPr>
        <w:t xml:space="preserve">3. Категории наружных установок по пожарной опасности должны указываться в проектной документации на объекты капитального строительства и реконструкции, а обозначение категорий должно быть указано на установке.</w:t>
      </w:r>
    </w:p>
    <w:p>
      <w:pPr>
        <w:pStyle w:val="0"/>
        <w:ind w:firstLine="540"/>
        <w:jc w:val="both"/>
      </w:pPr>
      <w:r>
        <w:rPr>
          <w:sz w:val="20"/>
        </w:rPr>
      </w:r>
    </w:p>
    <w:p>
      <w:pPr>
        <w:pStyle w:val="2"/>
        <w:outlineLvl w:val="3"/>
        <w:ind w:firstLine="540"/>
        <w:jc w:val="both"/>
      </w:pPr>
      <w:r>
        <w:rPr>
          <w:sz w:val="20"/>
        </w:rPr>
        <w:t xml:space="preserve">Статья 25. Определение категорий наружных установок по пожарной опасности</w:t>
      </w:r>
    </w:p>
    <w:p>
      <w:pPr>
        <w:pStyle w:val="0"/>
        <w:ind w:firstLine="540"/>
        <w:jc w:val="both"/>
      </w:pPr>
      <w:r>
        <w:rPr>
          <w:sz w:val="20"/>
        </w:rPr>
      </w:r>
    </w:p>
    <w:p>
      <w:pPr>
        <w:pStyle w:val="0"/>
        <w:ind w:firstLine="540"/>
        <w:jc w:val="both"/>
      </w:pPr>
      <w:r>
        <w:rPr>
          <w:sz w:val="20"/>
        </w:rPr>
        <w:t xml:space="preserve">1. По пожарной опасности наружные установки подразделяются на следующие категории:</w:t>
      </w:r>
    </w:p>
    <w:p>
      <w:pPr>
        <w:pStyle w:val="0"/>
        <w:spacing w:before="200" w:line-rule="auto"/>
        <w:ind w:firstLine="540"/>
        <w:jc w:val="both"/>
      </w:pPr>
      <w:r>
        <w:rPr>
          <w:sz w:val="20"/>
        </w:rPr>
        <w:t xml:space="preserve">1) повышенная взрывопожароопасность (АН);</w:t>
      </w:r>
    </w:p>
    <w:p>
      <w:pPr>
        <w:pStyle w:val="0"/>
        <w:spacing w:before="200" w:line-rule="auto"/>
        <w:ind w:firstLine="540"/>
        <w:jc w:val="both"/>
      </w:pPr>
      <w:r>
        <w:rPr>
          <w:sz w:val="20"/>
        </w:rPr>
        <w:t xml:space="preserve">2) взрывопожароопасность (БН);</w:t>
      </w:r>
    </w:p>
    <w:p>
      <w:pPr>
        <w:pStyle w:val="0"/>
        <w:spacing w:before="200" w:line-rule="auto"/>
        <w:ind w:firstLine="540"/>
        <w:jc w:val="both"/>
      </w:pPr>
      <w:r>
        <w:rPr>
          <w:sz w:val="20"/>
        </w:rPr>
        <w:t xml:space="preserve">3) пожароопасность (ВН);</w:t>
      </w:r>
    </w:p>
    <w:p>
      <w:pPr>
        <w:pStyle w:val="0"/>
        <w:spacing w:before="200" w:line-rule="auto"/>
        <w:ind w:firstLine="540"/>
        <w:jc w:val="both"/>
      </w:pPr>
      <w:r>
        <w:rPr>
          <w:sz w:val="20"/>
        </w:rPr>
        <w:t xml:space="preserve">4) умеренная пожароопасность (ГН);</w:t>
      </w:r>
    </w:p>
    <w:p>
      <w:pPr>
        <w:pStyle w:val="0"/>
        <w:spacing w:before="200" w:line-rule="auto"/>
        <w:ind w:firstLine="540"/>
        <w:jc w:val="both"/>
      </w:pPr>
      <w:r>
        <w:rPr>
          <w:sz w:val="20"/>
        </w:rPr>
        <w:t xml:space="preserve">5) пониженная пожароопасность (ДН).</w:t>
      </w:r>
    </w:p>
    <w:p>
      <w:pPr>
        <w:pStyle w:val="0"/>
        <w:spacing w:before="200" w:line-rule="auto"/>
        <w:ind w:firstLine="540"/>
        <w:jc w:val="both"/>
      </w:pPr>
      <w:r>
        <w:rPr>
          <w:sz w:val="20"/>
        </w:rPr>
        <w:t xml:space="preserve">2. Категории наружных установок по пожарной опасности определяются исходя из пожароопасных свойств находящихся в установках горючих веществ и материалов, их количества и особенностей технологических процессов.</w:t>
      </w:r>
    </w:p>
    <w:p>
      <w:pPr>
        <w:pStyle w:val="0"/>
        <w:spacing w:before="200" w:line-rule="auto"/>
        <w:ind w:firstLine="540"/>
        <w:jc w:val="both"/>
      </w:pPr>
      <w:r>
        <w:rPr>
          <w:sz w:val="20"/>
        </w:rPr>
        <w:t xml:space="preserve">3. Установка относится к категории АН, если в ней присутствуют (хранятся, перерабатываются, транспортируются) горючие газы, легковоспламеняющиеся жидкости с температурой вспышки не более 28 градусов Цельсия, вещества и (или) материалы, способные гореть при взаимодействии с водой, кислородом воздуха и (или) друг с другом (при условии, что величина пожарного риска при возможном сгорании указанных веществ с образованием волн давления превышает одну миллионную в год на расстоянии 30 метров от наружной установки).</w:t>
      </w:r>
    </w:p>
    <w:p>
      <w:pPr>
        <w:pStyle w:val="0"/>
        <w:spacing w:before="200" w:line-rule="auto"/>
        <w:ind w:firstLine="540"/>
        <w:jc w:val="both"/>
      </w:pPr>
      <w:r>
        <w:rPr>
          <w:sz w:val="20"/>
        </w:rPr>
        <w:t xml:space="preserve">4. Установка относится к категории БН, если в ней присутствуют, хранятся, перерабатываются или транспортируются горючие пыли и (или) волокна, легковоспламеняющиеся жидкости с температурой вспышки более 28 градусов Цельсия, горючие жидкости (при условии, что величина пожарного риска при возможном сгорании пыле- и (или) паровоздушных смесей с образованием волн давления превышает одну миллионную в год на расстоянии 30 метров от наружной установки).</w:t>
      </w:r>
    </w:p>
    <w:p>
      <w:pPr>
        <w:pStyle w:val="0"/>
        <w:spacing w:before="200" w:line-rule="auto"/>
        <w:ind w:firstLine="540"/>
        <w:jc w:val="both"/>
      </w:pPr>
      <w:r>
        <w:rPr>
          <w:sz w:val="20"/>
        </w:rPr>
        <w:t xml:space="preserve">5. Установка относится к категории ВН, если в ней присутствуют (хранятся, перерабатываются, транспортируются) горючие и (или) трудногорючие жидкости, твердые горючие и (или) трудногорючие вещества и (или) материалы (в том числе пыли и (или) волокна), вещества и (или) материалы, способные при взаимодействии с водой, кислородом воздуха и (или) друг с другом гореть, и если не реализуются критерии, позволяющие отнести установку к категории АН или БН (при условии, что величина пожарного риска при возможном сгорании указанных веществ и (или) материалов превышает одну миллионную в год на расстоянии 30 метров от наружной установки).</w:t>
      </w:r>
    </w:p>
    <w:p>
      <w:pPr>
        <w:pStyle w:val="0"/>
        <w:spacing w:before="200" w:line-rule="auto"/>
        <w:ind w:firstLine="540"/>
        <w:jc w:val="both"/>
      </w:pPr>
      <w:r>
        <w:rPr>
          <w:sz w:val="20"/>
        </w:rPr>
        <w:t xml:space="preserve">6. Установка относится к категории ГН, если в ней присутствуют (хранятся, перерабатываются, транспортируются) негорючие вещества и (или) материалы в горячем, раскаленном и (или) расплавленном состоянии, процесс обработки которых сопровождается выделением лучистого тепла, искр и (или) пламени, а также горючие газы, жидкости и (или) твердые вещества, которые сжигаются или утилизируются в качестве топлива.</w:t>
      </w:r>
    </w:p>
    <w:p>
      <w:pPr>
        <w:pStyle w:val="0"/>
        <w:spacing w:before="200" w:line-rule="auto"/>
        <w:ind w:firstLine="540"/>
        <w:jc w:val="both"/>
      </w:pPr>
      <w:r>
        <w:rPr>
          <w:sz w:val="20"/>
        </w:rPr>
        <w:t xml:space="preserve">7. Установка относится к категории ДН, если в ней присутствуют (хранятся, перерабатываются, транспортируются) в основном негорючие вещества и (или) материалы в холодном состоянии и если по перечисленным выше критериям она не относится к категории АН, БН, ВН или ГН.</w:t>
      </w:r>
    </w:p>
    <w:p>
      <w:pPr>
        <w:pStyle w:val="0"/>
        <w:spacing w:before="200" w:line-rule="auto"/>
        <w:ind w:firstLine="540"/>
        <w:jc w:val="both"/>
      </w:pPr>
      <w:r>
        <w:rPr>
          <w:sz w:val="20"/>
        </w:rPr>
        <w:t xml:space="preserve">8. Определение категорий наружных установок по пожарной опасности осуществляется путем последовательной проверки их принадлежности к категориям от наиболее опасной (АН) к наименее опасной (ДН).</w:t>
      </w:r>
    </w:p>
    <w:p>
      <w:pPr>
        <w:pStyle w:val="0"/>
        <w:spacing w:before="200" w:line-rule="auto"/>
        <w:ind w:firstLine="540"/>
        <w:jc w:val="both"/>
      </w:pPr>
      <w:r>
        <w:rPr>
          <w:sz w:val="20"/>
        </w:rPr>
        <w:t xml:space="preserve">9. </w:t>
      </w:r>
      <w:hyperlink w:history="0" r:id="rId117" w:tooltip="Приказ МЧС РФ от 25.03.2009 N 182 (ред. от 09.12.2010) &quot;Об утверждении свода правил &quot;Определение категорий помещений, зданий и наружных установок по взрывопожарной и пожарной опасности&quot; (вместе с &quot;СП 12.13130.2009...&quot;) {КонсультантПлюс}">
        <w:r>
          <w:rPr>
            <w:sz w:val="20"/>
            <w:color w:val="0000ff"/>
          </w:rPr>
          <w:t xml:space="preserve">Методы</w:t>
        </w:r>
      </w:hyperlink>
      <w:r>
        <w:rPr>
          <w:sz w:val="20"/>
        </w:rPr>
        <w:t xml:space="preserve"> определения классификационных признаков категорий наружных установок по пожарной опасности устанавливаются нормативными документами по пожарной безопасности.</w:t>
      </w:r>
    </w:p>
    <w:p>
      <w:pPr>
        <w:pStyle w:val="0"/>
        <w:ind w:firstLine="540"/>
        <w:jc w:val="both"/>
      </w:pPr>
      <w:r>
        <w:rPr>
          <w:sz w:val="20"/>
        </w:rPr>
      </w:r>
    </w:p>
    <w:p>
      <w:pPr>
        <w:pStyle w:val="2"/>
        <w:outlineLvl w:val="2"/>
        <w:jc w:val="center"/>
      </w:pPr>
      <w:r>
        <w:rPr>
          <w:sz w:val="20"/>
        </w:rPr>
        <w:t xml:space="preserve">Глава 8. КЛАССИФИКАЦИЯ ЗДАНИЙ, СООРУЖЕНИЙ</w:t>
      </w:r>
    </w:p>
    <w:p>
      <w:pPr>
        <w:pStyle w:val="2"/>
        <w:jc w:val="center"/>
      </w:pPr>
      <w:r>
        <w:rPr>
          <w:sz w:val="20"/>
        </w:rPr>
        <w:t xml:space="preserve">И ПОМЕЩЕНИЙ ПО ПОЖАРНОЙ И ВЗРЫВОПОЖАРНОЙ ОПАСНОСТИ</w:t>
      </w:r>
    </w:p>
    <w:p>
      <w:pPr>
        <w:pStyle w:val="0"/>
        <w:jc w:val="center"/>
      </w:pPr>
      <w:r>
        <w:rPr>
          <w:sz w:val="20"/>
        </w:rPr>
        <w:t xml:space="preserve">(в ред. Федерального </w:t>
      </w:r>
      <w:hyperlink w:history="0" r:id="rId11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26. Цель классификации зданий, сооружений и помещений по пожарной и взрывопожарной опасности</w:t>
      </w:r>
    </w:p>
    <w:p>
      <w:pPr>
        <w:pStyle w:val="0"/>
        <w:jc w:val="both"/>
      </w:pPr>
      <w:r>
        <w:rPr>
          <w:sz w:val="20"/>
        </w:rPr>
        <w:t xml:space="preserve">(в ред. Федерального </w:t>
      </w:r>
      <w:hyperlink w:history="0" r:id="rId11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Классификация зданий, сооружений и помещений по пожарной и взрывопожарной опасности применяется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в зданиях, сооружениях и помещениях.</w:t>
      </w:r>
    </w:p>
    <w:p>
      <w:pPr>
        <w:pStyle w:val="0"/>
        <w:jc w:val="both"/>
      </w:pPr>
      <w:r>
        <w:rPr>
          <w:sz w:val="20"/>
        </w:rPr>
        <w:t xml:space="preserve">(в ред. Федерального </w:t>
      </w:r>
      <w:hyperlink w:history="0" r:id="rId12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27. Определение категории зданий, сооружений и помещений по пожарной и взрывопожарной опасности</w:t>
      </w:r>
    </w:p>
    <w:p>
      <w:pPr>
        <w:pStyle w:val="0"/>
        <w:jc w:val="both"/>
      </w:pPr>
      <w:r>
        <w:rPr>
          <w:sz w:val="20"/>
        </w:rPr>
        <w:t xml:space="preserve">(в ред. Федерального </w:t>
      </w:r>
      <w:hyperlink w:history="0" r:id="rId12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По пожарной и взрывопожарной опасности помещения производственного и складского назначения независимо от их функционального назначения подразделяются на следующие категории:</w:t>
      </w:r>
    </w:p>
    <w:p>
      <w:pPr>
        <w:pStyle w:val="0"/>
        <w:spacing w:before="200" w:line-rule="auto"/>
        <w:ind w:firstLine="540"/>
        <w:jc w:val="both"/>
      </w:pPr>
      <w:r>
        <w:rPr>
          <w:sz w:val="20"/>
        </w:rPr>
        <w:t xml:space="preserve">1) повышенная взрывопожароопасность (А);</w:t>
      </w:r>
    </w:p>
    <w:p>
      <w:pPr>
        <w:pStyle w:val="0"/>
        <w:spacing w:before="200" w:line-rule="auto"/>
        <w:ind w:firstLine="540"/>
        <w:jc w:val="both"/>
      </w:pPr>
      <w:r>
        <w:rPr>
          <w:sz w:val="20"/>
        </w:rPr>
        <w:t xml:space="preserve">2) взрывопожароопасность (Б);</w:t>
      </w:r>
    </w:p>
    <w:p>
      <w:pPr>
        <w:pStyle w:val="0"/>
        <w:spacing w:before="200" w:line-rule="auto"/>
        <w:ind w:firstLine="540"/>
        <w:jc w:val="both"/>
      </w:pPr>
      <w:r>
        <w:rPr>
          <w:sz w:val="20"/>
        </w:rPr>
        <w:t xml:space="preserve">3) пожароопасность (В1 - В4);</w:t>
      </w:r>
    </w:p>
    <w:p>
      <w:pPr>
        <w:pStyle w:val="0"/>
        <w:spacing w:before="200" w:line-rule="auto"/>
        <w:ind w:firstLine="540"/>
        <w:jc w:val="both"/>
      </w:pPr>
      <w:r>
        <w:rPr>
          <w:sz w:val="20"/>
        </w:rPr>
        <w:t xml:space="preserve">4) умеренная пожароопасность (Г);</w:t>
      </w:r>
    </w:p>
    <w:p>
      <w:pPr>
        <w:pStyle w:val="0"/>
        <w:spacing w:before="200" w:line-rule="auto"/>
        <w:ind w:firstLine="540"/>
        <w:jc w:val="both"/>
      </w:pPr>
      <w:r>
        <w:rPr>
          <w:sz w:val="20"/>
        </w:rPr>
        <w:t xml:space="preserve">5) пониженная пожароопасность (Д).</w:t>
      </w:r>
    </w:p>
    <w:p>
      <w:pPr>
        <w:pStyle w:val="0"/>
        <w:spacing w:before="200" w:line-rule="auto"/>
        <w:ind w:firstLine="540"/>
        <w:jc w:val="both"/>
      </w:pPr>
      <w:r>
        <w:rPr>
          <w:sz w:val="20"/>
        </w:rPr>
        <w:t xml:space="preserve">2. Здания, сооружения и помещения иного назначения разделению на категории не подлежат.</w:t>
      </w:r>
    </w:p>
    <w:p>
      <w:pPr>
        <w:pStyle w:val="0"/>
        <w:jc w:val="both"/>
      </w:pPr>
      <w:r>
        <w:rPr>
          <w:sz w:val="20"/>
        </w:rPr>
        <w:t xml:space="preserve">(в ред. Федерального </w:t>
      </w:r>
      <w:hyperlink w:history="0" r:id="rId12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Категории помещений по пожарной и взрывопожарной опасности определяются исходя из вида находящихся в помещениях горючих веществ и материалов, их количества и пожароопасных свойств, а также исходя из объемно-планировочных решений помещений и характеристик проводимых в них технологических процессов.</w:t>
      </w:r>
    </w:p>
    <w:p>
      <w:pPr>
        <w:pStyle w:val="0"/>
        <w:spacing w:before="200" w:line-rule="auto"/>
        <w:ind w:firstLine="540"/>
        <w:jc w:val="both"/>
      </w:pPr>
      <w:r>
        <w:rPr>
          <w:sz w:val="20"/>
        </w:rPr>
        <w:t xml:space="preserve">4. Определение категорий помещений следует осуществлять путем последовательной проверки принадлежности помещения к категориям от наиболее опасной (А) к наименее опасной (Д).</w:t>
      </w:r>
    </w:p>
    <w:p>
      <w:pPr>
        <w:pStyle w:val="0"/>
        <w:spacing w:before="200" w:line-rule="auto"/>
        <w:ind w:firstLine="540"/>
        <w:jc w:val="both"/>
      </w:pPr>
      <w:r>
        <w:rPr>
          <w:sz w:val="20"/>
        </w:rPr>
        <w:t xml:space="preserve">5. К категории А относятся помещения, в которых находятся (обращаются) горючие газы, легковоспламеняющиеся жидкости с температурой вспышки не более 28 градусов Цельсия в таком количестве, что могут образовывать взрывоопасные парогазовоздушные смеси, при воспламенении которых развивается расчетное избыточное давление взрыва в помещении, превышающее 5 килопаскалей, и (или)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килопаскалей.</w:t>
      </w:r>
    </w:p>
    <w:p>
      <w:pPr>
        <w:pStyle w:val="0"/>
        <w:spacing w:before="200" w:line-rule="auto"/>
        <w:ind w:firstLine="540"/>
        <w:jc w:val="both"/>
      </w:pPr>
      <w:r>
        <w:rPr>
          <w:sz w:val="20"/>
        </w:rPr>
        <w:t xml:space="preserve">6. К категории Б относятся помещения, в которых находятся (обращаются) горючие пыли или волокна, легковоспламеняющиеся жидкости с температурой вспышки более 28 градусов Цельсия,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килопаскалей.</w:t>
      </w:r>
    </w:p>
    <w:p>
      <w:pPr>
        <w:pStyle w:val="0"/>
        <w:spacing w:before="200" w:line-rule="auto"/>
        <w:ind w:firstLine="540"/>
        <w:jc w:val="both"/>
      </w:pPr>
      <w:r>
        <w:rPr>
          <w:sz w:val="20"/>
        </w:rPr>
        <w:t xml:space="preserve">7. К категориям В1 - В4 относятся помещения, в которых находятся (обращаются) горючие и трудногорючие жидкости, твердые горючие и трудногорючие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находятся (обращаются), не относятся к категории А или Б.</w:t>
      </w:r>
    </w:p>
    <w:p>
      <w:pPr>
        <w:pStyle w:val="0"/>
        <w:spacing w:before="200" w:line-rule="auto"/>
        <w:ind w:firstLine="540"/>
        <w:jc w:val="both"/>
      </w:pPr>
      <w:r>
        <w:rPr>
          <w:sz w:val="20"/>
        </w:rPr>
        <w:t xml:space="preserve">8. Отнесение помещения к категории В1, В2, В3 или В4 осуществляется в зависимости от количества и способа размещения пожарной нагрузки в указанном помещении и его объемно-планировочных характеристик, а также от пожароопасных свойств веществ и материалов, составляющих пожарную нагрузку.</w:t>
      </w:r>
    </w:p>
    <w:p>
      <w:pPr>
        <w:pStyle w:val="0"/>
        <w:spacing w:before="200" w:line-rule="auto"/>
        <w:ind w:firstLine="540"/>
        <w:jc w:val="both"/>
      </w:pPr>
      <w:r>
        <w:rPr>
          <w:sz w:val="20"/>
        </w:rPr>
        <w:t xml:space="preserve">9. К категории Г относятся помещения, в которых находятся (обращаются) 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и (или) горючие газы, жидкости и твердые вещества, которые сжигаются или утилизируются в качестве топлива.</w:t>
      </w:r>
    </w:p>
    <w:p>
      <w:pPr>
        <w:pStyle w:val="0"/>
        <w:spacing w:before="200" w:line-rule="auto"/>
        <w:ind w:firstLine="540"/>
        <w:jc w:val="both"/>
      </w:pPr>
      <w:r>
        <w:rPr>
          <w:sz w:val="20"/>
        </w:rPr>
        <w:t xml:space="preserve">10. К категории Д относятся помещения, в которых находятся (обращаются) негорючие вещества и материалы в холодном состоянии.</w:t>
      </w:r>
    </w:p>
    <w:p>
      <w:pPr>
        <w:pStyle w:val="0"/>
        <w:spacing w:before="200" w:line-rule="auto"/>
        <w:ind w:firstLine="540"/>
        <w:jc w:val="both"/>
      </w:pPr>
      <w:r>
        <w:rPr>
          <w:sz w:val="20"/>
        </w:rPr>
        <w:t xml:space="preserve">11. Категории зданий и сооружений по пожарной и взрывопожарной опасности определяются исходя из доли и суммированной площади помещений той или иной категории опасности в этом здании, сооружении.</w:t>
      </w:r>
    </w:p>
    <w:p>
      <w:pPr>
        <w:pStyle w:val="0"/>
        <w:jc w:val="both"/>
      </w:pPr>
      <w:r>
        <w:rPr>
          <w:sz w:val="20"/>
        </w:rPr>
        <w:t xml:space="preserve">(в ред. Федерального </w:t>
      </w:r>
      <w:hyperlink w:history="0" r:id="rId12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12. Здание, сооружение относятся к категории А, если в нем суммированная площадь помещений категории А превышает 5 процентов площади всех помещений или 200 квадратных метров.</w:t>
      </w:r>
    </w:p>
    <w:p>
      <w:pPr>
        <w:pStyle w:val="0"/>
        <w:jc w:val="both"/>
      </w:pPr>
      <w:r>
        <w:rPr>
          <w:sz w:val="20"/>
        </w:rPr>
        <w:t xml:space="preserve">(в ред. Федерального </w:t>
      </w:r>
      <w:hyperlink w:history="0" r:id="rId12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13. Здание, сооружение не относятся к категории А, если суммированная площадь помещений категории А в здании, сооружении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pPr>
        <w:pStyle w:val="0"/>
        <w:jc w:val="both"/>
      </w:pPr>
      <w:r>
        <w:rPr>
          <w:sz w:val="20"/>
        </w:rPr>
        <w:t xml:space="preserve">(в ред. Федерального </w:t>
      </w:r>
      <w:hyperlink w:history="0" r:id="rId12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14. Здание, сооружение относятся к категории Б, если одновременно выполнены следующие условия: здание, сооружение не относятся к категории А и суммированная площадь помещений категорий А и Б превышает 5 процентов суммированной площади всех помещений или 200 квадратных метров.</w:t>
      </w:r>
    </w:p>
    <w:p>
      <w:pPr>
        <w:pStyle w:val="0"/>
        <w:jc w:val="both"/>
      </w:pPr>
      <w:r>
        <w:rPr>
          <w:sz w:val="20"/>
        </w:rPr>
        <w:t xml:space="preserve">(в ред. Федерального </w:t>
      </w:r>
      <w:hyperlink w:history="0" r:id="rId12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15. Здание, сооружение не относятся к категории Б, если суммированная площадь помещений категорий А и Б в здании, сооружении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pPr>
        <w:pStyle w:val="0"/>
        <w:jc w:val="both"/>
      </w:pPr>
      <w:r>
        <w:rPr>
          <w:sz w:val="20"/>
        </w:rPr>
        <w:t xml:space="preserve">(в ред. Федерального </w:t>
      </w:r>
      <w:hyperlink w:history="0" r:id="rId12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16. Здание, сооружение относятся к категории В, если одновременно выполнены следующие условия: здание, сооружение не относятся к категории А или Б и суммированная площадь помещений категорий А, Б, В1, В2 и В3 превышает 5 процентов (10 процентов, если в здании, сооружении отсутствуют помещения категорий А и Б) суммированной площади всех помещений.</w:t>
      </w:r>
    </w:p>
    <w:p>
      <w:pPr>
        <w:pStyle w:val="0"/>
        <w:jc w:val="both"/>
      </w:pPr>
      <w:r>
        <w:rPr>
          <w:sz w:val="20"/>
        </w:rPr>
        <w:t xml:space="preserve">(в ред. Федерального </w:t>
      </w:r>
      <w:hyperlink w:history="0" r:id="rId12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17. Здание, сооружение не относятся к категории В, если суммированная площадь помещений категорий А, Б, В1, В2 и В3 в здании, сооружении не превышает 25 процентов суммированной площади всех размещенных в нем помещений (но не более 3500 квадратных метров) и эти помещения оснащаются установками автоматического пожаротушения.</w:t>
      </w:r>
    </w:p>
    <w:p>
      <w:pPr>
        <w:pStyle w:val="0"/>
        <w:jc w:val="both"/>
      </w:pPr>
      <w:r>
        <w:rPr>
          <w:sz w:val="20"/>
        </w:rPr>
        <w:t xml:space="preserve">(в ред. Федерального </w:t>
      </w:r>
      <w:hyperlink w:history="0" r:id="rId12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18. Здание, сооружение относятся к категории Г, если одновременно выполнены следующие условия: здание, сооружение не относятся к категории А, Б или В и суммированная площадь помещений категорий А, Б, В1, В2, В3 и Г превышает 5 процентов суммированной площади всех помещений.</w:t>
      </w:r>
    </w:p>
    <w:p>
      <w:pPr>
        <w:pStyle w:val="0"/>
        <w:jc w:val="both"/>
      </w:pPr>
      <w:r>
        <w:rPr>
          <w:sz w:val="20"/>
        </w:rPr>
        <w:t xml:space="preserve">(в ред. Федерального </w:t>
      </w:r>
      <w:hyperlink w:history="0" r:id="rId13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19. Здание, сооружение не относятся к категории Г, если суммированная площадь помещений категорий А, Б, В1, В2, В3 и Г в здании, сооружении не превышает 25 процентов суммированной площади всех размещенных в нем помещений (но не более 5000 квадратных метров) и помещения категорий А, Б, В1, В2 и В3 оснащаются установками автоматического пожаротушения.</w:t>
      </w:r>
    </w:p>
    <w:p>
      <w:pPr>
        <w:pStyle w:val="0"/>
        <w:jc w:val="both"/>
      </w:pPr>
      <w:r>
        <w:rPr>
          <w:sz w:val="20"/>
        </w:rPr>
        <w:t xml:space="preserve">(в ред. Федерального </w:t>
      </w:r>
      <w:hyperlink w:history="0" r:id="rId13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20. Здание, сооружение относятся к категории Д, если оно не относится к категории А, Б, В или Г.</w:t>
      </w:r>
    </w:p>
    <w:p>
      <w:pPr>
        <w:pStyle w:val="0"/>
        <w:jc w:val="both"/>
      </w:pPr>
      <w:r>
        <w:rPr>
          <w:sz w:val="20"/>
        </w:rPr>
        <w:t xml:space="preserve">(в ред. Федерального </w:t>
      </w:r>
      <w:hyperlink w:history="0" r:id="rId13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21. </w:t>
      </w:r>
      <w:hyperlink w:history="0" r:id="rId133" w:tooltip="Приказ МЧС РФ от 25.03.2009 N 182 (ред. от 09.12.2010) &quot;Об утверждении свода правил &quot;Определение категорий помещений, зданий и наружных установок по взрывопожарной и пожарной опасности&quot; (вместе с &quot;СП 12.13130.2009...&quot;) {КонсультантПлюс}">
        <w:r>
          <w:rPr>
            <w:sz w:val="20"/>
            <w:color w:val="0000ff"/>
          </w:rPr>
          <w:t xml:space="preserve">Методы</w:t>
        </w:r>
      </w:hyperlink>
      <w:r>
        <w:rPr>
          <w:sz w:val="20"/>
        </w:rPr>
        <w:t xml:space="preserve"> определения классификационных признаков отнесения зданий, сооружений и помещений производственного и складского назначения к категориям по пожарной и взрывопожарной опасности устанавливаются нормативными документами по пожарной безопасности.</w:t>
      </w:r>
    </w:p>
    <w:p>
      <w:pPr>
        <w:pStyle w:val="0"/>
        <w:jc w:val="both"/>
      </w:pPr>
      <w:r>
        <w:rPr>
          <w:sz w:val="20"/>
        </w:rPr>
        <w:t xml:space="preserve">(в ред. Федерального </w:t>
      </w:r>
      <w:hyperlink w:history="0" r:id="rId13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22. Категории зданий, сооружений и помещений производственного и складского назначения по пожарной и взрывопожарной опасности указываются в проектной документации на объекты капитального строительства и реконструкции.</w:t>
      </w:r>
    </w:p>
    <w:p>
      <w:pPr>
        <w:pStyle w:val="0"/>
        <w:jc w:val="both"/>
      </w:pPr>
      <w:r>
        <w:rPr>
          <w:sz w:val="20"/>
        </w:rPr>
        <w:t xml:space="preserve">(в ред. Федерального </w:t>
      </w:r>
      <w:hyperlink w:history="0" r:id="rId13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2"/>
        <w:jc w:val="center"/>
      </w:pPr>
      <w:r>
        <w:rPr>
          <w:sz w:val="20"/>
        </w:rPr>
        <w:t xml:space="preserve">Глава 9. ПОЖАРНО-ТЕХНИЧЕСКАЯ КЛАССИФИКАЦИЯ ЗДАНИЙ,</w:t>
      </w:r>
    </w:p>
    <w:p>
      <w:pPr>
        <w:pStyle w:val="2"/>
        <w:jc w:val="center"/>
      </w:pPr>
      <w:r>
        <w:rPr>
          <w:sz w:val="20"/>
        </w:rPr>
        <w:t xml:space="preserve">СООРУЖЕНИЙ И ПОЖАРНЫХ ОТСЕКОВ</w:t>
      </w:r>
    </w:p>
    <w:p>
      <w:pPr>
        <w:pStyle w:val="0"/>
        <w:jc w:val="center"/>
      </w:pPr>
      <w:r>
        <w:rPr>
          <w:sz w:val="20"/>
        </w:rPr>
        <w:t xml:space="preserve">(в ред. Федерального </w:t>
      </w:r>
      <w:hyperlink w:history="0" r:id="rId13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28. Цель классификации</w:t>
      </w:r>
    </w:p>
    <w:p>
      <w:pPr>
        <w:pStyle w:val="0"/>
        <w:ind w:firstLine="540"/>
        <w:jc w:val="both"/>
      </w:pPr>
      <w:r>
        <w:rPr>
          <w:sz w:val="20"/>
        </w:rPr>
      </w:r>
    </w:p>
    <w:p>
      <w:pPr>
        <w:pStyle w:val="0"/>
        <w:ind w:firstLine="540"/>
        <w:jc w:val="both"/>
      </w:pPr>
      <w:r>
        <w:rPr>
          <w:sz w:val="20"/>
        </w:rPr>
        <w:t xml:space="preserve">1. Пожарно-техническая классификация зданий, сооружений и пожарных отсеков применяется для установления требований пожарной безопасности к системам обеспечения пожарной безопасности зданий, сооружений в зависимости от их функционального назначения и пожарной опасности.</w:t>
      </w:r>
    </w:p>
    <w:p>
      <w:pPr>
        <w:pStyle w:val="0"/>
        <w:jc w:val="both"/>
      </w:pPr>
      <w:r>
        <w:rPr>
          <w:sz w:val="20"/>
        </w:rPr>
        <w:t xml:space="preserve">(в ред. Федерального </w:t>
      </w:r>
      <w:hyperlink w:history="0" r:id="rId13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Степень огнестойкости зданий, сооружений и пожарных отсеков, классы их функциональной и конструктивной пожарной опасности указываются в проектной документации на объекты капитального строительства и реконструкции.</w:t>
      </w:r>
    </w:p>
    <w:p>
      <w:pPr>
        <w:pStyle w:val="0"/>
        <w:jc w:val="both"/>
      </w:pPr>
      <w:r>
        <w:rPr>
          <w:sz w:val="20"/>
        </w:rPr>
        <w:t xml:space="preserve">(в ред. Федерального </w:t>
      </w:r>
      <w:hyperlink w:history="0" r:id="rId13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29. Пожарно-техническая классификация зданий, сооружений и пожарных отсеков</w:t>
      </w:r>
    </w:p>
    <w:p>
      <w:pPr>
        <w:pStyle w:val="0"/>
        <w:jc w:val="both"/>
      </w:pPr>
      <w:r>
        <w:rPr>
          <w:sz w:val="20"/>
        </w:rPr>
        <w:t xml:space="preserve">(в ред. Федерального </w:t>
      </w:r>
      <w:hyperlink w:history="0" r:id="rId13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Классификация зданий, сооружений и пожарных отсеков осуществляется с учетом следующих критериев:</w:t>
      </w:r>
    </w:p>
    <w:p>
      <w:pPr>
        <w:pStyle w:val="0"/>
        <w:jc w:val="both"/>
      </w:pPr>
      <w:r>
        <w:rPr>
          <w:sz w:val="20"/>
        </w:rPr>
        <w:t xml:space="preserve">(в ред. Федерального </w:t>
      </w:r>
      <w:hyperlink w:history="0" r:id="rId14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 степень огнестойкости;</w:t>
      </w:r>
    </w:p>
    <w:p>
      <w:pPr>
        <w:pStyle w:val="0"/>
        <w:spacing w:before="200" w:line-rule="auto"/>
        <w:ind w:firstLine="540"/>
        <w:jc w:val="both"/>
      </w:pPr>
      <w:r>
        <w:rPr>
          <w:sz w:val="20"/>
        </w:rPr>
        <w:t xml:space="preserve">2) класс конструктивной пожарной опасности;</w:t>
      </w:r>
    </w:p>
    <w:p>
      <w:pPr>
        <w:pStyle w:val="0"/>
        <w:spacing w:before="200" w:line-rule="auto"/>
        <w:ind w:firstLine="540"/>
        <w:jc w:val="both"/>
      </w:pPr>
      <w:r>
        <w:rPr>
          <w:sz w:val="20"/>
        </w:rPr>
        <w:t xml:space="preserve">3) класс функциональной пожарной опасности.</w:t>
      </w:r>
    </w:p>
    <w:p>
      <w:pPr>
        <w:pStyle w:val="0"/>
        <w:ind w:firstLine="540"/>
        <w:jc w:val="both"/>
      </w:pPr>
      <w:r>
        <w:rPr>
          <w:sz w:val="20"/>
        </w:rPr>
      </w:r>
    </w:p>
    <w:p>
      <w:pPr>
        <w:pStyle w:val="2"/>
        <w:outlineLvl w:val="3"/>
        <w:ind w:firstLine="540"/>
        <w:jc w:val="both"/>
      </w:pPr>
      <w:r>
        <w:rPr>
          <w:sz w:val="20"/>
        </w:rPr>
        <w:t xml:space="preserve">Статья 30. Классификация зданий, сооружений и пожарных отсеков по степени огнестойкости</w:t>
      </w:r>
    </w:p>
    <w:p>
      <w:pPr>
        <w:pStyle w:val="0"/>
        <w:jc w:val="both"/>
      </w:pPr>
      <w:r>
        <w:rPr>
          <w:sz w:val="20"/>
        </w:rPr>
        <w:t xml:space="preserve">(в ред. Федерального </w:t>
      </w:r>
      <w:hyperlink w:history="0" r:id="rId14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Здания, сооружения и пожарные отсеки по степени огнестойкости подразделяются на здания, сооружения и пожарные отсеки I, II, III, IV и V степеней огнестойкости.</w:t>
      </w:r>
    </w:p>
    <w:p>
      <w:pPr>
        <w:pStyle w:val="0"/>
        <w:jc w:val="both"/>
      </w:pPr>
      <w:r>
        <w:rPr>
          <w:sz w:val="20"/>
        </w:rPr>
        <w:t xml:space="preserve">(в ред. Федерального </w:t>
      </w:r>
      <w:hyperlink w:history="0" r:id="rId14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Порядок определения степени огнестойкости зданий, сооружений и пожарных отсеков устанавливается </w:t>
      </w:r>
      <w:hyperlink w:history="0" w:anchor="P1193" w:tooltip="Статья 87. Требования к огнестойкости и пожарной опасности зданий, сооружений и пожарных отсеков">
        <w:r>
          <w:rPr>
            <w:sz w:val="20"/>
            <w:color w:val="0000ff"/>
          </w:rPr>
          <w:t xml:space="preserve">статьей 87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bookmarkStart w:id="518" w:name="P518"/>
    <w:bookmarkEnd w:id="518"/>
    <w:p>
      <w:pPr>
        <w:pStyle w:val="2"/>
        <w:outlineLvl w:val="3"/>
        <w:ind w:firstLine="540"/>
        <w:jc w:val="both"/>
      </w:pPr>
      <w:r>
        <w:rPr>
          <w:sz w:val="20"/>
        </w:rPr>
        <w:t xml:space="preserve">Статья 31. Классификация зданий, сооружений и пожарных отсеков по конструктивной пожарной опасности</w:t>
      </w:r>
    </w:p>
    <w:p>
      <w:pPr>
        <w:pStyle w:val="0"/>
        <w:jc w:val="both"/>
      </w:pPr>
      <w:r>
        <w:rPr>
          <w:sz w:val="20"/>
        </w:rPr>
        <w:t xml:space="preserve">(в ред. Федерального </w:t>
      </w:r>
      <w:hyperlink w:history="0" r:id="rId14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Здания, сооружения и пожарные отсеки по конструктивной пожарной опасности подразделяются на классы С0, С1, С2 и С3.</w:t>
      </w:r>
    </w:p>
    <w:p>
      <w:pPr>
        <w:pStyle w:val="0"/>
        <w:jc w:val="both"/>
      </w:pPr>
      <w:r>
        <w:rPr>
          <w:sz w:val="20"/>
        </w:rPr>
        <w:t xml:space="preserve">(в ред. Федерального </w:t>
      </w:r>
      <w:hyperlink w:history="0" r:id="rId14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Порядок определения класса конструктивной пожарной опасности зданий, сооружений и пожарных отсеков устанавливается </w:t>
      </w:r>
      <w:hyperlink w:history="0" w:anchor="P1193" w:tooltip="Статья 87. Требования к огнестойкости и пожарной опасности зданий, сооружений и пожарных отсеков">
        <w:r>
          <w:rPr>
            <w:sz w:val="20"/>
            <w:color w:val="0000ff"/>
          </w:rPr>
          <w:t xml:space="preserve">статьей 87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bookmarkStart w:id="526" w:name="P526"/>
    <w:bookmarkEnd w:id="526"/>
    <w:p>
      <w:pPr>
        <w:pStyle w:val="2"/>
        <w:outlineLvl w:val="3"/>
        <w:ind w:firstLine="540"/>
        <w:jc w:val="both"/>
      </w:pPr>
      <w:r>
        <w:rPr>
          <w:sz w:val="20"/>
        </w:rPr>
        <w:t xml:space="preserve">Статья 32. Классификация зданий, сооружений и пожарных отсеков по функциональной пожарной опасности</w:t>
      </w:r>
    </w:p>
    <w:p>
      <w:pPr>
        <w:pStyle w:val="0"/>
        <w:jc w:val="both"/>
      </w:pPr>
      <w:r>
        <w:rPr>
          <w:sz w:val="20"/>
        </w:rPr>
        <w:t xml:space="preserve">(в ред. Федерального </w:t>
      </w:r>
      <w:hyperlink w:history="0" r:id="rId14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Здания (сооружения, пожарные отсеки и части зданий, сооружений - помещения или группы помещений, функционально связанные между собой) 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сооружении, возможности пребывания их в состоянии сна подразделяются на:</w:t>
      </w:r>
    </w:p>
    <w:p>
      <w:pPr>
        <w:pStyle w:val="0"/>
        <w:jc w:val="both"/>
      </w:pPr>
      <w:r>
        <w:rPr>
          <w:sz w:val="20"/>
        </w:rPr>
        <w:t xml:space="preserve">(в ред. Федерального </w:t>
      </w:r>
      <w:hyperlink w:history="0" r:id="rId14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 Ф1 - здания, предназначенные для постоянного проживания и временного пребывания людей, в том числе:</w:t>
      </w:r>
    </w:p>
    <w:bookmarkStart w:id="532" w:name="P532"/>
    <w:bookmarkEnd w:id="532"/>
    <w:p>
      <w:pPr>
        <w:pStyle w:val="0"/>
        <w:spacing w:before="200" w:line-rule="auto"/>
        <w:ind w:firstLine="540"/>
        <w:jc w:val="both"/>
      </w:pPr>
      <w:r>
        <w:rPr>
          <w:sz w:val="20"/>
        </w:rPr>
        <w:t xml:space="preserve">а) Ф1.1 - здания дошкольных образовательных организаций, специализированных домов престарелых и инвалидов (неквартирные), спальные корпуса образовательных организаций с наличием интерната и детских организаций, здания медицинских организаций, предназначенные для оказания медицинской помощи в стационарных условиях (круглосуточно);</w:t>
      </w:r>
    </w:p>
    <w:p>
      <w:pPr>
        <w:pStyle w:val="0"/>
        <w:jc w:val="both"/>
      </w:pPr>
      <w:r>
        <w:rPr>
          <w:sz w:val="20"/>
        </w:rPr>
        <w:t xml:space="preserve">(в ред. Федеральных законов от 02.07.2013 </w:t>
      </w:r>
      <w:hyperlink w:history="0" r:id="rId149"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14.07.2022 </w:t>
      </w:r>
      <w:hyperlink w:history="0" r:id="rId15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б) Ф1.2 - гостиницы, общежития (за исключением общежитий квартирного типа), спальные корпуса санаториев и домов отдыха общего типа, кемпингов;</w:t>
      </w:r>
    </w:p>
    <w:p>
      <w:pPr>
        <w:pStyle w:val="0"/>
        <w:jc w:val="both"/>
      </w:pPr>
      <w:r>
        <w:rPr>
          <w:sz w:val="20"/>
        </w:rPr>
        <w:t xml:space="preserve">(в ред. Федерального </w:t>
      </w:r>
      <w:hyperlink w:history="0" r:id="rId15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bookmarkStart w:id="536" w:name="P536"/>
    <w:bookmarkEnd w:id="536"/>
    <w:p>
      <w:pPr>
        <w:pStyle w:val="0"/>
        <w:spacing w:before="200" w:line-rule="auto"/>
        <w:ind w:firstLine="540"/>
        <w:jc w:val="both"/>
      </w:pPr>
      <w:r>
        <w:rPr>
          <w:sz w:val="20"/>
        </w:rPr>
        <w:t xml:space="preserve">в) Ф1.3 - многоквартирные жилые дома, в том числе общежития квартирного типа;</w:t>
      </w:r>
    </w:p>
    <w:p>
      <w:pPr>
        <w:pStyle w:val="0"/>
        <w:jc w:val="both"/>
      </w:pPr>
      <w:r>
        <w:rPr>
          <w:sz w:val="20"/>
        </w:rPr>
        <w:t xml:space="preserve">(в ред. Федерального </w:t>
      </w:r>
      <w:hyperlink w:history="0" r:id="rId15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bookmarkStart w:id="538" w:name="P538"/>
    <w:bookmarkEnd w:id="538"/>
    <w:p>
      <w:pPr>
        <w:pStyle w:val="0"/>
        <w:spacing w:before="200" w:line-rule="auto"/>
        <w:ind w:firstLine="540"/>
        <w:jc w:val="both"/>
      </w:pPr>
      <w:r>
        <w:rPr>
          <w:sz w:val="20"/>
        </w:rPr>
        <w:t xml:space="preserve">г) Ф1.4 - одноквартирные жилые дома, в том числе блокированные;</w:t>
      </w:r>
    </w:p>
    <w:p>
      <w:pPr>
        <w:pStyle w:val="0"/>
        <w:spacing w:before="200" w:line-rule="auto"/>
        <w:ind w:firstLine="540"/>
        <w:jc w:val="both"/>
      </w:pPr>
      <w:r>
        <w:rPr>
          <w:sz w:val="20"/>
        </w:rPr>
        <w:t xml:space="preserve">2) Ф2 - здания зрелищных и культурно-просветительных учреждений, в том числе:</w:t>
      </w:r>
    </w:p>
    <w:bookmarkStart w:id="540" w:name="P540"/>
    <w:bookmarkEnd w:id="540"/>
    <w:p>
      <w:pPr>
        <w:pStyle w:val="0"/>
        <w:spacing w:before="200" w:line-rule="auto"/>
        <w:ind w:firstLine="540"/>
        <w:jc w:val="both"/>
      </w:pPr>
      <w:r>
        <w:rPr>
          <w:sz w:val="20"/>
        </w:rPr>
        <w:t xml:space="preserve">а)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bookmarkStart w:id="541" w:name="P541"/>
    <w:bookmarkEnd w:id="541"/>
    <w:p>
      <w:pPr>
        <w:pStyle w:val="0"/>
        <w:spacing w:before="200" w:line-rule="auto"/>
        <w:ind w:firstLine="540"/>
        <w:jc w:val="both"/>
      </w:pPr>
      <w:r>
        <w:rPr>
          <w:sz w:val="20"/>
        </w:rPr>
        <w:t xml:space="preserve">б) Ф2.2 - музеи, выставки, танцевальные залы и другие подобные учреждения в закрытых помещениях;</w:t>
      </w:r>
    </w:p>
    <w:p>
      <w:pPr>
        <w:pStyle w:val="0"/>
        <w:spacing w:before="200" w:line-rule="auto"/>
        <w:ind w:firstLine="540"/>
        <w:jc w:val="both"/>
      </w:pPr>
      <w:r>
        <w:rPr>
          <w:sz w:val="20"/>
        </w:rPr>
        <w:t xml:space="preserve">в) Ф2.3 - здания учреждений, указанные в </w:t>
      </w:r>
      <w:hyperlink w:history="0" w:anchor="P540" w:tooltip="а)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
        <w:r>
          <w:rPr>
            <w:sz w:val="20"/>
            <w:color w:val="0000ff"/>
          </w:rPr>
          <w:t xml:space="preserve">подпункте "а"</w:t>
        </w:r>
      </w:hyperlink>
      <w:r>
        <w:rPr>
          <w:sz w:val="20"/>
        </w:rPr>
        <w:t xml:space="preserve"> настоящего пункта, на открытом воздухе;</w:t>
      </w:r>
    </w:p>
    <w:p>
      <w:pPr>
        <w:pStyle w:val="0"/>
        <w:spacing w:before="200" w:line-rule="auto"/>
        <w:ind w:firstLine="540"/>
        <w:jc w:val="both"/>
      </w:pPr>
      <w:r>
        <w:rPr>
          <w:sz w:val="20"/>
        </w:rPr>
        <w:t xml:space="preserve">г) Ф2.4 - здания учреждений, указанные в </w:t>
      </w:r>
      <w:hyperlink w:history="0" w:anchor="P541" w:tooltip="б) Ф2.2 - музеи, выставки, танцевальные залы и другие подобные учреждения в закрытых помещениях;">
        <w:r>
          <w:rPr>
            <w:sz w:val="20"/>
            <w:color w:val="0000ff"/>
          </w:rPr>
          <w:t xml:space="preserve">подпункте "б"</w:t>
        </w:r>
      </w:hyperlink>
      <w:r>
        <w:rPr>
          <w:sz w:val="20"/>
        </w:rPr>
        <w:t xml:space="preserve"> настоящего пункта, на открытом воздухе;</w:t>
      </w:r>
    </w:p>
    <w:p>
      <w:pPr>
        <w:pStyle w:val="0"/>
        <w:spacing w:before="200" w:line-rule="auto"/>
        <w:ind w:firstLine="540"/>
        <w:jc w:val="both"/>
      </w:pPr>
      <w:r>
        <w:rPr>
          <w:sz w:val="20"/>
        </w:rPr>
        <w:t xml:space="preserve">3) Ф3 - здания организаций по обслуживанию населения, в том числе:</w:t>
      </w:r>
    </w:p>
    <w:p>
      <w:pPr>
        <w:pStyle w:val="0"/>
        <w:spacing w:before="200" w:line-rule="auto"/>
        <w:ind w:firstLine="540"/>
        <w:jc w:val="both"/>
      </w:pPr>
      <w:r>
        <w:rPr>
          <w:sz w:val="20"/>
        </w:rPr>
        <w:t xml:space="preserve">а) Ф3.1 - здания организаций торговли;</w:t>
      </w:r>
    </w:p>
    <w:p>
      <w:pPr>
        <w:pStyle w:val="0"/>
        <w:spacing w:before="200" w:line-rule="auto"/>
        <w:ind w:firstLine="540"/>
        <w:jc w:val="both"/>
      </w:pPr>
      <w:r>
        <w:rPr>
          <w:sz w:val="20"/>
        </w:rPr>
        <w:t xml:space="preserve">б) Ф3.2 - здания организаций общественного питания;</w:t>
      </w:r>
    </w:p>
    <w:p>
      <w:pPr>
        <w:pStyle w:val="0"/>
        <w:spacing w:before="200" w:line-rule="auto"/>
        <w:ind w:firstLine="540"/>
        <w:jc w:val="both"/>
      </w:pPr>
      <w:r>
        <w:rPr>
          <w:sz w:val="20"/>
        </w:rPr>
        <w:t xml:space="preserve">в) Ф3.3 - вокзалы;</w:t>
      </w:r>
    </w:p>
    <w:p>
      <w:pPr>
        <w:pStyle w:val="0"/>
        <w:spacing w:before="200" w:line-rule="auto"/>
        <w:ind w:firstLine="540"/>
        <w:jc w:val="both"/>
      </w:pPr>
      <w:r>
        <w:rPr>
          <w:sz w:val="20"/>
        </w:rPr>
        <w:t xml:space="preserve">г) Ф3.4 - здания медицинских организаций, предназначенные для осуществления медицинской деятельности, за исключением зданий, указанных в </w:t>
      </w:r>
      <w:hyperlink w:history="0" w:anchor="P532" w:tooltip="а) Ф1.1 - здания дошкольных образовательных организаций, специализированных домов престарелых и инвалидов (неквартирные), спальные корпуса образовательных организаций с наличием интерната и детских организаций, здания медицинских организаций, предназначенные для оказания медицинской помощи в стационарных условиях (круглосуточно);">
        <w:r>
          <w:rPr>
            <w:sz w:val="20"/>
            <w:color w:val="0000ff"/>
          </w:rPr>
          <w:t xml:space="preserve">подпункте "а" пункта 1</w:t>
        </w:r>
      </w:hyperlink>
      <w:r>
        <w:rPr>
          <w:sz w:val="20"/>
        </w:rPr>
        <w:t xml:space="preserve"> настоящей части;</w:t>
      </w:r>
    </w:p>
    <w:p>
      <w:pPr>
        <w:pStyle w:val="0"/>
        <w:jc w:val="both"/>
      </w:pPr>
      <w:r>
        <w:rPr>
          <w:sz w:val="20"/>
        </w:rPr>
        <w:t xml:space="preserve">(пп. "г" в ред. Федерального </w:t>
      </w:r>
      <w:hyperlink w:history="0" r:id="rId15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д) Ф3.5 - помещения для посетителей организаций бытового и коммунального обслуживания с нерасчетным числом посадочных мест для посетителей;</w:t>
      </w:r>
    </w:p>
    <w:p>
      <w:pPr>
        <w:pStyle w:val="0"/>
        <w:spacing w:before="200" w:line-rule="auto"/>
        <w:ind w:firstLine="540"/>
        <w:jc w:val="both"/>
      </w:pPr>
      <w:r>
        <w:rPr>
          <w:sz w:val="20"/>
        </w:rPr>
        <w:t xml:space="preserve">е) Ф3.6 - физкультурно-оздоровительные комплексы и спортивно-тренировочные учреждения с помещениями без трибун для зрителей, бытовые помещения, бани;</w:t>
      </w:r>
    </w:p>
    <w:p>
      <w:pPr>
        <w:pStyle w:val="0"/>
        <w:spacing w:before="200" w:line-rule="auto"/>
        <w:ind w:firstLine="540"/>
        <w:jc w:val="both"/>
      </w:pPr>
      <w:r>
        <w:rPr>
          <w:sz w:val="20"/>
        </w:rPr>
        <w:t xml:space="preserve">ж) Ф3.7 - объекты религиозного назначения;</w:t>
      </w:r>
    </w:p>
    <w:p>
      <w:pPr>
        <w:pStyle w:val="0"/>
        <w:jc w:val="both"/>
      </w:pPr>
      <w:r>
        <w:rPr>
          <w:sz w:val="20"/>
        </w:rPr>
        <w:t xml:space="preserve">(пп. "ж" введен Федеральным </w:t>
      </w:r>
      <w:hyperlink w:history="0" r:id="rId154"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29.07.2017 N 244-ФЗ)</w:t>
      </w:r>
    </w:p>
    <w:p>
      <w:pPr>
        <w:pStyle w:val="0"/>
        <w:spacing w:before="200" w:line-rule="auto"/>
        <w:ind w:firstLine="540"/>
        <w:jc w:val="both"/>
      </w:pPr>
      <w:r>
        <w:rPr>
          <w:sz w:val="20"/>
        </w:rPr>
        <w:t xml:space="preserve">4) Ф4 - здания образовательных организаций, научных и проектных организаций, органов управления учреждений, в том числе:</w:t>
      </w:r>
    </w:p>
    <w:p>
      <w:pPr>
        <w:pStyle w:val="0"/>
        <w:jc w:val="both"/>
      </w:pPr>
      <w:r>
        <w:rPr>
          <w:sz w:val="20"/>
        </w:rPr>
        <w:t xml:space="preserve">(в ред. Федерального </w:t>
      </w:r>
      <w:hyperlink w:history="0" r:id="rId155"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bookmarkStart w:id="556" w:name="P556"/>
    <w:bookmarkEnd w:id="556"/>
    <w:p>
      <w:pPr>
        <w:pStyle w:val="0"/>
        <w:spacing w:before="200" w:line-rule="auto"/>
        <w:ind w:firstLine="540"/>
        <w:jc w:val="both"/>
      </w:pPr>
      <w:r>
        <w:rPr>
          <w:sz w:val="20"/>
        </w:rPr>
        <w:t xml:space="preserve">а) Ф4.1 - здания общеобразовательных организаций, организаций дополнительного образования детей, профессиональных образовательных организаций;</w:t>
      </w:r>
    </w:p>
    <w:p>
      <w:pPr>
        <w:pStyle w:val="0"/>
        <w:jc w:val="both"/>
      </w:pPr>
      <w:r>
        <w:rPr>
          <w:sz w:val="20"/>
        </w:rPr>
        <w:t xml:space="preserve">(пп. "а" в ред. Федерального </w:t>
      </w:r>
      <w:hyperlink w:history="0" r:id="rId156"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bookmarkStart w:id="558" w:name="P558"/>
    <w:bookmarkEnd w:id="558"/>
    <w:p>
      <w:pPr>
        <w:pStyle w:val="0"/>
        <w:spacing w:before="200" w:line-rule="auto"/>
        <w:ind w:firstLine="540"/>
        <w:jc w:val="both"/>
      </w:pPr>
      <w:r>
        <w:rPr>
          <w:sz w:val="20"/>
        </w:rPr>
        <w:t xml:space="preserve">б) Ф4.2 - здания образовательных организаций высшего образования, организаций дополнительного профессионального образования;</w:t>
      </w:r>
    </w:p>
    <w:p>
      <w:pPr>
        <w:pStyle w:val="0"/>
        <w:jc w:val="both"/>
      </w:pPr>
      <w:r>
        <w:rPr>
          <w:sz w:val="20"/>
        </w:rPr>
        <w:t xml:space="preserve">(пп. "б" в ред. Федерального </w:t>
      </w:r>
      <w:hyperlink w:history="0" r:id="rId157"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в) Ф4.3 -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p>
      <w:pPr>
        <w:pStyle w:val="0"/>
        <w:spacing w:before="200" w:line-rule="auto"/>
        <w:ind w:firstLine="540"/>
        <w:jc w:val="both"/>
      </w:pPr>
      <w:r>
        <w:rPr>
          <w:sz w:val="20"/>
        </w:rPr>
        <w:t xml:space="preserve">г) Ф4.4 - здания пожарных депо;</w:t>
      </w:r>
    </w:p>
    <w:p>
      <w:pPr>
        <w:pStyle w:val="0"/>
        <w:spacing w:before="200" w:line-rule="auto"/>
        <w:ind w:firstLine="540"/>
        <w:jc w:val="both"/>
      </w:pPr>
      <w:r>
        <w:rPr>
          <w:sz w:val="20"/>
        </w:rPr>
        <w:t xml:space="preserve">5) Ф5 - здания производственного или складского назначения, в том числе:</w:t>
      </w:r>
    </w:p>
    <w:p>
      <w:pPr>
        <w:pStyle w:val="0"/>
        <w:spacing w:before="200" w:line-rule="auto"/>
        <w:ind w:firstLine="540"/>
        <w:jc w:val="both"/>
      </w:pPr>
      <w:r>
        <w:rPr>
          <w:sz w:val="20"/>
        </w:rPr>
        <w:t xml:space="preserve">а) Ф5.1 - производственные здания, сооружения, производственные и лабораторные помещения, мастерские, крематории;</w:t>
      </w:r>
    </w:p>
    <w:p>
      <w:pPr>
        <w:pStyle w:val="0"/>
        <w:jc w:val="both"/>
      </w:pPr>
      <w:r>
        <w:rPr>
          <w:sz w:val="20"/>
        </w:rPr>
        <w:t xml:space="preserve">(в ред. Федеральных законов от 10.07.2012 </w:t>
      </w:r>
      <w:hyperlink w:history="0" r:id="rId15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14.07.2022 </w:t>
      </w:r>
      <w:hyperlink w:history="0" r:id="rId15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б) Ф5.2 - складские здания, сооружения, стоянки для автомобилей без технического обслуживания и ремонта, книгохранилища, архивы, складские помещения;</w:t>
      </w:r>
    </w:p>
    <w:p>
      <w:pPr>
        <w:pStyle w:val="0"/>
        <w:jc w:val="both"/>
      </w:pPr>
      <w:r>
        <w:rPr>
          <w:sz w:val="20"/>
        </w:rPr>
        <w:t xml:space="preserve">(в ред. Федерального </w:t>
      </w:r>
      <w:hyperlink w:history="0" r:id="rId16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в) Ф5.3 - здания сельскохозяйственного назначения.</w:t>
      </w:r>
    </w:p>
    <w:p>
      <w:pPr>
        <w:pStyle w:val="0"/>
        <w:spacing w:before="200" w:line-rule="auto"/>
        <w:ind w:firstLine="540"/>
        <w:jc w:val="both"/>
      </w:pPr>
      <w:r>
        <w:rPr>
          <w:sz w:val="20"/>
        </w:rPr>
        <w:t xml:space="preserve">2. Правила отнесения зданий, сооружений и пожарных отсеков к классам по конструктивной пожарной опасности определяются в нормативных документах по пожарной безопасности.</w:t>
      </w:r>
    </w:p>
    <w:p>
      <w:pPr>
        <w:pStyle w:val="0"/>
        <w:jc w:val="both"/>
      </w:pPr>
      <w:r>
        <w:rPr>
          <w:sz w:val="20"/>
        </w:rPr>
        <w:t xml:space="preserve">(в ред. Федерального </w:t>
      </w:r>
      <w:hyperlink w:history="0" r:id="rId16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33. Классификация зданий пожарных депо</w:t>
      </w:r>
    </w:p>
    <w:p>
      <w:pPr>
        <w:pStyle w:val="0"/>
        <w:ind w:firstLine="540"/>
        <w:jc w:val="both"/>
      </w:pPr>
      <w:r>
        <w:rPr>
          <w:sz w:val="20"/>
        </w:rPr>
      </w:r>
    </w:p>
    <w:p>
      <w:pPr>
        <w:pStyle w:val="0"/>
        <w:ind w:firstLine="540"/>
        <w:jc w:val="both"/>
      </w:pPr>
      <w:r>
        <w:rPr>
          <w:sz w:val="20"/>
        </w:rPr>
        <w:t xml:space="preserve">1. Здания пожарных депо в зависимости от назначения, количества автомобилей, состава помещений и их площадей подразделяются на следующие типы:</w:t>
      </w:r>
    </w:p>
    <w:p>
      <w:pPr>
        <w:pStyle w:val="0"/>
        <w:spacing w:before="200" w:line-rule="auto"/>
        <w:ind w:firstLine="540"/>
        <w:jc w:val="both"/>
      </w:pPr>
      <w:r>
        <w:rPr>
          <w:sz w:val="20"/>
        </w:rPr>
        <w:t xml:space="preserve">1) I - пожарные депо на 6, 8, 10 и 12 автомобилей для охраны городских населенных пунктов;</w:t>
      </w:r>
    </w:p>
    <w:p>
      <w:pPr>
        <w:pStyle w:val="0"/>
        <w:jc w:val="both"/>
      </w:pPr>
      <w:r>
        <w:rPr>
          <w:sz w:val="20"/>
        </w:rPr>
        <w:t xml:space="preserve">(в ред. Федерального </w:t>
      </w:r>
      <w:hyperlink w:history="0" r:id="rId16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 II - пожарные депо на 2, 4 и 6 автомобилей для охраны городских населенных пунктов;</w:t>
      </w:r>
    </w:p>
    <w:p>
      <w:pPr>
        <w:pStyle w:val="0"/>
        <w:jc w:val="both"/>
      </w:pPr>
      <w:r>
        <w:rPr>
          <w:sz w:val="20"/>
        </w:rPr>
        <w:t xml:space="preserve">(в ред. Федерального </w:t>
      </w:r>
      <w:hyperlink w:history="0" r:id="rId16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3) III - пожарные депо на 6, 8, 10 и 12 автомобилей для охраны организаций;</w:t>
      </w:r>
    </w:p>
    <w:p>
      <w:pPr>
        <w:pStyle w:val="0"/>
        <w:spacing w:before="200" w:line-rule="auto"/>
        <w:ind w:firstLine="540"/>
        <w:jc w:val="both"/>
      </w:pPr>
      <w:r>
        <w:rPr>
          <w:sz w:val="20"/>
        </w:rPr>
        <w:t xml:space="preserve">4) IV - пожарные депо на 2, 4 и 6 автомобилей для охраны организаций;</w:t>
      </w:r>
    </w:p>
    <w:p>
      <w:pPr>
        <w:pStyle w:val="0"/>
        <w:spacing w:before="200" w:line-rule="auto"/>
        <w:ind w:firstLine="540"/>
        <w:jc w:val="both"/>
      </w:pPr>
      <w:r>
        <w:rPr>
          <w:sz w:val="20"/>
        </w:rPr>
        <w:t xml:space="preserve">5) V - пожарные депо на 1, 2, 3 и 4 автомобиля для охраны сельских населенных пунктов.</w:t>
      </w:r>
    </w:p>
    <w:p>
      <w:pPr>
        <w:pStyle w:val="0"/>
        <w:jc w:val="both"/>
      </w:pPr>
      <w:r>
        <w:rPr>
          <w:sz w:val="20"/>
        </w:rPr>
        <w:t xml:space="preserve">(в ред. Федерального </w:t>
      </w:r>
      <w:hyperlink w:history="0" r:id="rId16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 Здания пожарных депо I и III типов проектируются в случае размещения в них органов управления подразделений пожарной охраны, дислоцированных на территории населенного пункта или организации, и (или) дежурно-диспетчерской службы пожарной охраны.</w:t>
      </w:r>
    </w:p>
    <w:p>
      <w:pPr>
        <w:pStyle w:val="0"/>
        <w:ind w:firstLine="540"/>
        <w:jc w:val="both"/>
      </w:pPr>
      <w:r>
        <w:rPr>
          <w:sz w:val="20"/>
        </w:rPr>
      </w:r>
    </w:p>
    <w:p>
      <w:pPr>
        <w:pStyle w:val="2"/>
        <w:outlineLvl w:val="2"/>
        <w:jc w:val="center"/>
      </w:pPr>
      <w:r>
        <w:rPr>
          <w:sz w:val="20"/>
        </w:rPr>
        <w:t xml:space="preserve">Глава 10. ПОЖАРНО-ТЕХНИЧЕСКАЯ КЛАССИФИКАЦИЯ СТРОИТЕЛЬНЫХ</w:t>
      </w:r>
    </w:p>
    <w:p>
      <w:pPr>
        <w:pStyle w:val="2"/>
        <w:jc w:val="center"/>
      </w:pPr>
      <w:r>
        <w:rPr>
          <w:sz w:val="20"/>
        </w:rPr>
        <w:t xml:space="preserve">КОНСТРУКЦИЙ И ПРОТИВОПОЖАРНЫХ ПРЕГРАД</w:t>
      </w:r>
    </w:p>
    <w:p>
      <w:pPr>
        <w:pStyle w:val="0"/>
        <w:ind w:firstLine="540"/>
        <w:jc w:val="both"/>
      </w:pPr>
      <w:r>
        <w:rPr>
          <w:sz w:val="20"/>
        </w:rPr>
      </w:r>
    </w:p>
    <w:p>
      <w:pPr>
        <w:pStyle w:val="2"/>
        <w:outlineLvl w:val="3"/>
        <w:ind w:firstLine="540"/>
        <w:jc w:val="both"/>
      </w:pPr>
      <w:r>
        <w:rPr>
          <w:sz w:val="20"/>
        </w:rPr>
        <w:t xml:space="preserve">Статья 34. Цель классификации</w:t>
      </w:r>
    </w:p>
    <w:p>
      <w:pPr>
        <w:pStyle w:val="0"/>
        <w:ind w:firstLine="540"/>
        <w:jc w:val="both"/>
      </w:pPr>
      <w:r>
        <w:rPr>
          <w:sz w:val="20"/>
        </w:rPr>
      </w:r>
    </w:p>
    <w:p>
      <w:pPr>
        <w:pStyle w:val="0"/>
        <w:ind w:firstLine="540"/>
        <w:jc w:val="both"/>
      </w:pPr>
      <w:r>
        <w:rPr>
          <w:sz w:val="20"/>
        </w:rPr>
        <w:t xml:space="preserve">1. Строительные конструкции классифицируются по огнестойкости для установления возможности их применения в зданиях, сооружениях и пожарных отсеках определенной степени огнестойкости или для определения степени огнестойкости зданий, сооружений и пожарных отсеков.</w:t>
      </w:r>
    </w:p>
    <w:p>
      <w:pPr>
        <w:pStyle w:val="0"/>
        <w:jc w:val="both"/>
      </w:pPr>
      <w:r>
        <w:rPr>
          <w:sz w:val="20"/>
        </w:rPr>
        <w:t xml:space="preserve">(в ред. Федерального </w:t>
      </w:r>
      <w:hyperlink w:history="0" r:id="rId16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Строительные конструкции классифицируются по пожарной опасности для определения степени участия строительных конструкций в развитии пожара и их способности к образованию опасных факторов пожара.</w:t>
      </w:r>
    </w:p>
    <w:p>
      <w:pPr>
        <w:pStyle w:val="0"/>
        <w:spacing w:before="200" w:line-rule="auto"/>
        <w:ind w:firstLine="540"/>
        <w:jc w:val="both"/>
      </w:pPr>
      <w:r>
        <w:rPr>
          <w:sz w:val="20"/>
        </w:rPr>
        <w:t xml:space="preserve">3. Противопожарные преграды классифицируются по способу предотвращения распространения опасных факторов пожара, а также по огнестойкости для подбора строительных конструкций и заполнения проемов в противопожарных преградах с необходимым пределом огнестойкости и классом пожарной опасности.</w:t>
      </w:r>
    </w:p>
    <w:p>
      <w:pPr>
        <w:pStyle w:val="0"/>
        <w:ind w:firstLine="540"/>
        <w:jc w:val="both"/>
      </w:pPr>
      <w:r>
        <w:rPr>
          <w:sz w:val="20"/>
        </w:rPr>
      </w:r>
    </w:p>
    <w:p>
      <w:pPr>
        <w:pStyle w:val="2"/>
        <w:outlineLvl w:val="3"/>
        <w:ind w:firstLine="540"/>
        <w:jc w:val="both"/>
      </w:pPr>
      <w:r>
        <w:rPr>
          <w:sz w:val="20"/>
        </w:rPr>
        <w:t xml:space="preserve">Статья 35. Классификация строительных конструкций по огнестойкости</w:t>
      </w:r>
    </w:p>
    <w:p>
      <w:pPr>
        <w:pStyle w:val="0"/>
        <w:ind w:firstLine="540"/>
        <w:jc w:val="both"/>
      </w:pPr>
      <w:r>
        <w:rPr>
          <w:sz w:val="20"/>
        </w:rPr>
      </w:r>
    </w:p>
    <w:p>
      <w:pPr>
        <w:pStyle w:val="0"/>
        <w:ind w:firstLine="540"/>
        <w:jc w:val="both"/>
      </w:pPr>
      <w:r>
        <w:rPr>
          <w:sz w:val="20"/>
        </w:rPr>
        <w:t xml:space="preserve">1. Строительные конструкции зданий и сооружений в зависимости от их способности сопротивляться воздействию пожара и распространению его опасных факторов в условиях стандартных испытаний подразделяются на строительные конструкции со следующими пределами огнестойкости:</w:t>
      </w:r>
    </w:p>
    <w:p>
      <w:pPr>
        <w:pStyle w:val="0"/>
        <w:jc w:val="both"/>
      </w:pPr>
      <w:r>
        <w:rPr>
          <w:sz w:val="20"/>
        </w:rPr>
        <w:t xml:space="preserve">(в ред. Федерального </w:t>
      </w:r>
      <w:hyperlink w:history="0" r:id="rId16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 ненормируемый;</w:t>
      </w:r>
    </w:p>
    <w:p>
      <w:pPr>
        <w:pStyle w:val="0"/>
        <w:spacing w:before="200" w:line-rule="auto"/>
        <w:ind w:firstLine="540"/>
        <w:jc w:val="both"/>
      </w:pPr>
      <w:r>
        <w:rPr>
          <w:sz w:val="20"/>
        </w:rPr>
        <w:t xml:space="preserve">2) не менее 15 минут;</w:t>
      </w:r>
    </w:p>
    <w:p>
      <w:pPr>
        <w:pStyle w:val="0"/>
        <w:spacing w:before="200" w:line-rule="auto"/>
        <w:ind w:firstLine="540"/>
        <w:jc w:val="both"/>
      </w:pPr>
      <w:r>
        <w:rPr>
          <w:sz w:val="20"/>
        </w:rPr>
        <w:t xml:space="preserve">3) не менее 30 минут;</w:t>
      </w:r>
    </w:p>
    <w:p>
      <w:pPr>
        <w:pStyle w:val="0"/>
        <w:spacing w:before="200" w:line-rule="auto"/>
        <w:ind w:firstLine="540"/>
        <w:jc w:val="both"/>
      </w:pPr>
      <w:r>
        <w:rPr>
          <w:sz w:val="20"/>
        </w:rPr>
        <w:t xml:space="preserve">4) не менее 45 минут;</w:t>
      </w:r>
    </w:p>
    <w:p>
      <w:pPr>
        <w:pStyle w:val="0"/>
        <w:spacing w:before="200" w:line-rule="auto"/>
        <w:ind w:firstLine="540"/>
        <w:jc w:val="both"/>
      </w:pPr>
      <w:r>
        <w:rPr>
          <w:sz w:val="20"/>
        </w:rPr>
        <w:t xml:space="preserve">5) не менее 60 минут;</w:t>
      </w:r>
    </w:p>
    <w:p>
      <w:pPr>
        <w:pStyle w:val="0"/>
        <w:spacing w:before="200" w:line-rule="auto"/>
        <w:ind w:firstLine="540"/>
        <w:jc w:val="both"/>
      </w:pPr>
      <w:r>
        <w:rPr>
          <w:sz w:val="20"/>
        </w:rPr>
        <w:t xml:space="preserve">6) не менее 90 минут;</w:t>
      </w:r>
    </w:p>
    <w:p>
      <w:pPr>
        <w:pStyle w:val="0"/>
        <w:spacing w:before="200" w:line-rule="auto"/>
        <w:ind w:firstLine="540"/>
        <w:jc w:val="both"/>
      </w:pPr>
      <w:r>
        <w:rPr>
          <w:sz w:val="20"/>
        </w:rPr>
        <w:t xml:space="preserve">7) не менее 120 минут;</w:t>
      </w:r>
    </w:p>
    <w:p>
      <w:pPr>
        <w:pStyle w:val="0"/>
        <w:spacing w:before="200" w:line-rule="auto"/>
        <w:ind w:firstLine="540"/>
        <w:jc w:val="both"/>
      </w:pPr>
      <w:r>
        <w:rPr>
          <w:sz w:val="20"/>
        </w:rPr>
        <w:t xml:space="preserve">8) не менее 150 минут;</w:t>
      </w:r>
    </w:p>
    <w:p>
      <w:pPr>
        <w:pStyle w:val="0"/>
        <w:spacing w:before="200" w:line-rule="auto"/>
        <w:ind w:firstLine="540"/>
        <w:jc w:val="both"/>
      </w:pPr>
      <w:r>
        <w:rPr>
          <w:sz w:val="20"/>
        </w:rPr>
        <w:t xml:space="preserve">9) не менее 180 минут;</w:t>
      </w:r>
    </w:p>
    <w:p>
      <w:pPr>
        <w:pStyle w:val="0"/>
        <w:spacing w:before="200" w:line-rule="auto"/>
        <w:ind w:firstLine="540"/>
        <w:jc w:val="both"/>
      </w:pPr>
      <w:r>
        <w:rPr>
          <w:sz w:val="20"/>
        </w:rPr>
        <w:t xml:space="preserve">10) не менее 240 минут;</w:t>
      </w:r>
    </w:p>
    <w:p>
      <w:pPr>
        <w:pStyle w:val="0"/>
        <w:spacing w:before="200" w:line-rule="auto"/>
        <w:ind w:firstLine="540"/>
        <w:jc w:val="both"/>
      </w:pPr>
      <w:r>
        <w:rPr>
          <w:sz w:val="20"/>
        </w:rPr>
        <w:t xml:space="preserve">11) не менее 360 минут.</w:t>
      </w:r>
    </w:p>
    <w:p>
      <w:pPr>
        <w:pStyle w:val="0"/>
        <w:spacing w:before="200" w:line-rule="auto"/>
        <w:ind w:firstLine="540"/>
        <w:jc w:val="both"/>
      </w:pPr>
      <w:r>
        <w:rPr>
          <w:sz w:val="20"/>
        </w:rPr>
        <w:t xml:space="preserve">2. Пределы огнестойкости строительных конструкций определяются в условиях стандартных испытаний. Наступление пределов огнестойкости несущих и ограждающих строительных конструкций в условиях стандартных испытаний или в результате расчетов устанавливается по времени достижения одного или последовательно нескольких из следующих признаков предельных состояний:</w:t>
      </w:r>
    </w:p>
    <w:p>
      <w:pPr>
        <w:pStyle w:val="0"/>
        <w:spacing w:before="200" w:line-rule="auto"/>
        <w:ind w:firstLine="540"/>
        <w:jc w:val="both"/>
      </w:pPr>
      <w:r>
        <w:rPr>
          <w:sz w:val="20"/>
        </w:rPr>
        <w:t xml:space="preserve">1) потеря несущей способности (R);</w:t>
      </w:r>
    </w:p>
    <w:p>
      <w:pPr>
        <w:pStyle w:val="0"/>
        <w:spacing w:before="200" w:line-rule="auto"/>
        <w:ind w:firstLine="540"/>
        <w:jc w:val="both"/>
      </w:pPr>
      <w:r>
        <w:rPr>
          <w:sz w:val="20"/>
        </w:rPr>
        <w:t xml:space="preserve">2) потеря целостности (E);</w:t>
      </w:r>
    </w:p>
    <w:p>
      <w:pPr>
        <w:pStyle w:val="0"/>
        <w:spacing w:before="200" w:line-rule="auto"/>
        <w:ind w:firstLine="540"/>
        <w:jc w:val="both"/>
      </w:pPr>
      <w:r>
        <w:rPr>
          <w:sz w:val="20"/>
        </w:rPr>
        <w:t xml:space="preserve">3) потеря теплоизолирующей способности вследствие повышения температуры на необогреваемой поверхности конструкции до предельных значений (I) или достижения предельной величины плотности теплового потока на нормируемом расстоянии от необогреваемой поверхности конструкции (W).</w:t>
      </w:r>
    </w:p>
    <w:p>
      <w:pPr>
        <w:pStyle w:val="0"/>
        <w:spacing w:before="200" w:line-rule="auto"/>
        <w:ind w:firstLine="540"/>
        <w:jc w:val="both"/>
      </w:pPr>
      <w:r>
        <w:rPr>
          <w:sz w:val="20"/>
        </w:rPr>
        <w:t xml:space="preserve">3. Предел огнестойкости для заполнения проемов в противопожарных преградах наступает при потере целостности (E), теплоизолирующей способности (I), достижении предельной величины плотности теплового потока (W) и (или) дымогазонепроницаемости (S).</w:t>
      </w:r>
    </w:p>
    <w:p>
      <w:pPr>
        <w:pStyle w:val="0"/>
        <w:spacing w:before="200" w:line-rule="auto"/>
        <w:ind w:firstLine="540"/>
        <w:jc w:val="both"/>
      </w:pPr>
      <w:r>
        <w:rPr>
          <w:sz w:val="20"/>
        </w:rPr>
        <w:t xml:space="preserve">4. </w:t>
      </w:r>
      <w:hyperlink w:history="0" r:id="rId167"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 {КонсультантПлюс}">
        <w:r>
          <w:rPr>
            <w:sz w:val="20"/>
            <w:color w:val="0000ff"/>
          </w:rPr>
          <w:t xml:space="preserve">Методы</w:t>
        </w:r>
      </w:hyperlink>
      <w:r>
        <w:rPr>
          <w:sz w:val="20"/>
        </w:rPr>
        <w:t xml:space="preserve"> определения пределов огнестойкости строительных конструкций и признаков предельных состояний устанавливаются нормативными документами по пожарной безопасности.</w:t>
      </w:r>
    </w:p>
    <w:p>
      <w:pPr>
        <w:pStyle w:val="0"/>
        <w:spacing w:before="200" w:line-rule="auto"/>
        <w:ind w:firstLine="540"/>
        <w:jc w:val="both"/>
      </w:pPr>
      <w:r>
        <w:rPr>
          <w:sz w:val="20"/>
        </w:rPr>
        <w:t xml:space="preserve">5. Условные обозначения пределов огнестойкости строительных конструкций содержат буквенные обозначения предельного состояния и группы.</w:t>
      </w:r>
    </w:p>
    <w:p>
      <w:pPr>
        <w:pStyle w:val="0"/>
        <w:ind w:firstLine="540"/>
        <w:jc w:val="both"/>
      </w:pPr>
      <w:r>
        <w:rPr>
          <w:sz w:val="20"/>
        </w:rPr>
      </w:r>
    </w:p>
    <w:p>
      <w:pPr>
        <w:pStyle w:val="2"/>
        <w:outlineLvl w:val="3"/>
        <w:ind w:firstLine="540"/>
        <w:jc w:val="both"/>
      </w:pPr>
      <w:r>
        <w:rPr>
          <w:sz w:val="20"/>
        </w:rPr>
        <w:t xml:space="preserve">Статья 36. Классификация строительных конструкций по пожарной опасности</w:t>
      </w:r>
    </w:p>
    <w:p>
      <w:pPr>
        <w:pStyle w:val="0"/>
        <w:ind w:firstLine="540"/>
        <w:jc w:val="both"/>
      </w:pPr>
      <w:r>
        <w:rPr>
          <w:sz w:val="20"/>
        </w:rPr>
      </w:r>
    </w:p>
    <w:p>
      <w:pPr>
        <w:pStyle w:val="0"/>
        <w:ind w:firstLine="540"/>
        <w:jc w:val="both"/>
      </w:pPr>
      <w:r>
        <w:rPr>
          <w:sz w:val="20"/>
        </w:rPr>
        <w:t xml:space="preserve">1. Строительные конструкции по пожарной опасности подразделяются на следующие классы:</w:t>
      </w:r>
    </w:p>
    <w:p>
      <w:pPr>
        <w:pStyle w:val="0"/>
        <w:spacing w:before="200" w:line-rule="auto"/>
        <w:ind w:firstLine="540"/>
        <w:jc w:val="both"/>
      </w:pPr>
      <w:r>
        <w:rPr>
          <w:sz w:val="20"/>
        </w:rPr>
        <w:t xml:space="preserve">1) непожароопасные (K0);</w:t>
      </w:r>
    </w:p>
    <w:p>
      <w:pPr>
        <w:pStyle w:val="0"/>
        <w:spacing w:before="200" w:line-rule="auto"/>
        <w:ind w:firstLine="540"/>
        <w:jc w:val="both"/>
      </w:pPr>
      <w:r>
        <w:rPr>
          <w:sz w:val="20"/>
        </w:rPr>
        <w:t xml:space="preserve">2) малопожароопасные (K1);</w:t>
      </w:r>
    </w:p>
    <w:p>
      <w:pPr>
        <w:pStyle w:val="0"/>
        <w:spacing w:before="200" w:line-rule="auto"/>
        <w:ind w:firstLine="540"/>
        <w:jc w:val="both"/>
      </w:pPr>
      <w:r>
        <w:rPr>
          <w:sz w:val="20"/>
        </w:rPr>
        <w:t xml:space="preserve">3) умереннопожароопасные (K2);</w:t>
      </w:r>
    </w:p>
    <w:p>
      <w:pPr>
        <w:pStyle w:val="0"/>
        <w:spacing w:before="200" w:line-rule="auto"/>
        <w:ind w:firstLine="540"/>
        <w:jc w:val="both"/>
      </w:pPr>
      <w:r>
        <w:rPr>
          <w:sz w:val="20"/>
        </w:rPr>
        <w:t xml:space="preserve">4) пожароопасные (K3).</w:t>
      </w:r>
    </w:p>
    <w:p>
      <w:pPr>
        <w:pStyle w:val="0"/>
        <w:spacing w:before="200" w:line-rule="auto"/>
        <w:ind w:firstLine="540"/>
        <w:jc w:val="both"/>
      </w:pPr>
      <w:r>
        <w:rPr>
          <w:sz w:val="20"/>
        </w:rPr>
        <w:t xml:space="preserve">2. Утратил силу. - Федеральный </w:t>
      </w:r>
      <w:hyperlink w:history="0" r:id="rId168"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29.07.2017 N 244-ФЗ.</w:t>
      </w:r>
    </w:p>
    <w:p>
      <w:pPr>
        <w:pStyle w:val="0"/>
        <w:spacing w:before="200" w:line-rule="auto"/>
        <w:ind w:firstLine="540"/>
        <w:jc w:val="both"/>
      </w:pPr>
      <w:r>
        <w:rPr>
          <w:sz w:val="20"/>
        </w:rPr>
        <w:t xml:space="preserve">3. Численные значения критериев отнесения строительных конструкций к определенному классу пожарной опасности определяются в соответствии с методами, установленными нормативными документами по пожарной безопасности.</w:t>
      </w:r>
    </w:p>
    <w:p>
      <w:pPr>
        <w:pStyle w:val="0"/>
        <w:ind w:firstLine="540"/>
        <w:jc w:val="both"/>
      </w:pPr>
      <w:r>
        <w:rPr>
          <w:sz w:val="20"/>
        </w:rPr>
      </w:r>
    </w:p>
    <w:bookmarkStart w:id="627" w:name="P627"/>
    <w:bookmarkEnd w:id="627"/>
    <w:p>
      <w:pPr>
        <w:pStyle w:val="2"/>
        <w:outlineLvl w:val="3"/>
        <w:ind w:firstLine="540"/>
        <w:jc w:val="both"/>
      </w:pPr>
      <w:r>
        <w:rPr>
          <w:sz w:val="20"/>
        </w:rPr>
        <w:t xml:space="preserve">Статья 37. Классификация противопожарных преград</w:t>
      </w:r>
    </w:p>
    <w:p>
      <w:pPr>
        <w:pStyle w:val="0"/>
        <w:ind w:firstLine="540"/>
        <w:jc w:val="both"/>
      </w:pPr>
      <w:r>
        <w:rPr>
          <w:sz w:val="20"/>
        </w:rPr>
      </w:r>
    </w:p>
    <w:p>
      <w:pPr>
        <w:pStyle w:val="0"/>
        <w:ind w:firstLine="540"/>
        <w:jc w:val="both"/>
      </w:pPr>
      <w:r>
        <w:rPr>
          <w:sz w:val="20"/>
        </w:rPr>
        <w:t xml:space="preserve">1. Противопожарные преграды в зависимости от способа предотвращения распространения опасных факторов пожара подразделяются на следующие типы:</w:t>
      </w:r>
    </w:p>
    <w:p>
      <w:pPr>
        <w:pStyle w:val="0"/>
        <w:spacing w:before="200" w:line-rule="auto"/>
        <w:ind w:firstLine="540"/>
        <w:jc w:val="both"/>
      </w:pPr>
      <w:r>
        <w:rPr>
          <w:sz w:val="20"/>
        </w:rPr>
        <w:t xml:space="preserve">1) противопожарные стены;</w:t>
      </w:r>
    </w:p>
    <w:p>
      <w:pPr>
        <w:pStyle w:val="0"/>
        <w:spacing w:before="200" w:line-rule="auto"/>
        <w:ind w:firstLine="540"/>
        <w:jc w:val="both"/>
      </w:pPr>
      <w:r>
        <w:rPr>
          <w:sz w:val="20"/>
        </w:rPr>
        <w:t xml:space="preserve">2) противопожарные перегородки;</w:t>
      </w:r>
    </w:p>
    <w:p>
      <w:pPr>
        <w:pStyle w:val="0"/>
        <w:spacing w:before="200" w:line-rule="auto"/>
        <w:ind w:firstLine="540"/>
        <w:jc w:val="both"/>
      </w:pPr>
      <w:r>
        <w:rPr>
          <w:sz w:val="20"/>
        </w:rPr>
        <w:t xml:space="preserve">3) противопожарные перекрытия;</w:t>
      </w:r>
    </w:p>
    <w:p>
      <w:pPr>
        <w:pStyle w:val="0"/>
        <w:spacing w:before="200" w:line-rule="auto"/>
        <w:ind w:firstLine="540"/>
        <w:jc w:val="both"/>
      </w:pPr>
      <w:r>
        <w:rPr>
          <w:sz w:val="20"/>
        </w:rPr>
        <w:t xml:space="preserve">4) противопожарные разрывы;</w:t>
      </w:r>
    </w:p>
    <w:p>
      <w:pPr>
        <w:pStyle w:val="0"/>
        <w:spacing w:before="200" w:line-rule="auto"/>
        <w:ind w:firstLine="540"/>
        <w:jc w:val="both"/>
      </w:pPr>
      <w:r>
        <w:rPr>
          <w:sz w:val="20"/>
        </w:rPr>
        <w:t xml:space="preserve">5) противопожарные занавесы, шторы и экраны (экранные стены);</w:t>
      </w:r>
    </w:p>
    <w:p>
      <w:pPr>
        <w:pStyle w:val="0"/>
        <w:jc w:val="both"/>
      </w:pPr>
      <w:r>
        <w:rPr>
          <w:sz w:val="20"/>
        </w:rPr>
        <w:t xml:space="preserve">(в ред. Федерального </w:t>
      </w:r>
      <w:hyperlink w:history="0" r:id="rId169"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29.07.2017 N 244-ФЗ)</w:t>
      </w:r>
    </w:p>
    <w:p>
      <w:pPr>
        <w:pStyle w:val="0"/>
        <w:spacing w:before="200" w:line-rule="auto"/>
        <w:ind w:firstLine="540"/>
        <w:jc w:val="both"/>
      </w:pPr>
      <w:r>
        <w:rPr>
          <w:sz w:val="20"/>
        </w:rPr>
        <w:t xml:space="preserve">6) противопожарные водяные завесы;</w:t>
      </w:r>
    </w:p>
    <w:p>
      <w:pPr>
        <w:pStyle w:val="0"/>
        <w:spacing w:before="200" w:line-rule="auto"/>
        <w:ind w:firstLine="540"/>
        <w:jc w:val="both"/>
      </w:pPr>
      <w:r>
        <w:rPr>
          <w:sz w:val="20"/>
        </w:rPr>
        <w:t xml:space="preserve">7) противопожарные минерализованные полосы;</w:t>
      </w:r>
    </w:p>
    <w:p>
      <w:pPr>
        <w:pStyle w:val="0"/>
        <w:spacing w:before="200" w:line-rule="auto"/>
        <w:ind w:firstLine="540"/>
        <w:jc w:val="both"/>
      </w:pPr>
      <w:r>
        <w:rPr>
          <w:sz w:val="20"/>
        </w:rPr>
        <w:t xml:space="preserve">8) зона, свободная от пожарной нагрузки.</w:t>
      </w:r>
    </w:p>
    <w:p>
      <w:pPr>
        <w:pStyle w:val="0"/>
        <w:jc w:val="both"/>
      </w:pPr>
      <w:r>
        <w:rPr>
          <w:sz w:val="20"/>
        </w:rPr>
        <w:t xml:space="preserve">(п. 8 введен Федеральным </w:t>
      </w:r>
      <w:hyperlink w:history="0" r:id="rId17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14.07.2022 N 276-ФЗ)</w:t>
      </w:r>
    </w:p>
    <w:p>
      <w:pPr>
        <w:pStyle w:val="0"/>
        <w:spacing w:before="200" w:line-rule="auto"/>
        <w:ind w:firstLine="540"/>
        <w:jc w:val="both"/>
      </w:pPr>
      <w:r>
        <w:rPr>
          <w:sz w:val="20"/>
        </w:rPr>
        <w:t xml:space="preserve">2. Противопожарные стены, перегородки и перекрытия, заполнения проемов в противопожарных преградах (противопожарные двери, ворота, люки, клапаны, окна, шторы, занавесы) в зависимости от пределов огнестойкости их ограждающей части, а также тамбур-шлюзы, предусмотренные в проемах противопожарных преград в зависимости от типов элементов тамбур-шлюзов, подразделяются на следующие типы:</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932"/>
        <w:gridCol w:w="2381"/>
      </w:tblGrid>
      <w:tr>
        <w:tc>
          <w:tcPr>
            <w:tcW w:w="4932" w:type="dxa"/>
            <w:tcBorders>
              <w:top w:val="nil"/>
              <w:left w:val="nil"/>
              <w:bottom w:val="nil"/>
              <w:right w:val="nil"/>
            </w:tcBorders>
          </w:tcPr>
          <w:p>
            <w:pPr>
              <w:pStyle w:val="0"/>
            </w:pPr>
            <w:r>
              <w:rPr>
                <w:sz w:val="20"/>
              </w:rPr>
              <w:t xml:space="preserve">1) стены</w:t>
            </w:r>
          </w:p>
        </w:tc>
        <w:tc>
          <w:tcPr>
            <w:tcW w:w="2381" w:type="dxa"/>
            <w:tcBorders>
              <w:top w:val="nil"/>
              <w:left w:val="nil"/>
              <w:bottom w:val="nil"/>
              <w:right w:val="nil"/>
            </w:tcBorders>
          </w:tcPr>
          <w:p>
            <w:pPr>
              <w:pStyle w:val="0"/>
            </w:pPr>
            <w:r>
              <w:rPr>
                <w:sz w:val="20"/>
              </w:rPr>
              <w:t xml:space="preserve">1-й или 2-й тип;</w:t>
            </w:r>
          </w:p>
        </w:tc>
      </w:tr>
      <w:tr>
        <w:tc>
          <w:tcPr>
            <w:tcW w:w="4932" w:type="dxa"/>
            <w:tcBorders>
              <w:top w:val="nil"/>
              <w:left w:val="nil"/>
              <w:bottom w:val="nil"/>
              <w:right w:val="nil"/>
            </w:tcBorders>
          </w:tcPr>
          <w:p>
            <w:pPr>
              <w:pStyle w:val="0"/>
            </w:pPr>
            <w:r>
              <w:rPr>
                <w:sz w:val="20"/>
              </w:rPr>
              <w:t xml:space="preserve">2) перегородки</w:t>
            </w:r>
          </w:p>
        </w:tc>
        <w:tc>
          <w:tcPr>
            <w:tcW w:w="2381" w:type="dxa"/>
            <w:tcBorders>
              <w:top w:val="nil"/>
              <w:left w:val="nil"/>
              <w:bottom w:val="nil"/>
              <w:right w:val="nil"/>
            </w:tcBorders>
          </w:tcPr>
          <w:p>
            <w:pPr>
              <w:pStyle w:val="0"/>
            </w:pPr>
            <w:r>
              <w:rPr>
                <w:sz w:val="20"/>
              </w:rPr>
              <w:t xml:space="preserve">1-й или 2-й тип;</w:t>
            </w:r>
          </w:p>
        </w:tc>
      </w:tr>
      <w:tr>
        <w:tc>
          <w:tcPr>
            <w:tcW w:w="4932" w:type="dxa"/>
            <w:tcBorders>
              <w:top w:val="nil"/>
              <w:left w:val="nil"/>
              <w:bottom w:val="nil"/>
              <w:right w:val="nil"/>
            </w:tcBorders>
          </w:tcPr>
          <w:p>
            <w:pPr>
              <w:pStyle w:val="0"/>
            </w:pPr>
            <w:r>
              <w:rPr>
                <w:sz w:val="20"/>
              </w:rPr>
              <w:t xml:space="preserve">3) перекрытия</w:t>
            </w:r>
          </w:p>
        </w:tc>
        <w:tc>
          <w:tcPr>
            <w:tcW w:w="2381" w:type="dxa"/>
            <w:tcBorders>
              <w:top w:val="nil"/>
              <w:left w:val="nil"/>
              <w:bottom w:val="nil"/>
              <w:right w:val="nil"/>
            </w:tcBorders>
          </w:tcPr>
          <w:p>
            <w:pPr>
              <w:pStyle w:val="0"/>
            </w:pPr>
            <w:r>
              <w:rPr>
                <w:sz w:val="20"/>
              </w:rPr>
              <w:t xml:space="preserve">1, 2, 3 или 4-й тип;</w:t>
            </w:r>
          </w:p>
        </w:tc>
      </w:tr>
      <w:tr>
        <w:tc>
          <w:tcPr>
            <w:tcW w:w="4932" w:type="dxa"/>
            <w:tcBorders>
              <w:top w:val="nil"/>
              <w:left w:val="nil"/>
              <w:bottom w:val="nil"/>
              <w:right w:val="nil"/>
            </w:tcBorders>
          </w:tcPr>
          <w:p>
            <w:pPr>
              <w:pStyle w:val="0"/>
            </w:pPr>
            <w:r>
              <w:rPr>
                <w:sz w:val="20"/>
              </w:rPr>
              <w:t xml:space="preserve">4) двери, ворота, люки, клапаны, экраны, шторы</w:t>
            </w:r>
          </w:p>
        </w:tc>
        <w:tc>
          <w:tcPr>
            <w:tcW w:w="2381" w:type="dxa"/>
            <w:tcBorders>
              <w:top w:val="nil"/>
              <w:left w:val="nil"/>
              <w:bottom w:val="nil"/>
              <w:right w:val="nil"/>
            </w:tcBorders>
          </w:tcPr>
          <w:p>
            <w:pPr>
              <w:pStyle w:val="0"/>
            </w:pPr>
            <w:r>
              <w:rPr>
                <w:sz w:val="20"/>
              </w:rPr>
              <w:t xml:space="preserve">1, 2 или 3-й тип;</w:t>
            </w:r>
          </w:p>
        </w:tc>
      </w:tr>
      <w:tr>
        <w:tc>
          <w:tcPr>
            <w:tcW w:w="4932" w:type="dxa"/>
            <w:tcBorders>
              <w:top w:val="nil"/>
              <w:left w:val="nil"/>
              <w:bottom w:val="nil"/>
              <w:right w:val="nil"/>
            </w:tcBorders>
          </w:tcPr>
          <w:p>
            <w:pPr>
              <w:pStyle w:val="0"/>
            </w:pPr>
            <w:r>
              <w:rPr>
                <w:sz w:val="20"/>
              </w:rPr>
              <w:t xml:space="preserve">5) окна</w:t>
            </w:r>
          </w:p>
        </w:tc>
        <w:tc>
          <w:tcPr>
            <w:tcW w:w="2381" w:type="dxa"/>
            <w:tcBorders>
              <w:top w:val="nil"/>
              <w:left w:val="nil"/>
              <w:bottom w:val="nil"/>
              <w:right w:val="nil"/>
            </w:tcBorders>
          </w:tcPr>
          <w:p>
            <w:pPr>
              <w:pStyle w:val="0"/>
            </w:pPr>
            <w:r>
              <w:rPr>
                <w:sz w:val="20"/>
              </w:rPr>
              <w:t xml:space="preserve">1, 2 или 3-й тип;</w:t>
            </w:r>
          </w:p>
        </w:tc>
      </w:tr>
      <w:tr>
        <w:tc>
          <w:tcPr>
            <w:tcW w:w="4932" w:type="dxa"/>
            <w:tcBorders>
              <w:top w:val="nil"/>
              <w:left w:val="nil"/>
              <w:bottom w:val="nil"/>
              <w:right w:val="nil"/>
            </w:tcBorders>
          </w:tcPr>
          <w:p>
            <w:pPr>
              <w:pStyle w:val="0"/>
            </w:pPr>
            <w:r>
              <w:rPr>
                <w:sz w:val="20"/>
              </w:rPr>
              <w:t xml:space="preserve">6) занавесы</w:t>
            </w:r>
          </w:p>
        </w:tc>
        <w:tc>
          <w:tcPr>
            <w:tcW w:w="2381" w:type="dxa"/>
            <w:tcBorders>
              <w:top w:val="nil"/>
              <w:left w:val="nil"/>
              <w:bottom w:val="nil"/>
              <w:right w:val="nil"/>
            </w:tcBorders>
          </w:tcPr>
          <w:p>
            <w:pPr>
              <w:pStyle w:val="0"/>
            </w:pPr>
            <w:r>
              <w:rPr>
                <w:sz w:val="20"/>
              </w:rPr>
              <w:t xml:space="preserve">1-й тип;</w:t>
            </w:r>
          </w:p>
        </w:tc>
      </w:tr>
      <w:tr>
        <w:tc>
          <w:tcPr>
            <w:tcW w:w="4932" w:type="dxa"/>
            <w:tcBorders>
              <w:top w:val="nil"/>
              <w:left w:val="nil"/>
              <w:bottom w:val="nil"/>
              <w:right w:val="nil"/>
            </w:tcBorders>
          </w:tcPr>
          <w:p>
            <w:pPr>
              <w:pStyle w:val="0"/>
            </w:pPr>
            <w:r>
              <w:rPr>
                <w:sz w:val="20"/>
              </w:rPr>
              <w:t xml:space="preserve">7) тамбур-шлюзы</w:t>
            </w:r>
          </w:p>
        </w:tc>
        <w:tc>
          <w:tcPr>
            <w:tcW w:w="2381" w:type="dxa"/>
            <w:tcBorders>
              <w:top w:val="nil"/>
              <w:left w:val="nil"/>
              <w:bottom w:val="nil"/>
              <w:right w:val="nil"/>
            </w:tcBorders>
          </w:tcPr>
          <w:p>
            <w:pPr>
              <w:pStyle w:val="0"/>
            </w:pPr>
            <w:r>
              <w:rPr>
                <w:sz w:val="20"/>
              </w:rPr>
              <w:t xml:space="preserve">1-й или 2-й тип;</w:t>
            </w:r>
          </w:p>
        </w:tc>
      </w:tr>
      <w:tr>
        <w:tc>
          <w:tcPr>
            <w:tcW w:w="4932" w:type="dxa"/>
            <w:tcBorders>
              <w:top w:val="nil"/>
              <w:left w:val="nil"/>
              <w:bottom w:val="nil"/>
              <w:right w:val="nil"/>
            </w:tcBorders>
          </w:tcPr>
          <w:p>
            <w:pPr>
              <w:pStyle w:val="0"/>
            </w:pPr>
            <w:r>
              <w:rPr>
                <w:sz w:val="20"/>
              </w:rPr>
              <w:t xml:space="preserve">8) противопожарные водяные завесы.</w:t>
            </w:r>
          </w:p>
        </w:tc>
        <w:tc>
          <w:tcPr>
            <w:tcW w:w="2381" w:type="dxa"/>
            <w:tcBorders>
              <w:top w:val="nil"/>
              <w:left w:val="nil"/>
              <w:bottom w:val="nil"/>
              <w:right w:val="nil"/>
            </w:tcBorders>
          </w:tcPr>
          <w:p>
            <w:pPr>
              <w:pStyle w:val="0"/>
            </w:pPr>
            <w:r>
              <w:rPr>
                <w:sz w:val="20"/>
              </w:rPr>
            </w:r>
          </w:p>
        </w:tc>
      </w:tr>
      <w:tr>
        <w:tc>
          <w:tcPr>
            <w:gridSpan w:val="2"/>
            <w:tcW w:w="7313" w:type="dxa"/>
            <w:tcBorders>
              <w:top w:val="nil"/>
              <w:left w:val="nil"/>
              <w:bottom w:val="nil"/>
              <w:right w:val="nil"/>
            </w:tcBorders>
          </w:tcPr>
          <w:p>
            <w:pPr>
              <w:pStyle w:val="0"/>
              <w:jc w:val="both"/>
            </w:pPr>
            <w:r>
              <w:rPr>
                <w:sz w:val="20"/>
              </w:rPr>
              <w:t xml:space="preserve">(п. 8 введен Федеральным </w:t>
            </w:r>
            <w:hyperlink w:history="0" r:id="rId17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14.07.2022 N 276-ФЗ)</w:t>
            </w:r>
          </w:p>
        </w:tc>
      </w:tr>
    </w:tbl>
    <w:p>
      <w:pPr>
        <w:pStyle w:val="0"/>
        <w:ind w:firstLine="540"/>
        <w:jc w:val="both"/>
      </w:pPr>
      <w:r>
        <w:rPr>
          <w:sz w:val="20"/>
        </w:rPr>
      </w:r>
    </w:p>
    <w:p>
      <w:pPr>
        <w:pStyle w:val="0"/>
        <w:ind w:firstLine="540"/>
        <w:jc w:val="both"/>
      </w:pPr>
      <w:r>
        <w:rPr>
          <w:sz w:val="20"/>
        </w:rPr>
        <w:t xml:space="preserve">3. Отнесение противопожарных преград к тому или иному типу в зависимости от пределов огнестойкости элементов противопожарных преград и типов заполнения проемов в них осуществляется в соответствии со </w:t>
      </w:r>
      <w:hyperlink w:history="0" w:anchor="P1215" w:tooltip="Статья 88. Требования к ограничению распространения пожара в зданиях, сооружениях, пожарных отсеках">
        <w:r>
          <w:rPr>
            <w:sz w:val="20"/>
            <w:color w:val="0000ff"/>
          </w:rPr>
          <w:t xml:space="preserve">статьей 88</w:t>
        </w:r>
      </w:hyperlink>
      <w:r>
        <w:rPr>
          <w:sz w:val="20"/>
        </w:rPr>
        <w:t xml:space="preserve"> настоящего Федерального закона.</w:t>
      </w:r>
    </w:p>
    <w:p>
      <w:pPr>
        <w:pStyle w:val="0"/>
        <w:ind w:firstLine="540"/>
        <w:jc w:val="both"/>
      </w:pPr>
      <w:r>
        <w:rPr>
          <w:sz w:val="20"/>
        </w:rPr>
      </w:r>
    </w:p>
    <w:p>
      <w:pPr>
        <w:pStyle w:val="2"/>
        <w:outlineLvl w:val="2"/>
        <w:jc w:val="center"/>
      </w:pPr>
      <w:r>
        <w:rPr>
          <w:sz w:val="20"/>
        </w:rPr>
        <w:t xml:space="preserve">Глава 11. ПОЖАРНО-ТЕХНИЧЕСКАЯ КЛАССИФИКАЦИЯ ЛЕСТНИЦ</w:t>
      </w:r>
    </w:p>
    <w:p>
      <w:pPr>
        <w:pStyle w:val="2"/>
        <w:jc w:val="center"/>
      </w:pPr>
      <w:r>
        <w:rPr>
          <w:sz w:val="20"/>
        </w:rPr>
        <w:t xml:space="preserve">И ЛЕСТНИЧНЫХ КЛЕТОК</w:t>
      </w:r>
    </w:p>
    <w:p>
      <w:pPr>
        <w:pStyle w:val="0"/>
        <w:ind w:firstLine="540"/>
        <w:jc w:val="both"/>
      </w:pPr>
      <w:r>
        <w:rPr>
          <w:sz w:val="20"/>
        </w:rPr>
      </w:r>
    </w:p>
    <w:p>
      <w:pPr>
        <w:pStyle w:val="2"/>
        <w:outlineLvl w:val="3"/>
        <w:ind w:firstLine="540"/>
        <w:jc w:val="both"/>
      </w:pPr>
      <w:r>
        <w:rPr>
          <w:sz w:val="20"/>
        </w:rPr>
        <w:t xml:space="preserve">Статья 38. Цель классификации</w:t>
      </w:r>
    </w:p>
    <w:p>
      <w:pPr>
        <w:pStyle w:val="0"/>
        <w:ind w:firstLine="540"/>
        <w:jc w:val="both"/>
      </w:pPr>
      <w:r>
        <w:rPr>
          <w:sz w:val="20"/>
        </w:rPr>
      </w:r>
    </w:p>
    <w:p>
      <w:pPr>
        <w:pStyle w:val="0"/>
        <w:ind w:firstLine="540"/>
        <w:jc w:val="both"/>
      </w:pPr>
      <w:r>
        <w:rPr>
          <w:sz w:val="20"/>
        </w:rPr>
        <w:t xml:space="preserve">Лестницы и лестничные клетки классифицируются в целях определения требований к их объемно-планировочному и конструктивному решению, а также для установления требований к их применению на путях эвакуации людей.</w:t>
      </w:r>
    </w:p>
    <w:p>
      <w:pPr>
        <w:pStyle w:val="0"/>
        <w:ind w:firstLine="540"/>
        <w:jc w:val="both"/>
      </w:pPr>
      <w:r>
        <w:rPr>
          <w:sz w:val="20"/>
        </w:rPr>
      </w:r>
    </w:p>
    <w:p>
      <w:pPr>
        <w:pStyle w:val="2"/>
        <w:outlineLvl w:val="3"/>
        <w:ind w:firstLine="540"/>
        <w:jc w:val="both"/>
      </w:pPr>
      <w:r>
        <w:rPr>
          <w:sz w:val="20"/>
        </w:rPr>
        <w:t xml:space="preserve">Статья 39. Классификация лестниц</w:t>
      </w:r>
    </w:p>
    <w:p>
      <w:pPr>
        <w:pStyle w:val="0"/>
        <w:ind w:firstLine="540"/>
        <w:jc w:val="both"/>
      </w:pPr>
      <w:r>
        <w:rPr>
          <w:sz w:val="20"/>
        </w:rPr>
      </w:r>
    </w:p>
    <w:p>
      <w:pPr>
        <w:pStyle w:val="0"/>
        <w:ind w:firstLine="540"/>
        <w:jc w:val="both"/>
      </w:pPr>
      <w:r>
        <w:rPr>
          <w:sz w:val="20"/>
        </w:rPr>
        <w:t xml:space="preserve">1. Лестницы, предназначенные для эвакуации людей из зданий и сооружений при пожаре, подразделяются на следующие типы:</w:t>
      </w:r>
    </w:p>
    <w:p>
      <w:pPr>
        <w:pStyle w:val="0"/>
        <w:spacing w:before="200" w:line-rule="auto"/>
        <w:ind w:firstLine="540"/>
        <w:jc w:val="both"/>
      </w:pPr>
      <w:r>
        <w:rPr>
          <w:sz w:val="20"/>
        </w:rPr>
        <w:t xml:space="preserve">1) 1-й тип - внутренние, размещаемые на лестничных клетках;</w:t>
      </w:r>
    </w:p>
    <w:p>
      <w:pPr>
        <w:pStyle w:val="0"/>
        <w:spacing w:before="200" w:line-rule="auto"/>
        <w:ind w:firstLine="540"/>
        <w:jc w:val="both"/>
      </w:pPr>
      <w:r>
        <w:rPr>
          <w:sz w:val="20"/>
        </w:rPr>
        <w:t xml:space="preserve">2) 2-й тип - внутренние открытые;</w:t>
      </w:r>
    </w:p>
    <w:p>
      <w:pPr>
        <w:pStyle w:val="0"/>
        <w:spacing w:before="200" w:line-rule="auto"/>
        <w:ind w:firstLine="540"/>
        <w:jc w:val="both"/>
      </w:pPr>
      <w:r>
        <w:rPr>
          <w:sz w:val="20"/>
        </w:rPr>
        <w:t xml:space="preserve">3) 3-й тип - наружные открытые.</w:t>
      </w:r>
    </w:p>
    <w:p>
      <w:pPr>
        <w:pStyle w:val="0"/>
        <w:jc w:val="both"/>
      </w:pPr>
      <w:r>
        <w:rPr>
          <w:sz w:val="20"/>
        </w:rPr>
        <w:t xml:space="preserve">(часть 1 в ред. Федерального </w:t>
      </w:r>
      <w:hyperlink w:history="0" r:id="rId17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 Пожарные лестницы, предназначенные для обеспечения тушения пожара и проведения аварийно-спасательных работ, подразделяются на следующие типы:</w:t>
      </w:r>
    </w:p>
    <w:p>
      <w:pPr>
        <w:pStyle w:val="0"/>
        <w:spacing w:before="200" w:line-rule="auto"/>
        <w:ind w:firstLine="540"/>
        <w:jc w:val="both"/>
      </w:pPr>
      <w:r>
        <w:rPr>
          <w:sz w:val="20"/>
        </w:rPr>
        <w:t xml:space="preserve">1) П1 - вертикальные лестницы;</w:t>
      </w:r>
    </w:p>
    <w:p>
      <w:pPr>
        <w:pStyle w:val="0"/>
        <w:spacing w:before="200" w:line-rule="auto"/>
        <w:ind w:firstLine="540"/>
        <w:jc w:val="both"/>
      </w:pPr>
      <w:r>
        <w:rPr>
          <w:sz w:val="20"/>
        </w:rPr>
        <w:t xml:space="preserve">2) П2 - маршевые лестницы с уклоном не более 6:1.</w:t>
      </w:r>
    </w:p>
    <w:p>
      <w:pPr>
        <w:pStyle w:val="0"/>
        <w:ind w:firstLine="540"/>
        <w:jc w:val="both"/>
      </w:pPr>
      <w:r>
        <w:rPr>
          <w:sz w:val="20"/>
        </w:rPr>
      </w:r>
    </w:p>
    <w:p>
      <w:pPr>
        <w:pStyle w:val="2"/>
        <w:outlineLvl w:val="3"/>
        <w:ind w:firstLine="540"/>
        <w:jc w:val="both"/>
      </w:pPr>
      <w:r>
        <w:rPr>
          <w:sz w:val="20"/>
        </w:rPr>
        <w:t xml:space="preserve">Статья 40. Классификация лестничных клеток</w:t>
      </w:r>
    </w:p>
    <w:p>
      <w:pPr>
        <w:pStyle w:val="0"/>
        <w:ind w:firstLine="540"/>
        <w:jc w:val="both"/>
      </w:pPr>
      <w:r>
        <w:rPr>
          <w:sz w:val="20"/>
        </w:rPr>
      </w:r>
    </w:p>
    <w:p>
      <w:pPr>
        <w:pStyle w:val="0"/>
        <w:ind w:firstLine="540"/>
        <w:jc w:val="both"/>
      </w:pPr>
      <w:r>
        <w:rPr>
          <w:sz w:val="20"/>
        </w:rPr>
        <w:t xml:space="preserve">1. Эвакуационные лестничные клетки в зависимости от степени их защиты от задымления при пожаре подразделяются на следующие типы:</w:t>
      </w:r>
    </w:p>
    <w:p>
      <w:pPr>
        <w:pStyle w:val="0"/>
        <w:jc w:val="both"/>
      </w:pPr>
      <w:r>
        <w:rPr>
          <w:sz w:val="20"/>
        </w:rPr>
        <w:t xml:space="preserve">(в ред. Федерального </w:t>
      </w:r>
      <w:hyperlink w:history="0" r:id="rId17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 обычные лестничные клетки;</w:t>
      </w:r>
    </w:p>
    <w:p>
      <w:pPr>
        <w:pStyle w:val="0"/>
        <w:spacing w:before="200" w:line-rule="auto"/>
        <w:ind w:firstLine="540"/>
        <w:jc w:val="both"/>
      </w:pPr>
      <w:r>
        <w:rPr>
          <w:sz w:val="20"/>
        </w:rPr>
        <w:t xml:space="preserve">2) незадымляемые лестничные клетки.</w:t>
      </w:r>
    </w:p>
    <w:p>
      <w:pPr>
        <w:pStyle w:val="0"/>
        <w:spacing w:before="200" w:line-rule="auto"/>
        <w:ind w:firstLine="540"/>
        <w:jc w:val="both"/>
      </w:pPr>
      <w:r>
        <w:rPr>
          <w:sz w:val="20"/>
        </w:rPr>
        <w:t xml:space="preserve">2. Обычные лестничные клетки подразделяются на следующие типы:</w:t>
      </w:r>
    </w:p>
    <w:p>
      <w:pPr>
        <w:pStyle w:val="0"/>
        <w:spacing w:before="200" w:line-rule="auto"/>
        <w:ind w:firstLine="540"/>
        <w:jc w:val="both"/>
      </w:pPr>
      <w:r>
        <w:rPr>
          <w:sz w:val="20"/>
        </w:rPr>
        <w:t xml:space="preserve">1) Л1 - с естественным освещением через остекленные или открытые проемы в наружных стенах на каждом этаже либо без естественного освещения в случае, если они предназначены для эвакуации только из помещений подвального этажа;</w:t>
      </w:r>
    </w:p>
    <w:p>
      <w:pPr>
        <w:pStyle w:val="0"/>
        <w:spacing w:before="200" w:line-rule="auto"/>
        <w:ind w:firstLine="540"/>
        <w:jc w:val="both"/>
      </w:pPr>
      <w:r>
        <w:rPr>
          <w:sz w:val="20"/>
        </w:rPr>
        <w:t xml:space="preserve">2) Л2 - с естественным освещением через остекленные или открытые проемы в покрытии.</w:t>
      </w:r>
    </w:p>
    <w:p>
      <w:pPr>
        <w:pStyle w:val="0"/>
        <w:jc w:val="both"/>
      </w:pPr>
      <w:r>
        <w:rPr>
          <w:sz w:val="20"/>
        </w:rPr>
        <w:t xml:space="preserve">(часть 2 в ред. Федерального </w:t>
      </w:r>
      <w:hyperlink w:history="0" r:id="rId17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3. Незадымляемые лестничные клетки в зависимости от способа защиты от задымления при пожаре подразделяются на следующие типы:</w:t>
      </w:r>
    </w:p>
    <w:p>
      <w:pPr>
        <w:pStyle w:val="0"/>
        <w:spacing w:before="200" w:line-rule="auto"/>
        <w:ind w:firstLine="540"/>
        <w:jc w:val="both"/>
      </w:pPr>
      <w:r>
        <w:rPr>
          <w:sz w:val="20"/>
        </w:rPr>
        <w:t xml:space="preserve">1) Н1 - лестничные клетки с входом на лестничную клетку с этажа через незадымляемую наружную воздушную зону по открытым переходам;</w:t>
      </w:r>
    </w:p>
    <w:p>
      <w:pPr>
        <w:pStyle w:val="0"/>
        <w:spacing w:before="200" w:line-rule="auto"/>
        <w:ind w:firstLine="540"/>
        <w:jc w:val="both"/>
      </w:pPr>
      <w:r>
        <w:rPr>
          <w:sz w:val="20"/>
        </w:rPr>
        <w:t xml:space="preserve">2) Н2 - лестничные клетки с подпором воздуха на лестничную клетку при пожаре;</w:t>
      </w:r>
    </w:p>
    <w:p>
      <w:pPr>
        <w:pStyle w:val="0"/>
        <w:spacing w:before="200" w:line-rule="auto"/>
        <w:ind w:firstLine="540"/>
        <w:jc w:val="both"/>
      </w:pPr>
      <w:r>
        <w:rPr>
          <w:sz w:val="20"/>
        </w:rPr>
        <w:t xml:space="preserve">3) Н3 - лестничные клетки с входом на них на каждом этаже через тамбур-шлюз, в котором постоянно или во время пожара обеспечивается подпор воздуха.</w:t>
      </w:r>
    </w:p>
    <w:p>
      <w:pPr>
        <w:pStyle w:val="0"/>
        <w:ind w:firstLine="540"/>
        <w:jc w:val="both"/>
      </w:pPr>
      <w:r>
        <w:rPr>
          <w:sz w:val="20"/>
        </w:rPr>
      </w:r>
    </w:p>
    <w:p>
      <w:pPr>
        <w:pStyle w:val="2"/>
        <w:outlineLvl w:val="2"/>
        <w:jc w:val="center"/>
      </w:pPr>
      <w:r>
        <w:rPr>
          <w:sz w:val="20"/>
        </w:rPr>
        <w:t xml:space="preserve">Глава 12. КЛАССИФИКАЦИЯ ПОЖАРНОЙ ТЕХНИКИ (СТАТЬИ 41 - 47)</w:t>
      </w:r>
    </w:p>
    <w:p>
      <w:pPr>
        <w:pStyle w:val="0"/>
        <w:jc w:val="center"/>
      </w:pPr>
      <w:r>
        <w:rPr>
          <w:sz w:val="20"/>
        </w:rPr>
      </w:r>
    </w:p>
    <w:p>
      <w:pPr>
        <w:pStyle w:val="0"/>
        <w:ind w:firstLine="540"/>
        <w:jc w:val="both"/>
      </w:pPr>
      <w:r>
        <w:rPr>
          <w:sz w:val="20"/>
        </w:rPr>
        <w:t xml:space="preserve">Утратила силу. - Федеральный </w:t>
      </w:r>
      <w:hyperlink w:history="0" r:id="rId17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ind w:firstLine="540"/>
        <w:jc w:val="both"/>
      </w:pPr>
      <w:r>
        <w:rPr>
          <w:sz w:val="20"/>
        </w:rPr>
      </w:r>
    </w:p>
    <w:p>
      <w:pPr>
        <w:pStyle w:val="2"/>
        <w:outlineLvl w:val="2"/>
        <w:jc w:val="center"/>
      </w:pPr>
      <w:r>
        <w:rPr>
          <w:sz w:val="20"/>
        </w:rPr>
        <w:t xml:space="preserve">Глава 13. СИСТЕМА ПРЕДОТВРАЩЕНИЯ ПОЖАРОВ</w:t>
      </w:r>
    </w:p>
    <w:p>
      <w:pPr>
        <w:pStyle w:val="0"/>
        <w:jc w:val="center"/>
      </w:pPr>
      <w:r>
        <w:rPr>
          <w:sz w:val="20"/>
        </w:rPr>
      </w:r>
    </w:p>
    <w:p>
      <w:pPr>
        <w:pStyle w:val="2"/>
        <w:outlineLvl w:val="3"/>
        <w:ind w:firstLine="540"/>
        <w:jc w:val="both"/>
      </w:pPr>
      <w:r>
        <w:rPr>
          <w:sz w:val="20"/>
        </w:rPr>
        <w:t xml:space="preserve">Статья 48. Цель создания систем предотвращения пожаров</w:t>
      </w:r>
    </w:p>
    <w:p>
      <w:pPr>
        <w:pStyle w:val="0"/>
        <w:ind w:firstLine="540"/>
        <w:jc w:val="both"/>
      </w:pPr>
      <w:r>
        <w:rPr>
          <w:sz w:val="20"/>
        </w:rPr>
      </w:r>
    </w:p>
    <w:p>
      <w:pPr>
        <w:pStyle w:val="0"/>
        <w:ind w:firstLine="540"/>
        <w:jc w:val="both"/>
      </w:pPr>
      <w:r>
        <w:rPr>
          <w:sz w:val="20"/>
        </w:rPr>
        <w:t xml:space="preserve">1. Целью создания систем предотвращения пожаров является исключение условий возникновения пожаров.</w:t>
      </w:r>
    </w:p>
    <w:p>
      <w:pPr>
        <w:pStyle w:val="0"/>
        <w:spacing w:before="200" w:line-rule="auto"/>
        <w:ind w:firstLine="540"/>
        <w:jc w:val="both"/>
      </w:pPr>
      <w:r>
        <w:rPr>
          <w:sz w:val="20"/>
        </w:rPr>
        <w:t xml:space="preserve">2. Исключение условий возникновения пожаров достигается исключением условий образования горючей среды и (или) исключением условий образования в горючей среде (или внесения в нее) источников зажигания.</w:t>
      </w:r>
    </w:p>
    <w:p>
      <w:pPr>
        <w:pStyle w:val="0"/>
        <w:spacing w:before="200" w:line-rule="auto"/>
        <w:ind w:firstLine="540"/>
        <w:jc w:val="both"/>
      </w:pPr>
      <w:r>
        <w:rPr>
          <w:sz w:val="20"/>
        </w:rPr>
        <w:t xml:space="preserve">3. Состав и функциональные характеристики систем предотвращения пожаров на объекте защиты устанавливаются настоящим Федеральным законом. Правила и методы исследований (испытаний и измерений) характеристик систем предотвращения пожаров определяются в соответствии с нормативными документами по пожарной безопасности.</w:t>
      </w:r>
    </w:p>
    <w:p>
      <w:pPr>
        <w:pStyle w:val="0"/>
        <w:ind w:firstLine="540"/>
        <w:jc w:val="both"/>
      </w:pPr>
      <w:r>
        <w:rPr>
          <w:sz w:val="20"/>
        </w:rPr>
      </w:r>
    </w:p>
    <w:p>
      <w:pPr>
        <w:pStyle w:val="2"/>
        <w:outlineLvl w:val="3"/>
        <w:ind w:firstLine="540"/>
        <w:jc w:val="both"/>
      </w:pPr>
      <w:r>
        <w:rPr>
          <w:sz w:val="20"/>
        </w:rPr>
        <w:t xml:space="preserve">Статья 49. Способы исключения условий образования горючей среды</w:t>
      </w:r>
    </w:p>
    <w:p>
      <w:pPr>
        <w:pStyle w:val="0"/>
        <w:ind w:firstLine="540"/>
        <w:jc w:val="both"/>
      </w:pPr>
      <w:r>
        <w:rPr>
          <w:sz w:val="20"/>
        </w:rPr>
      </w:r>
    </w:p>
    <w:p>
      <w:pPr>
        <w:pStyle w:val="0"/>
        <w:ind w:firstLine="540"/>
        <w:jc w:val="both"/>
      </w:pPr>
      <w:r>
        <w:rPr>
          <w:sz w:val="20"/>
        </w:rPr>
        <w:t xml:space="preserve">Исключение условий образования горючей среды должно обеспечиваться одним или несколькими из следующих способов:</w:t>
      </w:r>
    </w:p>
    <w:p>
      <w:pPr>
        <w:pStyle w:val="0"/>
        <w:spacing w:before="200" w:line-rule="auto"/>
        <w:ind w:firstLine="540"/>
        <w:jc w:val="both"/>
      </w:pPr>
      <w:r>
        <w:rPr>
          <w:sz w:val="20"/>
        </w:rPr>
        <w:t xml:space="preserve">1) применение негорючих веществ и материалов;</w:t>
      </w:r>
    </w:p>
    <w:p>
      <w:pPr>
        <w:pStyle w:val="0"/>
        <w:spacing w:before="200" w:line-rule="auto"/>
        <w:ind w:firstLine="540"/>
        <w:jc w:val="both"/>
      </w:pPr>
      <w:r>
        <w:rPr>
          <w:sz w:val="20"/>
        </w:rPr>
        <w:t xml:space="preserve">2) ограничение массы и (или) объема горючих веществ и материалов;</w:t>
      </w:r>
    </w:p>
    <w:p>
      <w:pPr>
        <w:pStyle w:val="0"/>
        <w:spacing w:before="200" w:line-rule="auto"/>
        <w:ind w:firstLine="540"/>
        <w:jc w:val="both"/>
      </w:pPr>
      <w:r>
        <w:rPr>
          <w:sz w:val="20"/>
        </w:rPr>
        <w:t xml:space="preserve">3) использование наиболее безопасных способов размещения горючих веществ и материалов, а также материалов, взаимодействие которых друг с другом приводит к образованию горючей среды;</w:t>
      </w:r>
    </w:p>
    <w:p>
      <w:pPr>
        <w:pStyle w:val="0"/>
        <w:spacing w:before="200" w:line-rule="auto"/>
        <w:ind w:firstLine="540"/>
        <w:jc w:val="both"/>
      </w:pPr>
      <w:r>
        <w:rPr>
          <w:sz w:val="20"/>
        </w:rPr>
        <w:t xml:space="preserve">4) изоляция горючей среды от источников зажигания (применение изолированных отсеков, камер, кабин);</w:t>
      </w:r>
    </w:p>
    <w:p>
      <w:pPr>
        <w:pStyle w:val="0"/>
        <w:spacing w:before="200" w:line-rule="auto"/>
        <w:ind w:firstLine="540"/>
        <w:jc w:val="both"/>
      </w:pPr>
      <w:r>
        <w:rPr>
          <w:sz w:val="20"/>
        </w:rPr>
        <w:t xml:space="preserve">5) поддержание безопасной концентрации в среде окислителя и (или) горючих веществ;</w:t>
      </w:r>
    </w:p>
    <w:p>
      <w:pPr>
        <w:pStyle w:val="0"/>
        <w:spacing w:before="200" w:line-rule="auto"/>
        <w:ind w:firstLine="540"/>
        <w:jc w:val="both"/>
      </w:pPr>
      <w:r>
        <w:rPr>
          <w:sz w:val="20"/>
        </w:rPr>
        <w:t xml:space="preserve">6) понижение концентрации окислителя в горючей среде в защищаемом объеме;</w:t>
      </w:r>
    </w:p>
    <w:p>
      <w:pPr>
        <w:pStyle w:val="0"/>
        <w:spacing w:before="200" w:line-rule="auto"/>
        <w:ind w:firstLine="540"/>
        <w:jc w:val="both"/>
      </w:pPr>
      <w:r>
        <w:rPr>
          <w:sz w:val="20"/>
        </w:rPr>
        <w:t xml:space="preserve">7) поддержание температуры и давления среды, при которых распространение пламени исключается;</w:t>
      </w:r>
    </w:p>
    <w:p>
      <w:pPr>
        <w:pStyle w:val="0"/>
        <w:spacing w:before="200" w:line-rule="auto"/>
        <w:ind w:firstLine="540"/>
        <w:jc w:val="both"/>
      </w:pPr>
      <w:r>
        <w:rPr>
          <w:sz w:val="20"/>
        </w:rPr>
        <w:t xml:space="preserve">8) механизация и автоматизация технологических процессов, связанных с обращением горючих веществ;</w:t>
      </w:r>
    </w:p>
    <w:p>
      <w:pPr>
        <w:pStyle w:val="0"/>
        <w:spacing w:before="200" w:line-rule="auto"/>
        <w:ind w:firstLine="540"/>
        <w:jc w:val="both"/>
      </w:pPr>
      <w:r>
        <w:rPr>
          <w:sz w:val="20"/>
        </w:rPr>
        <w:t xml:space="preserve">9) установка пожароопасного оборудования в отдельных помещениях или на открытых площадках;</w:t>
      </w:r>
    </w:p>
    <w:p>
      <w:pPr>
        <w:pStyle w:val="0"/>
        <w:spacing w:before="200" w:line-rule="auto"/>
        <w:ind w:firstLine="540"/>
        <w:jc w:val="both"/>
      </w:pPr>
      <w:r>
        <w:rPr>
          <w:sz w:val="20"/>
        </w:rPr>
        <w:t xml:space="preserve">10) применение устройств защиты производственного оборудования, исключающих выход горючих веществ в объем помещения, или устройств, исключающих образование в помещении горючей среды;</w:t>
      </w:r>
    </w:p>
    <w:p>
      <w:pPr>
        <w:pStyle w:val="0"/>
        <w:spacing w:before="200" w:line-rule="auto"/>
        <w:ind w:firstLine="540"/>
        <w:jc w:val="both"/>
      </w:pPr>
      <w:r>
        <w:rPr>
          <w:sz w:val="20"/>
        </w:rPr>
        <w:t xml:space="preserve">11) удаление из помещений, технологического оборудования и коммуникаций пожароопасных отходов производства, отложений пыли, пуха.</w:t>
      </w:r>
    </w:p>
    <w:p>
      <w:pPr>
        <w:pStyle w:val="0"/>
        <w:ind w:firstLine="540"/>
        <w:jc w:val="both"/>
      </w:pPr>
      <w:r>
        <w:rPr>
          <w:sz w:val="20"/>
        </w:rPr>
      </w:r>
    </w:p>
    <w:p>
      <w:pPr>
        <w:pStyle w:val="2"/>
        <w:outlineLvl w:val="3"/>
        <w:ind w:firstLine="540"/>
        <w:jc w:val="both"/>
      </w:pPr>
      <w:r>
        <w:rPr>
          <w:sz w:val="20"/>
        </w:rPr>
        <w:t xml:space="preserve">Статья 50. Способы исключения условий образования в горючей среде (или внесения в нее) источников зажигания</w:t>
      </w:r>
    </w:p>
    <w:p>
      <w:pPr>
        <w:pStyle w:val="0"/>
        <w:ind w:firstLine="540"/>
        <w:jc w:val="both"/>
      </w:pPr>
      <w:r>
        <w:rPr>
          <w:sz w:val="20"/>
        </w:rPr>
      </w:r>
    </w:p>
    <w:p>
      <w:pPr>
        <w:pStyle w:val="0"/>
        <w:ind w:firstLine="540"/>
        <w:jc w:val="both"/>
      </w:pPr>
      <w:r>
        <w:rPr>
          <w:sz w:val="20"/>
        </w:rPr>
        <w:t xml:space="preserve">1. Исключение условий образования в горючей среде (или внесения в нее) источников зажигания должно достигаться одним или несколькими из следующих способов:</w:t>
      </w:r>
    </w:p>
    <w:p>
      <w:pPr>
        <w:pStyle w:val="0"/>
        <w:spacing w:before="200" w:line-rule="auto"/>
        <w:ind w:firstLine="540"/>
        <w:jc w:val="both"/>
      </w:pPr>
      <w:r>
        <w:rPr>
          <w:sz w:val="20"/>
        </w:rPr>
        <w:t xml:space="preserve">1) применение электрооборудования, соответствующего классу пожароопасной и (или) взрывоопасной зоны, категории и группе взрывоопасной смеси;</w:t>
      </w:r>
    </w:p>
    <w:p>
      <w:pPr>
        <w:pStyle w:val="0"/>
        <w:spacing w:before="200" w:line-rule="auto"/>
        <w:ind w:firstLine="540"/>
        <w:jc w:val="both"/>
      </w:pPr>
      <w:r>
        <w:rPr>
          <w:sz w:val="20"/>
        </w:rPr>
        <w:t xml:space="preserve">2) применение в конструкции быстродействующих средств защитного отключения электроустановок или других устройств, исключающих появление источников зажигания;</w:t>
      </w:r>
    </w:p>
    <w:p>
      <w:pPr>
        <w:pStyle w:val="0"/>
        <w:jc w:val="both"/>
      </w:pPr>
      <w:r>
        <w:rPr>
          <w:sz w:val="20"/>
        </w:rPr>
        <w:t xml:space="preserve">(п. 2 в ред. Федерального </w:t>
      </w:r>
      <w:hyperlink w:history="0" r:id="rId17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применение оборудования и режимов проведения технологического процесса с защитой от статического электричества;</w:t>
      </w:r>
    </w:p>
    <w:p>
      <w:pPr>
        <w:pStyle w:val="0"/>
        <w:jc w:val="both"/>
      </w:pPr>
      <w:r>
        <w:rPr>
          <w:sz w:val="20"/>
        </w:rPr>
        <w:t xml:space="preserve">(в ред. Федерального </w:t>
      </w:r>
      <w:hyperlink w:history="0" r:id="rId177"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29.07.2017 N 244-ФЗ)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 </w:t>
            </w:r>
            <w:hyperlink w:history="0" r:id="rId178" w:tooltip="Приказ Минэнерго РФ от 30.06.2003 N 280 &quot;Об утверждении Инструкции по устройству молниезащиты зданий, сооружений и промышленных коммуникаций&quot; {КонсультантПлюс}">
              <w:r>
                <w:rPr>
                  <w:sz w:val="20"/>
                  <w:color w:val="0000ff"/>
                </w:rPr>
                <w:t xml:space="preserve">Инструкцию</w:t>
              </w:r>
            </w:hyperlink>
            <w:r>
              <w:rPr>
                <w:sz w:val="20"/>
                <w:color w:val="392c69"/>
              </w:rPr>
              <w:t xml:space="preserve"> по устройству молниезащиты зданий, сооружений и промышленных коммуникаций, утв. Приказом Минэнерго РФ от 30.06.2003 N 280.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устройство молниезащиты зданий, сооружений и оборудования;</w:t>
      </w:r>
    </w:p>
    <w:p>
      <w:pPr>
        <w:pStyle w:val="0"/>
        <w:jc w:val="both"/>
      </w:pPr>
      <w:r>
        <w:rPr>
          <w:sz w:val="20"/>
        </w:rPr>
        <w:t xml:space="preserve">(в ред. Федерального </w:t>
      </w:r>
      <w:hyperlink w:history="0" r:id="rId17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5) поддержание безопасной температуры нагрева веществ, материалов и поверхностей, которые контактируют с горючей средой;</w:t>
      </w:r>
    </w:p>
    <w:p>
      <w:pPr>
        <w:pStyle w:val="0"/>
        <w:spacing w:before="200" w:line-rule="auto"/>
        <w:ind w:firstLine="540"/>
        <w:jc w:val="both"/>
      </w:pPr>
      <w:r>
        <w:rPr>
          <w:sz w:val="20"/>
        </w:rPr>
        <w:t xml:space="preserve">6) применение способов и устройств ограничения энергии искрового разряда в горючей среде до безопасных значений;</w:t>
      </w:r>
    </w:p>
    <w:p>
      <w:pPr>
        <w:pStyle w:val="0"/>
        <w:spacing w:before="200" w:line-rule="auto"/>
        <w:ind w:firstLine="540"/>
        <w:jc w:val="both"/>
      </w:pPr>
      <w:r>
        <w:rPr>
          <w:sz w:val="20"/>
        </w:rPr>
        <w:t xml:space="preserve">7) применение искробезопасного инструмента при работе с легковоспламеняющимися жидкостями и горючими газами;</w:t>
      </w:r>
    </w:p>
    <w:p>
      <w:pPr>
        <w:pStyle w:val="0"/>
        <w:spacing w:before="200" w:line-rule="auto"/>
        <w:ind w:firstLine="540"/>
        <w:jc w:val="both"/>
      </w:pPr>
      <w:r>
        <w:rPr>
          <w:sz w:val="20"/>
        </w:rPr>
        <w:t xml:space="preserve">8) ликвидация условий для теплового, химического и (или) микробиологического самовозгорания обращающихся веществ, материалов и изделий;</w:t>
      </w:r>
    </w:p>
    <w:p>
      <w:pPr>
        <w:pStyle w:val="0"/>
        <w:spacing w:before="200" w:line-rule="auto"/>
        <w:ind w:firstLine="540"/>
        <w:jc w:val="both"/>
      </w:pPr>
      <w:r>
        <w:rPr>
          <w:sz w:val="20"/>
        </w:rPr>
        <w:t xml:space="preserve">9) исключение контакта с воздухом пирофорных веществ;</w:t>
      </w:r>
    </w:p>
    <w:p>
      <w:pPr>
        <w:pStyle w:val="0"/>
        <w:spacing w:before="200" w:line-rule="auto"/>
        <w:ind w:firstLine="540"/>
        <w:jc w:val="both"/>
      </w:pPr>
      <w:r>
        <w:rPr>
          <w:sz w:val="20"/>
        </w:rPr>
        <w:t xml:space="preserve">10) применение устройств, исключающих возможность распространения пламени из одного объема в смежный.</w:t>
      </w:r>
    </w:p>
    <w:p>
      <w:pPr>
        <w:pStyle w:val="0"/>
        <w:spacing w:before="200" w:line-rule="auto"/>
        <w:ind w:firstLine="540"/>
        <w:jc w:val="both"/>
      </w:pPr>
      <w:r>
        <w:rPr>
          <w:sz w:val="20"/>
        </w:rPr>
        <w:t xml:space="preserve">2. Безопасные значения параметров источников зажигания определяются условиями проведения технологического процесса на основании показателей пожарной опасности обращающихся в нем веществ и материалов, определенных в </w:t>
      </w:r>
      <w:hyperlink w:history="0" w:anchor="P217" w:tooltip="Статья 11. Показатели пожаровзрывоопасности и пожарной опасности веществ и материалов">
        <w:r>
          <w:rPr>
            <w:sz w:val="20"/>
            <w:color w:val="0000ff"/>
          </w:rPr>
          <w:t xml:space="preserve">статье 11</w:t>
        </w:r>
      </w:hyperlink>
      <w:r>
        <w:rPr>
          <w:sz w:val="20"/>
        </w:rPr>
        <w:t xml:space="preserve"> настоящего Федерального закона.</w:t>
      </w:r>
    </w:p>
    <w:p>
      <w:pPr>
        <w:pStyle w:val="0"/>
        <w:ind w:firstLine="540"/>
        <w:jc w:val="both"/>
      </w:pPr>
      <w:r>
        <w:rPr>
          <w:sz w:val="20"/>
        </w:rPr>
      </w:r>
    </w:p>
    <w:p>
      <w:pPr>
        <w:pStyle w:val="2"/>
        <w:outlineLvl w:val="2"/>
        <w:jc w:val="center"/>
      </w:pPr>
      <w:r>
        <w:rPr>
          <w:sz w:val="20"/>
        </w:rPr>
        <w:t xml:space="preserve">Глава 14. СИСТЕМЫ ПРОТИВОПОЖАРНОЙ ЗАЩИТЫ</w:t>
      </w:r>
    </w:p>
    <w:p>
      <w:pPr>
        <w:pStyle w:val="0"/>
        <w:jc w:val="center"/>
      </w:pPr>
      <w:r>
        <w:rPr>
          <w:sz w:val="20"/>
        </w:rPr>
      </w:r>
    </w:p>
    <w:p>
      <w:pPr>
        <w:pStyle w:val="2"/>
        <w:outlineLvl w:val="3"/>
        <w:ind w:firstLine="540"/>
        <w:jc w:val="both"/>
      </w:pPr>
      <w:r>
        <w:rPr>
          <w:sz w:val="20"/>
        </w:rPr>
        <w:t xml:space="preserve">Статья 51. Цель создания систем противопожарной защиты</w:t>
      </w:r>
    </w:p>
    <w:p>
      <w:pPr>
        <w:pStyle w:val="0"/>
        <w:ind w:firstLine="540"/>
        <w:jc w:val="both"/>
      </w:pPr>
      <w:r>
        <w:rPr>
          <w:sz w:val="20"/>
        </w:rPr>
      </w:r>
    </w:p>
    <w:p>
      <w:pPr>
        <w:pStyle w:val="0"/>
        <w:ind w:firstLine="540"/>
        <w:jc w:val="both"/>
      </w:pPr>
      <w:r>
        <w:rPr>
          <w:sz w:val="20"/>
        </w:rPr>
        <w:t xml:space="preserve">1. Целью создания систем противопожарной защиты является защита людей и имущества от воздействия опасных факторов пожара и (или) ограничение его последствий.</w:t>
      </w:r>
    </w:p>
    <w:p>
      <w:pPr>
        <w:pStyle w:val="0"/>
        <w:spacing w:before="200" w:line-rule="auto"/>
        <w:ind w:firstLine="540"/>
        <w:jc w:val="both"/>
      </w:pPr>
      <w:r>
        <w:rPr>
          <w:sz w:val="20"/>
        </w:rPr>
        <w:t xml:space="preserve">2. Защита людей и имущества от воздействия опасных факторов пожара и (или) ограничение его последствий обеспечиваются снижением динамики нарастания опасных факторов пожара, эвакуацией людей и имущества в безопасную зону и (или) тушением пожара.</w:t>
      </w:r>
    </w:p>
    <w:p>
      <w:pPr>
        <w:pStyle w:val="0"/>
        <w:spacing w:before="200" w:line-rule="auto"/>
        <w:ind w:firstLine="540"/>
        <w:jc w:val="both"/>
      </w:pPr>
      <w:r>
        <w:rPr>
          <w:sz w:val="20"/>
        </w:rPr>
        <w:t xml:space="preserve">3. Системы противопожарной защиты должны обладать надежностью и устойчивостью к воздействию опасных факторов пожара в течение времени, необходимого для достижения целей обеспечения пожарной безопасности.</w:t>
      </w:r>
    </w:p>
    <w:p>
      <w:pPr>
        <w:pStyle w:val="0"/>
        <w:spacing w:before="200" w:line-rule="auto"/>
        <w:ind w:firstLine="540"/>
        <w:jc w:val="both"/>
      </w:pPr>
      <w:r>
        <w:rPr>
          <w:sz w:val="20"/>
        </w:rPr>
        <w:t xml:space="preserve">4. Состав и функциональные характеристики систем противопожарной защиты объектов устанавливаются нормативными документами по пожарной безопасности.</w:t>
      </w:r>
    </w:p>
    <w:p>
      <w:pPr>
        <w:pStyle w:val="0"/>
        <w:ind w:firstLine="540"/>
        <w:jc w:val="both"/>
      </w:pPr>
      <w:r>
        <w:rPr>
          <w:sz w:val="20"/>
        </w:rPr>
      </w:r>
    </w:p>
    <w:p>
      <w:pPr>
        <w:pStyle w:val="2"/>
        <w:outlineLvl w:val="3"/>
        <w:ind w:firstLine="540"/>
        <w:jc w:val="both"/>
      </w:pPr>
      <w:r>
        <w:rPr>
          <w:sz w:val="20"/>
        </w:rPr>
        <w:t xml:space="preserve">Статья 52. Способы защиты людей и имущества от воздействия опасных факторов пожара</w:t>
      </w:r>
    </w:p>
    <w:p>
      <w:pPr>
        <w:pStyle w:val="0"/>
        <w:ind w:firstLine="540"/>
        <w:jc w:val="both"/>
      </w:pPr>
      <w:r>
        <w:rPr>
          <w:sz w:val="20"/>
        </w:rPr>
      </w:r>
    </w:p>
    <w:p>
      <w:pPr>
        <w:pStyle w:val="0"/>
        <w:ind w:firstLine="540"/>
        <w:jc w:val="both"/>
      </w:pPr>
      <w:r>
        <w:rPr>
          <w:sz w:val="20"/>
        </w:rPr>
        <w:t xml:space="preserve">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w:t>
      </w:r>
    </w:p>
    <w:p>
      <w:pPr>
        <w:pStyle w:val="0"/>
        <w:spacing w:before="200" w:line-rule="auto"/>
        <w:ind w:firstLine="540"/>
        <w:jc w:val="both"/>
      </w:pPr>
      <w:r>
        <w:rPr>
          <w:sz w:val="20"/>
        </w:rPr>
        <w:t xml:space="preserve">1) применение объемно-планировочных решений и средств, обеспечивающих ограничение распространения пожара за пределы очага;</w:t>
      </w:r>
    </w:p>
    <w:p>
      <w:pPr>
        <w:pStyle w:val="0"/>
        <w:spacing w:before="200" w:line-rule="auto"/>
        <w:ind w:firstLine="540"/>
        <w:jc w:val="both"/>
      </w:pPr>
      <w:r>
        <w:rPr>
          <w:sz w:val="20"/>
        </w:rPr>
        <w:t xml:space="preserve">2) устройство эвакуационных путей, удовлетворяющих требованиям безопасной эвакуации людей при пожаре;</w:t>
      </w:r>
    </w:p>
    <w:p>
      <w:pPr>
        <w:pStyle w:val="0"/>
        <w:spacing w:before="200" w:line-rule="auto"/>
        <w:ind w:firstLine="540"/>
        <w:jc w:val="both"/>
      </w:pPr>
      <w:r>
        <w:rPr>
          <w:sz w:val="20"/>
        </w:rPr>
        <w:t xml:space="preserve">3) устройство систем обнаружения пожара (установок и систем пожарной сигнализации), оповещения и управления эвакуацией людей при пожаре;</w:t>
      </w:r>
    </w:p>
    <w:p>
      <w:pPr>
        <w:pStyle w:val="0"/>
        <w:spacing w:before="200" w:line-rule="auto"/>
        <w:ind w:firstLine="540"/>
        <w:jc w:val="both"/>
      </w:pPr>
      <w:r>
        <w:rPr>
          <w:sz w:val="20"/>
        </w:rPr>
        <w:t xml:space="preserve">4) применение систем коллективной защиты (в том числе противодымной) и средств индивидуальной защиты людей от воздействия опасных факторов пожара;</w:t>
      </w:r>
    </w:p>
    <w:p>
      <w:pPr>
        <w:pStyle w:val="0"/>
        <w:spacing w:before="200" w:line-rule="auto"/>
        <w:ind w:firstLine="540"/>
        <w:jc w:val="both"/>
      </w:pPr>
      <w:r>
        <w:rPr>
          <w:sz w:val="20"/>
        </w:rPr>
        <w:t xml:space="preserve">5) 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и сооружений,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p>
    <w:p>
      <w:pPr>
        <w:pStyle w:val="0"/>
        <w:jc w:val="both"/>
      </w:pPr>
      <w:r>
        <w:rPr>
          <w:sz w:val="20"/>
        </w:rPr>
        <w:t xml:space="preserve">(в ред. Федерального </w:t>
      </w:r>
      <w:hyperlink w:history="0" r:id="rId18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6) применение огнезащитных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конструкций;</w:t>
      </w:r>
    </w:p>
    <w:p>
      <w:pPr>
        <w:pStyle w:val="0"/>
        <w:spacing w:before="200" w:line-rule="auto"/>
        <w:ind w:firstLine="540"/>
        <w:jc w:val="both"/>
      </w:pPr>
      <w:r>
        <w:rPr>
          <w:sz w:val="20"/>
        </w:rPr>
        <w:t xml:space="preserve">7) устройство аварийного слива пожароопасных жидкостей и аварийного стравливания горючих газов из аппаратуры;</w:t>
      </w:r>
    </w:p>
    <w:p>
      <w:pPr>
        <w:pStyle w:val="0"/>
        <w:spacing w:before="200" w:line-rule="auto"/>
        <w:ind w:firstLine="540"/>
        <w:jc w:val="both"/>
      </w:pPr>
      <w:r>
        <w:rPr>
          <w:sz w:val="20"/>
        </w:rPr>
        <w:t xml:space="preserve">8) устройство на технологическом оборудовании систем противовзрывной защиты;</w:t>
      </w:r>
    </w:p>
    <w:p>
      <w:pPr>
        <w:pStyle w:val="0"/>
        <w:spacing w:before="200" w:line-rule="auto"/>
        <w:ind w:firstLine="540"/>
        <w:jc w:val="both"/>
      </w:pPr>
      <w:r>
        <w:rPr>
          <w:sz w:val="20"/>
        </w:rPr>
        <w:t xml:space="preserve">9) применение первичных средств пожаротушения;</w:t>
      </w:r>
    </w:p>
    <w:p>
      <w:pPr>
        <w:pStyle w:val="0"/>
        <w:spacing w:before="200" w:line-rule="auto"/>
        <w:ind w:firstLine="540"/>
        <w:jc w:val="both"/>
      </w:pPr>
      <w:r>
        <w:rPr>
          <w:sz w:val="20"/>
        </w:rPr>
        <w:t xml:space="preserve">10) применение автоматических и (или) автономных установок пожаротушения;</w:t>
      </w:r>
    </w:p>
    <w:p>
      <w:pPr>
        <w:pStyle w:val="0"/>
        <w:jc w:val="both"/>
      </w:pPr>
      <w:r>
        <w:rPr>
          <w:sz w:val="20"/>
        </w:rPr>
        <w:t xml:space="preserve">(в ред. Федерального </w:t>
      </w:r>
      <w:hyperlink w:history="0" r:id="rId18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11) организация деятельности подразделений пожарной охраны.</w:t>
      </w:r>
    </w:p>
    <w:p>
      <w:pPr>
        <w:pStyle w:val="0"/>
        <w:ind w:firstLine="540"/>
        <w:jc w:val="both"/>
      </w:pPr>
      <w:r>
        <w:rPr>
          <w:sz w:val="20"/>
        </w:rPr>
      </w:r>
    </w:p>
    <w:p>
      <w:pPr>
        <w:pStyle w:val="2"/>
        <w:outlineLvl w:val="3"/>
        <w:ind w:firstLine="540"/>
        <w:jc w:val="both"/>
      </w:pPr>
      <w:r>
        <w:rPr>
          <w:sz w:val="20"/>
        </w:rPr>
        <w:t xml:space="preserve">Статья 53. Пути эвакуации людей при пожаре</w:t>
      </w:r>
    </w:p>
    <w:p>
      <w:pPr>
        <w:pStyle w:val="0"/>
        <w:ind w:firstLine="540"/>
        <w:jc w:val="both"/>
      </w:pPr>
      <w:r>
        <w:rPr>
          <w:sz w:val="20"/>
        </w:rPr>
      </w:r>
    </w:p>
    <w:p>
      <w:pPr>
        <w:pStyle w:val="0"/>
        <w:ind w:firstLine="540"/>
        <w:jc w:val="both"/>
      </w:pPr>
      <w:r>
        <w:rPr>
          <w:sz w:val="20"/>
        </w:rPr>
        <w:t xml:space="preserve">1. Каждое здание или сооружение должно иметь объемно-планировочное решение и конструктивное исполнение эвакуационных путей, обеспечивающие безопасную эвакуацию людей при пожаре. При невозможности безопасной эвакуации людей должна быть обеспечена их защита посредством применения систем коллективной защиты.</w:t>
      </w:r>
    </w:p>
    <w:p>
      <w:pPr>
        <w:pStyle w:val="0"/>
        <w:jc w:val="both"/>
      </w:pPr>
      <w:r>
        <w:rPr>
          <w:sz w:val="20"/>
        </w:rPr>
        <w:t xml:space="preserve">(в ред. Федерального </w:t>
      </w:r>
      <w:hyperlink w:history="0" r:id="rId18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Для обеспечения безопасной эвакуации людей должны быть:</w:t>
      </w:r>
    </w:p>
    <w:p>
      <w:pPr>
        <w:pStyle w:val="0"/>
        <w:spacing w:before="200" w:line-rule="auto"/>
        <w:ind w:firstLine="540"/>
        <w:jc w:val="both"/>
      </w:pPr>
      <w:r>
        <w:rPr>
          <w:sz w:val="20"/>
        </w:rPr>
        <w:t xml:space="preserve">1) установлены необходимое количество, размеры и соответствующее конструктивное исполнение эвакуационных путей и эвакуационных выходов;</w:t>
      </w:r>
    </w:p>
    <w:p>
      <w:pPr>
        <w:pStyle w:val="0"/>
        <w:spacing w:before="200" w:line-rule="auto"/>
        <w:ind w:firstLine="540"/>
        <w:jc w:val="both"/>
      </w:pPr>
      <w:r>
        <w:rPr>
          <w:sz w:val="20"/>
        </w:rPr>
        <w:t xml:space="preserve">2) обеспечено беспрепятственное движение людей по эвакуационным путям и через эвакуационные выходы;</w:t>
      </w:r>
    </w:p>
    <w:p>
      <w:pPr>
        <w:pStyle w:val="0"/>
        <w:spacing w:before="200" w:line-rule="auto"/>
        <w:ind w:firstLine="540"/>
        <w:jc w:val="both"/>
      </w:pPr>
      <w:r>
        <w:rPr>
          <w:sz w:val="20"/>
        </w:rPr>
        <w:t xml:space="preserve">3) организованы оповещение и управление движением людей по эвакуационным путям (в том числе с использованием световых указателей, звукового и речевого оповещения).</w:t>
      </w:r>
    </w:p>
    <w:p>
      <w:pPr>
        <w:pStyle w:val="0"/>
        <w:spacing w:before="200" w:line-rule="auto"/>
        <w:ind w:firstLine="540"/>
        <w:jc w:val="both"/>
      </w:pPr>
      <w:r>
        <w:rPr>
          <w:sz w:val="20"/>
        </w:rPr>
        <w:t xml:space="preserve">3. Безопасная эвакуация людей из зданий и сооружений при пожаре считается обеспеченной, если интервал времени от момента обнаружения пожара до завершения процесса эвакуации людей в безопасную зону не превышает необходимого времени эвакуации людей при пожаре.</w:t>
      </w:r>
    </w:p>
    <w:p>
      <w:pPr>
        <w:pStyle w:val="0"/>
        <w:jc w:val="both"/>
      </w:pPr>
      <w:r>
        <w:rPr>
          <w:sz w:val="20"/>
        </w:rPr>
        <w:t xml:space="preserve">(в ред. Федерального </w:t>
      </w:r>
      <w:hyperlink w:history="0" r:id="rId18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4. </w:t>
      </w:r>
      <w:hyperlink w:history="0" r:id="rId184" w:tooltip="Приказ МЧС России от 19.03.2020 N 194 &quot;Об утверждении свода правил СП 1.13130 &quot;Системы противопожарной защиты. Эвакуационные пути и выходы&quot; (вместе с &quot;СП 1.13130.2020 Свод правил...&quot;) {КонсультантПлюс}">
        <w:r>
          <w:rPr>
            <w:sz w:val="20"/>
            <w:color w:val="0000ff"/>
          </w:rPr>
          <w:t xml:space="preserve">Методы</w:t>
        </w:r>
      </w:hyperlink>
      <w:r>
        <w:rPr>
          <w:sz w:val="20"/>
        </w:rPr>
        <w:t xml:space="preserve"> определения необходимого и расчетного времени, а также условий беспрепятственной и своевременной эвакуации людей определяются нормативными документами по пожарной безопасности.</w:t>
      </w:r>
    </w:p>
    <w:p>
      <w:pPr>
        <w:pStyle w:val="0"/>
        <w:ind w:firstLine="540"/>
        <w:jc w:val="both"/>
      </w:pPr>
      <w:r>
        <w:rPr>
          <w:sz w:val="20"/>
        </w:rPr>
      </w:r>
    </w:p>
    <w:p>
      <w:pPr>
        <w:pStyle w:val="2"/>
        <w:outlineLvl w:val="3"/>
        <w:ind w:firstLine="540"/>
        <w:jc w:val="both"/>
      </w:pPr>
      <w:r>
        <w:rPr>
          <w:sz w:val="20"/>
        </w:rPr>
        <w:t xml:space="preserve">Статья 54. Системы обнаружения пожара, оповещения и управления эвакуацией людей при пожаре</w:t>
      </w:r>
    </w:p>
    <w:p>
      <w:pPr>
        <w:pStyle w:val="0"/>
        <w:ind w:firstLine="540"/>
        <w:jc w:val="both"/>
      </w:pPr>
      <w:r>
        <w:rPr>
          <w:sz w:val="20"/>
        </w:rPr>
      </w:r>
    </w:p>
    <w:p>
      <w:pPr>
        <w:pStyle w:val="0"/>
        <w:ind w:firstLine="540"/>
        <w:jc w:val="both"/>
      </w:pPr>
      <w:r>
        <w:rPr>
          <w:sz w:val="20"/>
        </w:rPr>
        <w:t xml:space="preserve">1. Системы обнаружения пожара (установки и системы пожарной сигнализации), </w:t>
      </w:r>
      <w:hyperlink w:history="0" r:id="rId185" w:tooltip="&quot;СП 3.13130.2009. Свод правил. Системы противопожарной защиты. Система оповещения и управления эвакуацией людей при пожаре. Требования пожарной безопасности&quot; (утв. Приказом МЧС РФ от 25.03.2009 N 173) {КонсультантПлюс}">
        <w:r>
          <w:rPr>
            <w:sz w:val="20"/>
            <w:color w:val="0000ff"/>
          </w:rPr>
          <w:t xml:space="preserve">оповещения и управления</w:t>
        </w:r>
      </w:hyperlink>
      <w:r>
        <w:rPr>
          <w:sz w:val="20"/>
        </w:rPr>
        <w:t xml:space="preserve"> эвакуацией людей при пожаре должны обеспечивать автоматическое обнаружение пожара за время, необходимое для включения систем оповещения о пожаре в целях организации безопасной (с учетом допустимого пожарного риска) эвакуации людей в условиях конкретного объекта.</w:t>
      </w:r>
    </w:p>
    <w:p>
      <w:pPr>
        <w:pStyle w:val="0"/>
        <w:spacing w:before="200" w:line-rule="auto"/>
        <w:ind w:firstLine="540"/>
        <w:jc w:val="both"/>
      </w:pPr>
      <w:r>
        <w:rPr>
          <w:sz w:val="20"/>
        </w:rPr>
        <w:t xml:space="preserve">2. Системы пожарной сигнализации, оповещения и управления эвакуацией людей при пожаре должны быть установлены на объектах, где воздействие опасных факторов пожара может привести к травматизму и (или) гибели людей. </w:t>
      </w:r>
      <w:hyperlink w:history="0" r:id="rId186" w:tooltip="&quot;СП 3.13130.2009. Свод правил. Системы противопожарной защиты. Система оповещения и управления эвакуацией людей при пожаре. Требования пожарной безопасности&quot; (утв. Приказом МЧС РФ от 25.03.2009 N 173) {КонсультантПлюс}">
        <w:r>
          <w:rPr>
            <w:sz w:val="20"/>
            <w:color w:val="0000ff"/>
          </w:rPr>
          <w:t xml:space="preserve">Перечень</w:t>
        </w:r>
      </w:hyperlink>
      <w:r>
        <w:rPr>
          <w:sz w:val="20"/>
        </w:rPr>
        <w:t xml:space="preserve"> объектов, подлежащих оснащению указанными системами, устанавливается нормативными документами по пожарной безопасности.</w:t>
      </w:r>
    </w:p>
    <w:p>
      <w:pPr>
        <w:pStyle w:val="0"/>
        <w:jc w:val="both"/>
      </w:pPr>
      <w:r>
        <w:rPr>
          <w:sz w:val="20"/>
        </w:rPr>
        <w:t xml:space="preserve">(в ред. Федерального </w:t>
      </w:r>
      <w:hyperlink w:history="0" r:id="rId18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55. Системы коллективной защиты людей от опасных факторов пожара</w:t>
      </w:r>
    </w:p>
    <w:p>
      <w:pPr>
        <w:pStyle w:val="0"/>
        <w:jc w:val="both"/>
      </w:pPr>
      <w:r>
        <w:rPr>
          <w:sz w:val="20"/>
        </w:rPr>
        <w:t xml:space="preserve">(в ред. Федерального </w:t>
      </w:r>
      <w:hyperlink w:history="0" r:id="rId18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ind w:firstLine="540"/>
        <w:jc w:val="both"/>
      </w:pPr>
      <w:r>
        <w:rPr>
          <w:sz w:val="20"/>
        </w:rPr>
      </w:r>
    </w:p>
    <w:p>
      <w:pPr>
        <w:pStyle w:val="0"/>
        <w:ind w:firstLine="540"/>
        <w:jc w:val="both"/>
      </w:pPr>
      <w:r>
        <w:rPr>
          <w:sz w:val="20"/>
        </w:rPr>
        <w:t xml:space="preserve">1. Системы коллективной защиты людей от воздействия опасных факторов пожара должны обеспечивать безопасность людей в течение всего времени воздействия на них опасных факторов пожара.</w:t>
      </w:r>
    </w:p>
    <w:p>
      <w:pPr>
        <w:pStyle w:val="0"/>
        <w:jc w:val="both"/>
      </w:pPr>
      <w:r>
        <w:rPr>
          <w:sz w:val="20"/>
        </w:rPr>
        <w:t xml:space="preserve">(в ред. Федерального </w:t>
      </w:r>
      <w:hyperlink w:history="0" r:id="rId18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 Системы коллективной защиты людей должны обеспечивать их безопасность в течение всего времени развития и тушения пожара или времени, необходимого для эвакуации людей в безопасную зону. Безопасность людей в этом случае должна достигаться посредством объемно-планировочных и конструктивных решений безопасных зон в зданиях и сооружениях (в том числе посредством устройства незадымляемых лестничных клеток), а также посредством использования технических средств защиты людей на путях эвакуации от воздействия опасных факторов пожара (в том числе средств противодымной защиты).</w:t>
      </w:r>
    </w:p>
    <w:p>
      <w:pPr>
        <w:pStyle w:val="0"/>
        <w:jc w:val="both"/>
      </w:pPr>
      <w:r>
        <w:rPr>
          <w:sz w:val="20"/>
        </w:rPr>
        <w:t xml:space="preserve">(в ред. Федерального </w:t>
      </w:r>
      <w:hyperlink w:history="0" r:id="rId19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Утратил силу. - Федеральный </w:t>
      </w:r>
      <w:hyperlink w:history="0" r:id="rId19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ind w:firstLine="540"/>
        <w:jc w:val="both"/>
      </w:pPr>
      <w:r>
        <w:rPr>
          <w:sz w:val="20"/>
        </w:rPr>
      </w:r>
    </w:p>
    <w:p>
      <w:pPr>
        <w:pStyle w:val="2"/>
        <w:outlineLvl w:val="3"/>
        <w:ind w:firstLine="540"/>
        <w:jc w:val="both"/>
      </w:pPr>
      <w:r>
        <w:rPr>
          <w:sz w:val="20"/>
        </w:rPr>
        <w:t xml:space="preserve">Статья 56. Система противодымной защиты</w:t>
      </w:r>
    </w:p>
    <w:p>
      <w:pPr>
        <w:pStyle w:val="0"/>
        <w:ind w:firstLine="540"/>
        <w:jc w:val="both"/>
      </w:pPr>
      <w:r>
        <w:rPr>
          <w:sz w:val="20"/>
        </w:rPr>
      </w:r>
    </w:p>
    <w:p>
      <w:pPr>
        <w:pStyle w:val="0"/>
        <w:ind w:firstLine="540"/>
        <w:jc w:val="both"/>
      </w:pPr>
      <w:r>
        <w:rPr>
          <w:sz w:val="20"/>
        </w:rPr>
        <w:t xml:space="preserve">1. Система противодымной защиты здания, сооружения должна обеспечивать защиту людей на путях эвакуации и в безопасных зонах от воздействия опасных факторов пожара в течение времени, необходимого для эвакуации людей в безопасную зону, или всего времени развития и тушения пожара посредством удаления продуктов горения и термического разложения и (или) предотвращения их распространения.</w:t>
      </w:r>
    </w:p>
    <w:p>
      <w:pPr>
        <w:pStyle w:val="0"/>
        <w:jc w:val="both"/>
      </w:pPr>
      <w:r>
        <w:rPr>
          <w:sz w:val="20"/>
        </w:rPr>
        <w:t xml:space="preserve">(в ред. Федерального </w:t>
      </w:r>
      <w:hyperlink w:history="0" r:id="rId19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Система противодымной защиты должна предусматривать один или несколько из следующих способов защиты:</w:t>
      </w:r>
    </w:p>
    <w:p>
      <w:pPr>
        <w:pStyle w:val="0"/>
        <w:spacing w:before="200" w:line-rule="auto"/>
        <w:ind w:firstLine="540"/>
        <w:jc w:val="both"/>
      </w:pPr>
      <w:r>
        <w:rPr>
          <w:sz w:val="20"/>
        </w:rPr>
        <w:t xml:space="preserve">1) использование объемно-планировочных решений зданий и сооружений для борьбы с задымлением при пожаре;</w:t>
      </w:r>
    </w:p>
    <w:p>
      <w:pPr>
        <w:pStyle w:val="0"/>
        <w:jc w:val="both"/>
      </w:pPr>
      <w:r>
        <w:rPr>
          <w:sz w:val="20"/>
        </w:rPr>
        <w:t xml:space="preserve">(в ред. Федерального </w:t>
      </w:r>
      <w:hyperlink w:history="0" r:id="rId19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использование конструктивных решений зданий и сооружений для борьбы с задымлением при пожаре;</w:t>
      </w:r>
    </w:p>
    <w:p>
      <w:pPr>
        <w:pStyle w:val="0"/>
        <w:jc w:val="both"/>
      </w:pPr>
      <w:r>
        <w:rPr>
          <w:sz w:val="20"/>
        </w:rPr>
        <w:t xml:space="preserve">(в ред. Федерального </w:t>
      </w:r>
      <w:hyperlink w:history="0" r:id="rId19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использование приточной противодымной вентиляции для создания избыточного давления воздуха в защищаемых помещениях, тамбур-шлюзах и на лестничных клетках;</w:t>
      </w:r>
    </w:p>
    <w:p>
      <w:pPr>
        <w:pStyle w:val="0"/>
        <w:spacing w:before="200" w:line-rule="auto"/>
        <w:ind w:firstLine="540"/>
        <w:jc w:val="both"/>
      </w:pPr>
      <w:r>
        <w:rPr>
          <w:sz w:val="20"/>
        </w:rPr>
        <w:t xml:space="preserve">4) использование устройств и средств механической и естественной вытяжной противодымной вентиляции для удаления продуктов горения и термического разложения.</w:t>
      </w:r>
    </w:p>
    <w:p>
      <w:pPr>
        <w:pStyle w:val="0"/>
        <w:ind w:firstLine="540"/>
        <w:jc w:val="both"/>
      </w:pPr>
      <w:r>
        <w:rPr>
          <w:sz w:val="20"/>
        </w:rPr>
      </w:r>
    </w:p>
    <w:p>
      <w:pPr>
        <w:pStyle w:val="2"/>
        <w:outlineLvl w:val="3"/>
        <w:ind w:firstLine="540"/>
        <w:jc w:val="both"/>
      </w:pPr>
      <w:r>
        <w:rPr>
          <w:sz w:val="20"/>
        </w:rPr>
        <w:t xml:space="preserve">Статья 57. Огнестойкость и пожарная опасность зданий и сооружений</w:t>
      </w:r>
    </w:p>
    <w:p>
      <w:pPr>
        <w:pStyle w:val="0"/>
        <w:jc w:val="both"/>
      </w:pPr>
      <w:r>
        <w:rPr>
          <w:sz w:val="20"/>
        </w:rPr>
        <w:t xml:space="preserve">(в ред. Федерального </w:t>
      </w:r>
      <w:hyperlink w:history="0" r:id="rId19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В зданиях и сооружениях должны применяться основные строительные конструкции с пределами огнестойкости и классами пожарной опасности, соответствующими требуемым степени огнестойкости зданий, сооружений и классу их конструктивной пожарной опасности.</w:t>
      </w:r>
    </w:p>
    <w:p>
      <w:pPr>
        <w:pStyle w:val="0"/>
        <w:jc w:val="both"/>
      </w:pPr>
      <w:r>
        <w:rPr>
          <w:sz w:val="20"/>
        </w:rPr>
        <w:t xml:space="preserve">(в ред. Федерального </w:t>
      </w:r>
      <w:hyperlink w:history="0" r:id="rId19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w:t>
      </w:r>
      <w:hyperlink w:history="0" r:id="rId197" w:tooltip="Приказ МЧС России от 12.03.2020 N 151 &quot;Об утверждении свода правил СП 2.13130 &quot;Системы противопожарной защиты. Обеспечение огнестойкости объектов защиты&quot; (вместе с &quot;СП 2.13130.2020. Свод правил. Системы противопожарной защиты. Обеспечение огнестойкости объектов защиты&quot;) {КонсультантПлюс}">
        <w:r>
          <w:rPr>
            <w:sz w:val="20"/>
            <w:color w:val="0000ff"/>
          </w:rPr>
          <w:t xml:space="preserve">Требуемые</w:t>
        </w:r>
      </w:hyperlink>
      <w:r>
        <w:rPr>
          <w:sz w:val="20"/>
        </w:rPr>
        <w:t xml:space="preserve"> степень огнестойкости зданий, сооружений и класс их конструктивной пожарной опасности устанавливаются нормативными документами по пожарной безопасности.</w:t>
      </w:r>
    </w:p>
    <w:p>
      <w:pPr>
        <w:pStyle w:val="0"/>
        <w:jc w:val="both"/>
      </w:pPr>
      <w:r>
        <w:rPr>
          <w:sz w:val="20"/>
        </w:rPr>
        <w:t xml:space="preserve">(в ред. Федерального </w:t>
      </w:r>
      <w:hyperlink w:history="0" r:id="rId19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58. Огнестойкость и пожарная опасность строительных конструкций</w:t>
      </w:r>
    </w:p>
    <w:p>
      <w:pPr>
        <w:pStyle w:val="0"/>
        <w:ind w:firstLine="540"/>
        <w:jc w:val="both"/>
      </w:pPr>
      <w:r>
        <w:rPr>
          <w:sz w:val="20"/>
        </w:rPr>
      </w:r>
    </w:p>
    <w:p>
      <w:pPr>
        <w:pStyle w:val="0"/>
        <w:ind w:firstLine="540"/>
        <w:jc w:val="both"/>
      </w:pPr>
      <w:r>
        <w:rPr>
          <w:sz w:val="20"/>
        </w:rPr>
        <w:t xml:space="preserve">1. Огнестойкость и класс пожарной опасности строительных конструкций должны обеспечиваться за счет их конструктивных решений, применения соответствующих строительных материалов, а также использования средств огнезащиты.</w:t>
      </w:r>
    </w:p>
    <w:p>
      <w:pPr>
        <w:pStyle w:val="0"/>
        <w:spacing w:before="200" w:line-rule="auto"/>
        <w:ind w:firstLine="540"/>
        <w:jc w:val="both"/>
      </w:pPr>
      <w:r>
        <w:rPr>
          <w:sz w:val="20"/>
        </w:rPr>
        <w:t xml:space="preserve">2. Требуемые пределы огнестойкости строительных конструкций, выбираемые в зависимости от степени огнестойкости зданий и сооружений, приведены в </w:t>
      </w:r>
      <w:hyperlink w:history="0" w:anchor="P2943" w:tooltip="Соответствие степени огнестойкости и предела огнестойкости">
        <w:r>
          <w:rPr>
            <w:sz w:val="20"/>
            <w:color w:val="0000ff"/>
          </w:rPr>
          <w:t xml:space="preserve">таблице 21</w:t>
        </w:r>
      </w:hyperlink>
      <w:r>
        <w:rPr>
          <w:sz w:val="20"/>
        </w:rPr>
        <w:t xml:space="preserve"> приложения к настоящему Федеральному закону.</w:t>
      </w:r>
    </w:p>
    <w:p>
      <w:pPr>
        <w:pStyle w:val="0"/>
        <w:jc w:val="both"/>
      </w:pPr>
      <w:r>
        <w:rPr>
          <w:sz w:val="20"/>
        </w:rPr>
        <w:t xml:space="preserve">(в ред. Федерального </w:t>
      </w:r>
      <w:hyperlink w:history="0" r:id="rId19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59. Ограничение распространения пожара за пределы очага</w:t>
      </w:r>
    </w:p>
    <w:p>
      <w:pPr>
        <w:pStyle w:val="0"/>
        <w:ind w:firstLine="540"/>
        <w:jc w:val="both"/>
      </w:pPr>
      <w:r>
        <w:rPr>
          <w:sz w:val="20"/>
        </w:rPr>
      </w:r>
    </w:p>
    <w:p>
      <w:pPr>
        <w:pStyle w:val="0"/>
        <w:ind w:firstLine="540"/>
        <w:jc w:val="both"/>
      </w:pPr>
      <w:r>
        <w:rPr>
          <w:sz w:val="20"/>
        </w:rPr>
        <w:t xml:space="preserve">Ограничение распространения пожара за пределы очага должно обеспечиваться одним или несколькими из следующих способов:</w:t>
      </w:r>
    </w:p>
    <w:p>
      <w:pPr>
        <w:pStyle w:val="0"/>
        <w:spacing w:before="200" w:line-rule="auto"/>
        <w:ind w:firstLine="540"/>
        <w:jc w:val="both"/>
      </w:pPr>
      <w:r>
        <w:rPr>
          <w:sz w:val="20"/>
        </w:rPr>
        <w:t xml:space="preserve">1) устройство противопожарных преград;</w:t>
      </w:r>
    </w:p>
    <w:p>
      <w:pPr>
        <w:pStyle w:val="0"/>
        <w:spacing w:before="200" w:line-rule="auto"/>
        <w:ind w:firstLine="540"/>
        <w:jc w:val="both"/>
      </w:pPr>
      <w:r>
        <w:rPr>
          <w:sz w:val="20"/>
        </w:rPr>
        <w:t xml:space="preserve">2) устройство пожарных отсеков и секций, а также ограничение этажности или высоты зданий и сооружений;</w:t>
      </w:r>
    </w:p>
    <w:p>
      <w:pPr>
        <w:pStyle w:val="0"/>
        <w:jc w:val="both"/>
      </w:pPr>
      <w:r>
        <w:rPr>
          <w:sz w:val="20"/>
        </w:rPr>
        <w:t xml:space="preserve">(в ред. Федеральных законов от 10.07.2012 </w:t>
      </w:r>
      <w:hyperlink w:history="0" r:id="rId20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29.07.2017 </w:t>
      </w:r>
      <w:hyperlink w:history="0" r:id="rId201"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244-ФЗ</w:t>
        </w:r>
      </w:hyperlink>
      <w:r>
        <w:rPr>
          <w:sz w:val="20"/>
        </w:rPr>
        <w:t xml:space="preserve">)</w:t>
      </w:r>
    </w:p>
    <w:p>
      <w:pPr>
        <w:pStyle w:val="0"/>
        <w:spacing w:before="200" w:line-rule="auto"/>
        <w:ind w:firstLine="540"/>
        <w:jc w:val="both"/>
      </w:pPr>
      <w:r>
        <w:rPr>
          <w:sz w:val="20"/>
        </w:rPr>
        <w:t xml:space="preserve">3) применение устройств аварийного отключения и переключение установок и коммуникаций при пожаре;</w:t>
      </w:r>
    </w:p>
    <w:p>
      <w:pPr>
        <w:pStyle w:val="0"/>
        <w:spacing w:before="200" w:line-rule="auto"/>
        <w:ind w:firstLine="540"/>
        <w:jc w:val="both"/>
      </w:pPr>
      <w:r>
        <w:rPr>
          <w:sz w:val="20"/>
        </w:rPr>
        <w:t xml:space="preserve">4) применение средств, предотвращающих или ограничивающих разлив и растекание жидкостей при пожаре;</w:t>
      </w:r>
    </w:p>
    <w:p>
      <w:pPr>
        <w:pStyle w:val="0"/>
        <w:spacing w:before="200" w:line-rule="auto"/>
        <w:ind w:firstLine="540"/>
        <w:jc w:val="both"/>
      </w:pPr>
      <w:r>
        <w:rPr>
          <w:sz w:val="20"/>
        </w:rPr>
        <w:t xml:space="preserve">5) применение огнепреграждающих устройств в оборудовании;</w:t>
      </w:r>
    </w:p>
    <w:p>
      <w:pPr>
        <w:pStyle w:val="0"/>
        <w:spacing w:before="200" w:line-rule="auto"/>
        <w:ind w:firstLine="540"/>
        <w:jc w:val="both"/>
      </w:pPr>
      <w:r>
        <w:rPr>
          <w:sz w:val="20"/>
        </w:rPr>
        <w:t xml:space="preserve">6) применение установок пожаротушения.</w:t>
      </w:r>
    </w:p>
    <w:p>
      <w:pPr>
        <w:pStyle w:val="0"/>
        <w:ind w:firstLine="540"/>
        <w:jc w:val="both"/>
      </w:pPr>
      <w:r>
        <w:rPr>
          <w:sz w:val="20"/>
        </w:rPr>
      </w:r>
    </w:p>
    <w:p>
      <w:pPr>
        <w:pStyle w:val="2"/>
        <w:outlineLvl w:val="3"/>
        <w:ind w:firstLine="540"/>
        <w:jc w:val="both"/>
      </w:pPr>
      <w:r>
        <w:rPr>
          <w:sz w:val="20"/>
        </w:rPr>
        <w:t xml:space="preserve">Статья 60. Первичные средства пожаротушения в зданиях и сооружениях</w:t>
      </w:r>
    </w:p>
    <w:p>
      <w:pPr>
        <w:pStyle w:val="0"/>
        <w:jc w:val="both"/>
      </w:pPr>
      <w:r>
        <w:rPr>
          <w:sz w:val="20"/>
        </w:rPr>
        <w:t xml:space="preserve">(в ред. Федерального </w:t>
      </w:r>
      <w:hyperlink w:history="0" r:id="rId20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pPr>
        <w:pStyle w:val="0"/>
        <w:jc w:val="both"/>
      </w:pPr>
      <w:r>
        <w:rPr>
          <w:sz w:val="20"/>
        </w:rPr>
        <w:t xml:space="preserve">(в ред. Федерального </w:t>
      </w:r>
      <w:hyperlink w:history="0" r:id="rId20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pPr>
        <w:pStyle w:val="0"/>
        <w:jc w:val="both"/>
      </w:pPr>
      <w:r>
        <w:rPr>
          <w:sz w:val="20"/>
        </w:rPr>
        <w:t xml:space="preserve">(в ред. Федерального </w:t>
      </w:r>
      <w:hyperlink w:history="0" r:id="rId20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61. Автоматические, в том числе автономные, установки пожаротушения</w:t>
      </w:r>
    </w:p>
    <w:p>
      <w:pPr>
        <w:pStyle w:val="0"/>
        <w:jc w:val="both"/>
      </w:pPr>
      <w:r>
        <w:rPr>
          <w:sz w:val="20"/>
        </w:rPr>
        <w:t xml:space="preserve">(в ред. Федеральных законов от 10.07.2012 </w:t>
      </w:r>
      <w:hyperlink w:history="0" r:id="rId20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14.07.2022 </w:t>
      </w:r>
      <w:hyperlink w:history="0" r:id="rId20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ind w:firstLine="540"/>
        <w:jc w:val="both"/>
      </w:pPr>
      <w:r>
        <w:rPr>
          <w:sz w:val="20"/>
        </w:rPr>
      </w:r>
    </w:p>
    <w:p>
      <w:pPr>
        <w:pStyle w:val="0"/>
        <w:ind w:firstLine="540"/>
        <w:jc w:val="both"/>
      </w:pPr>
      <w:r>
        <w:rPr>
          <w:sz w:val="20"/>
        </w:rPr>
        <w:t xml:space="preserve">1. Утратил силу. - Федеральный </w:t>
      </w:r>
      <w:hyperlink w:history="0" r:id="rId20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spacing w:before="200" w:line-rule="auto"/>
        <w:ind w:firstLine="540"/>
        <w:jc w:val="both"/>
      </w:pPr>
      <w:r>
        <w:rPr>
          <w:sz w:val="20"/>
        </w:rPr>
        <w:t xml:space="preserve">2. Применение автоматических, в том числе автономных, установок пожаротушения должно обеспечивать достижение одной или нескольких из следующих целей:</w:t>
      </w:r>
    </w:p>
    <w:p>
      <w:pPr>
        <w:pStyle w:val="0"/>
        <w:jc w:val="both"/>
      </w:pPr>
      <w:r>
        <w:rPr>
          <w:sz w:val="20"/>
        </w:rPr>
        <w:t xml:space="preserve">(в ред. Федеральных законов от 10.07.2012 </w:t>
      </w:r>
      <w:hyperlink w:history="0" r:id="rId20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14.07.2022 </w:t>
      </w:r>
      <w:hyperlink w:history="0" r:id="rId20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1) ликвидация пожара в помещении (здании) до возникновения критических значений опасных факторов пожара;</w:t>
      </w:r>
    </w:p>
    <w:p>
      <w:pPr>
        <w:pStyle w:val="0"/>
        <w:spacing w:before="200" w:line-rule="auto"/>
        <w:ind w:firstLine="540"/>
        <w:jc w:val="both"/>
      </w:pPr>
      <w:r>
        <w:rPr>
          <w:sz w:val="20"/>
        </w:rPr>
        <w:t xml:space="preserve">2) ликвидация пожара в помещении (здании) до наступления пределов огнестойкости строительных конструкций;</w:t>
      </w:r>
    </w:p>
    <w:p>
      <w:pPr>
        <w:pStyle w:val="0"/>
        <w:spacing w:before="200" w:line-rule="auto"/>
        <w:ind w:firstLine="540"/>
        <w:jc w:val="both"/>
      </w:pPr>
      <w:r>
        <w:rPr>
          <w:sz w:val="20"/>
        </w:rPr>
        <w:t xml:space="preserve">3) ликвидация пожара в помещении (здании) до причинения максимально допустимого ущерба защищаемому имуществу;</w:t>
      </w:r>
    </w:p>
    <w:p>
      <w:pPr>
        <w:pStyle w:val="0"/>
        <w:spacing w:before="200" w:line-rule="auto"/>
        <w:ind w:firstLine="540"/>
        <w:jc w:val="both"/>
      </w:pPr>
      <w:r>
        <w:rPr>
          <w:sz w:val="20"/>
        </w:rPr>
        <w:t xml:space="preserve">4) ликвидация пожара в помещении (здании) до наступления опасности разрушения технологических установок.</w:t>
      </w:r>
    </w:p>
    <w:p>
      <w:pPr>
        <w:pStyle w:val="0"/>
        <w:spacing w:before="200" w:line-rule="auto"/>
        <w:ind w:firstLine="540"/>
        <w:jc w:val="both"/>
      </w:pPr>
      <w:r>
        <w:rPr>
          <w:sz w:val="20"/>
        </w:rPr>
        <w:t xml:space="preserve">3. Тип автоматической, в том числе автономной, установки пожаротушения, вид огнетушащего вещества и способ его подачи в очаг пожара определяются в зависимости от вида горючего материала, объемно-планировочных решений здания, сооружения и параметров окружающей среды.</w:t>
      </w:r>
    </w:p>
    <w:p>
      <w:pPr>
        <w:pStyle w:val="0"/>
        <w:jc w:val="both"/>
      </w:pPr>
      <w:r>
        <w:rPr>
          <w:sz w:val="20"/>
        </w:rPr>
        <w:t xml:space="preserve">(в ред. Федеральных законов от 10.07.2012 </w:t>
      </w:r>
      <w:hyperlink w:history="0" r:id="rId21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14.07.2022 </w:t>
      </w:r>
      <w:hyperlink w:history="0" r:id="rId21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ind w:firstLine="540"/>
        <w:jc w:val="both"/>
      </w:pPr>
      <w:r>
        <w:rPr>
          <w:sz w:val="20"/>
        </w:rPr>
      </w:r>
    </w:p>
    <w:p>
      <w:pPr>
        <w:pStyle w:val="2"/>
        <w:outlineLvl w:val="3"/>
        <w:ind w:firstLine="540"/>
        <w:jc w:val="both"/>
      </w:pPr>
      <w:r>
        <w:rPr>
          <w:sz w:val="20"/>
        </w:rPr>
        <w:t xml:space="preserve">Статья 62. Источники противопожарного водоснабжения</w:t>
      </w:r>
    </w:p>
    <w:p>
      <w:pPr>
        <w:pStyle w:val="0"/>
        <w:ind w:firstLine="540"/>
        <w:jc w:val="both"/>
      </w:pPr>
      <w:r>
        <w:rPr>
          <w:sz w:val="20"/>
        </w:rPr>
      </w:r>
    </w:p>
    <w:p>
      <w:pPr>
        <w:pStyle w:val="0"/>
        <w:ind w:firstLine="540"/>
        <w:jc w:val="both"/>
      </w:pPr>
      <w:r>
        <w:rPr>
          <w:sz w:val="20"/>
        </w:rPr>
        <w:t xml:space="preserve">1. Здания и сооружения, а также территории организаций и населенных пунктов должны иметь источники противопожарного водоснабжения для тушения пожаров.</w:t>
      </w:r>
    </w:p>
    <w:p>
      <w:pPr>
        <w:pStyle w:val="0"/>
        <w:jc w:val="both"/>
      </w:pPr>
      <w:r>
        <w:rPr>
          <w:sz w:val="20"/>
        </w:rPr>
        <w:t xml:space="preserve">(в ред. Федерального </w:t>
      </w:r>
      <w:hyperlink w:history="0" r:id="rId21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В качестве источников противопожарного водоснабжения могут использоваться централизованные и (или) нецентрализованные системы водоснабжения, водные объекты, а также пожарные резервуары.</w:t>
      </w:r>
    </w:p>
    <w:p>
      <w:pPr>
        <w:pStyle w:val="0"/>
        <w:jc w:val="both"/>
      </w:pPr>
      <w:r>
        <w:rPr>
          <w:sz w:val="20"/>
        </w:rPr>
        <w:t xml:space="preserve">(часть 2 в ред. Федерального </w:t>
      </w:r>
      <w:hyperlink w:history="0" r:id="rId21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3. Необходимость обеспечения противопожарного водоснабжения, устройства систем водоснабжения, водопроводных сетей, искусственных водоемов и пожарных резервуаров, использования водных объектов для противопожарных нужд определяется настоящим Федеральным законом, а требования к их устройству нормативными документами по пожарной безопасности. Запас воды водных объектов и пожарных резервуаров должен обеспечивать расчетные расходы воды на пожаротушение зданий и сооружений с учетом продолжительности тушения пожаров.</w:t>
      </w:r>
    </w:p>
    <w:p>
      <w:pPr>
        <w:pStyle w:val="0"/>
        <w:jc w:val="both"/>
      </w:pPr>
      <w:r>
        <w:rPr>
          <w:sz w:val="20"/>
        </w:rPr>
        <w:t xml:space="preserve">(часть 3 в ред. Федерального </w:t>
      </w:r>
      <w:hyperlink w:history="0" r:id="rId21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ind w:firstLine="540"/>
        <w:jc w:val="both"/>
      </w:pPr>
      <w:r>
        <w:rPr>
          <w:sz w:val="20"/>
        </w:rPr>
      </w:r>
    </w:p>
    <w:p>
      <w:pPr>
        <w:pStyle w:val="2"/>
        <w:outlineLvl w:val="3"/>
        <w:ind w:firstLine="540"/>
        <w:jc w:val="both"/>
      </w:pPr>
      <w:r>
        <w:rPr>
          <w:sz w:val="20"/>
        </w:rPr>
        <w:t xml:space="preserve">Статья 63. Утратила силу с 1 марта 2023 года. - Федеральный </w:t>
      </w:r>
      <w:hyperlink w:history="0" r:id="rId21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ind w:firstLine="540"/>
        <w:jc w:val="both"/>
      </w:pPr>
      <w:r>
        <w:rPr>
          <w:sz w:val="20"/>
        </w:rPr>
      </w:r>
    </w:p>
    <w:bookmarkStart w:id="864" w:name="P864"/>
    <w:bookmarkEnd w:id="864"/>
    <w:p>
      <w:pPr>
        <w:pStyle w:val="2"/>
        <w:outlineLvl w:val="3"/>
        <w:ind w:firstLine="540"/>
        <w:jc w:val="both"/>
      </w:pPr>
      <w:r>
        <w:rPr>
          <w:sz w:val="20"/>
        </w:rPr>
        <w:t xml:space="preserve">Статья 64. Требования к декларации пожарной безопасности</w:t>
      </w:r>
    </w:p>
    <w:p>
      <w:pPr>
        <w:pStyle w:val="0"/>
        <w:ind w:firstLine="540"/>
        <w:jc w:val="both"/>
      </w:pPr>
      <w:r>
        <w:rPr>
          <w:sz w:val="20"/>
        </w:rPr>
        <w:t xml:space="preserve">(в ред. Федерального </w:t>
      </w:r>
      <w:hyperlink w:history="0" r:id="rId216"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29.07.2017 N 244-ФЗ)</w:t>
      </w:r>
    </w:p>
    <w:p>
      <w:pPr>
        <w:pStyle w:val="0"/>
        <w:ind w:firstLine="540"/>
        <w:jc w:val="both"/>
      </w:pPr>
      <w:r>
        <w:rPr>
          <w:sz w:val="20"/>
        </w:rPr>
      </w:r>
    </w:p>
    <w:bookmarkStart w:id="867" w:name="P867"/>
    <w:bookmarkEnd w:id="867"/>
    <w:p>
      <w:pPr>
        <w:pStyle w:val="0"/>
        <w:ind w:firstLine="540"/>
        <w:jc w:val="both"/>
      </w:pPr>
      <w:r>
        <w:rPr>
          <w:sz w:val="20"/>
        </w:rPr>
        <w:t xml:space="preserve">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w:t>
      </w:r>
      <w:hyperlink w:history="0" w:anchor="P536" w:tooltip="в) Ф1.3 - многоквартирные жилые дома, в том числе общежития квартирного типа;">
        <w:r>
          <w:rPr>
            <w:sz w:val="20"/>
            <w:color w:val="0000ff"/>
          </w:rPr>
          <w:t xml:space="preserve">Ф1.3</w:t>
        </w:r>
      </w:hyperlink>
      <w:r>
        <w:rPr>
          <w:sz w:val="20"/>
        </w:rPr>
        <w:t xml:space="preserve">, </w:t>
      </w:r>
      <w:hyperlink w:history="0" w:anchor="P538" w:tooltip="г) Ф1.4 - одноквартирные жилые дома, в том числе блокированные;">
        <w:r>
          <w:rPr>
            <w:sz w:val="20"/>
            <w:color w:val="0000ff"/>
          </w:rPr>
          <w:t xml:space="preserve">Ф1.4</w:t>
        </w:r>
      </w:hyperlink>
      <w:r>
        <w:rPr>
          <w:sz w:val="20"/>
        </w:rPr>
        <w:t xml:space="preserve">), а также в отношении зданий (частей зданий) класса функциональной пожарной опасности </w:t>
      </w:r>
      <w:hyperlink w:history="0" w:anchor="P532" w:tooltip="а) Ф1.1 - здания дошкольных образовательных организаций, специализированных домов престарелых и инвалидов (неквартирные), спальные корпуса образовательных организаций с наличием интерната и детских организаций, здания медицинских организаций, предназначенные для оказания медицинской помощи в стационарных условиях (круглосуточно);">
        <w:r>
          <w:rPr>
            <w:sz w:val="20"/>
            <w:color w:val="0000ff"/>
          </w:rPr>
          <w:t xml:space="preserve">Ф1.1</w:t>
        </w:r>
      </w:hyperlink>
      <w:r>
        <w:rPr>
          <w:sz w:val="20"/>
        </w:rPr>
        <w:t xml:space="preserve"> и предусматривает:</w:t>
      </w:r>
    </w:p>
    <w:p>
      <w:pPr>
        <w:pStyle w:val="0"/>
        <w:spacing w:before="200" w:line-rule="auto"/>
        <w:ind w:firstLine="540"/>
        <w:jc w:val="both"/>
      </w:pPr>
      <w:r>
        <w:rPr>
          <w:sz w:val="20"/>
        </w:rPr>
        <w:t xml:space="preserve">1) оценку пожарного риска (если проводится расчет риска);</w:t>
      </w:r>
    </w:p>
    <w:p>
      <w:pPr>
        <w:pStyle w:val="0"/>
        <w:spacing w:before="200" w:line-rule="auto"/>
        <w:ind w:firstLine="540"/>
        <w:jc w:val="both"/>
      </w:pPr>
      <w:r>
        <w:rPr>
          <w:sz w:val="20"/>
        </w:rPr>
        <w:t xml:space="preserve">2) оценку возможного ущерба имуществу третьих лиц от пожара (может быть проведена в рамках добровольного страхования ответственности за ущерб третьим лицам от воздействия пожара).</w:t>
      </w:r>
    </w:p>
    <w:bookmarkStart w:id="870" w:name="P870"/>
    <w:bookmarkEnd w:id="870"/>
    <w:p>
      <w:pPr>
        <w:pStyle w:val="0"/>
        <w:spacing w:before="200" w:line-rule="auto"/>
        <w:ind w:firstLine="540"/>
        <w:jc w:val="both"/>
      </w:pPr>
      <w:r>
        <w:rPr>
          <w:sz w:val="20"/>
        </w:rPr>
        <w:t xml:space="preserve">2. Для оценки соответствия требованиям пожарной безопасности объекта защиты,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 (за исключением зданий классов функциональной пожарной опасности </w:t>
      </w:r>
      <w:hyperlink w:history="0" w:anchor="P532" w:tooltip="а) Ф1.1 - здания дошкольных образовательных организаций, специализированных домов престарелых и инвалидов (неквартирные), спальные корпуса образовательных организаций с наличием интерната и детских организаций, здания медицинских организаций, предназначенные для оказания медицинской помощи в стационарных условиях (круглосуточно);">
        <w:r>
          <w:rPr>
            <w:sz w:val="20"/>
            <w:color w:val="0000ff"/>
          </w:rPr>
          <w:t xml:space="preserve">Ф1.1</w:t>
        </w:r>
      </w:hyperlink>
      <w:r>
        <w:rPr>
          <w:sz w:val="20"/>
        </w:rPr>
        <w:t xml:space="preserve">, </w:t>
      </w:r>
      <w:hyperlink w:history="0" w:anchor="P536" w:tooltip="в) Ф1.3 - многоквартирные жилые дома, в том числе общежития квартирного типа;">
        <w:r>
          <w:rPr>
            <w:sz w:val="20"/>
            <w:color w:val="0000ff"/>
          </w:rPr>
          <w:t xml:space="preserve">Ф1.3</w:t>
        </w:r>
      </w:hyperlink>
      <w:r>
        <w:rPr>
          <w:sz w:val="20"/>
        </w:rPr>
        <w:t xml:space="preserve">, </w:t>
      </w:r>
      <w:hyperlink w:history="0" w:anchor="P538" w:tooltip="г) Ф1.4 - одноквартирные жилые дома, в том числе блокированные;">
        <w:r>
          <w:rPr>
            <w:sz w:val="20"/>
            <w:color w:val="0000ff"/>
          </w:rPr>
          <w:t xml:space="preserve">Ф1.4</w:t>
        </w:r>
      </w:hyperlink>
      <w:r>
        <w:rPr>
          <w:sz w:val="20"/>
        </w:rPr>
        <w:t xml:space="preserve">, </w:t>
      </w:r>
      <w:hyperlink w:history="0" w:anchor="P556" w:tooltip="а) Ф4.1 - здания общеобразовательных организаций, организаций дополнительного образования детей, профессиональных образовательных организаций;">
        <w:r>
          <w:rPr>
            <w:sz w:val="20"/>
            <w:color w:val="0000ff"/>
          </w:rPr>
          <w:t xml:space="preserve">Ф4.1</w:t>
        </w:r>
      </w:hyperlink>
      <w:r>
        <w:rPr>
          <w:sz w:val="20"/>
        </w:rPr>
        <w:t xml:space="preserve">, </w:t>
      </w:r>
      <w:hyperlink w:history="0" w:anchor="P558" w:tooltip="б) Ф4.2 - здания образовательных организаций высшего образования, организаций дополнительного профессионального образования;">
        <w:r>
          <w:rPr>
            <w:sz w:val="20"/>
            <w:color w:val="0000ff"/>
          </w:rPr>
          <w:t xml:space="preserve">Ф4.2</w:t>
        </w:r>
      </w:hyperlink>
      <w:r>
        <w:rPr>
          <w:sz w:val="20"/>
        </w:rPr>
        <w:t xml:space="preserve">), собственник этого объекта защиты или лицо, которое владеет им на ином законном основании (на праве аренды, хозяйственного ведения, оперативного управления и другое), может добровольно составить декларацию пожарной безопасности в отношении этого объекта защиты, которая предусматривает в том числе сведения о системе противопожарной защиты этого объекта защиты.</w:t>
      </w:r>
    </w:p>
    <w:p>
      <w:pPr>
        <w:pStyle w:val="0"/>
        <w:jc w:val="both"/>
      </w:pPr>
      <w:r>
        <w:rPr>
          <w:sz w:val="20"/>
        </w:rPr>
        <w:t xml:space="preserve">(часть 2 в ред. Федерального </w:t>
      </w:r>
      <w:hyperlink w:history="0" r:id="rId21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3. Уточненные декларации пожарной безопасности, составленные в соответствии с </w:t>
      </w:r>
      <w:hyperlink w:history="0" w:anchor="P867" w:tooltip="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Ф1.3, Ф1.4), а также в отношении зданий (частей зданий) класса функциональной пожарной опасности Ф1.1 и предусматривает:">
        <w:r>
          <w:rPr>
            <w:sz w:val="20"/>
            <w:color w:val="0000ff"/>
          </w:rPr>
          <w:t xml:space="preserve">частями 1</w:t>
        </w:r>
      </w:hyperlink>
      <w:r>
        <w:rPr>
          <w:sz w:val="20"/>
        </w:rPr>
        <w:t xml:space="preserve"> и </w:t>
      </w:r>
      <w:hyperlink w:history="0" w:anchor="P870" w:tooltip="2. Для оценки соответствия требованиям пожарной безопасности объекта защиты,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 (за исключением зданий классов функциональной пожарной опасности Ф1.1, Ф1.3, Ф1.4, Ф4.1, Ф4.2), собственник этого объекта защиты или лицо, которое владеет им на ином законном основании (на праве аренды, хозяйственного ведения, оперативного управления и другое), может добровольно соста...">
        <w:r>
          <w:rPr>
            <w:sz w:val="20"/>
            <w:color w:val="0000ff"/>
          </w:rPr>
          <w:t xml:space="preserve">2</w:t>
        </w:r>
      </w:hyperlink>
      <w:r>
        <w:rPr>
          <w:sz w:val="20"/>
        </w:rPr>
        <w:t xml:space="preserve"> настоящей статьи, представляются в случае изменения класса функциональной пожарной опасности объекта защиты либо проведения капитального ремонта, реконструкции или технического перевооружения объекта защиты в течение года со дня выдачи разрешения на ввод объекта в эксплуатацию или завершения соответствующих работ.</w:t>
      </w:r>
    </w:p>
    <w:p>
      <w:pPr>
        <w:pStyle w:val="0"/>
        <w:jc w:val="both"/>
      </w:pPr>
      <w:r>
        <w:rPr>
          <w:sz w:val="20"/>
        </w:rPr>
        <w:t xml:space="preserve">(часть 3 в ред. Федерального </w:t>
      </w:r>
      <w:hyperlink w:history="0" r:id="rId21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4. При составлении декларации пожарной безопасности в соответствии с </w:t>
      </w:r>
      <w:hyperlink w:history="0" w:anchor="P867" w:tooltip="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Ф1.3, Ф1.4), а также в отношении зданий (частей зданий) класса функциональной пожарной опасности Ф1.1 и предусматривает:">
        <w:r>
          <w:rPr>
            <w:sz w:val="20"/>
            <w:color w:val="0000ff"/>
          </w:rPr>
          <w:t xml:space="preserve">частями 1</w:t>
        </w:r>
      </w:hyperlink>
      <w:r>
        <w:rPr>
          <w:sz w:val="20"/>
        </w:rPr>
        <w:t xml:space="preserve"> и </w:t>
      </w:r>
      <w:hyperlink w:history="0" w:anchor="P870" w:tooltip="2. Для оценки соответствия требованиям пожарной безопасности объекта защиты,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 (за исключением зданий классов функциональной пожарной опасности Ф1.1, Ф1.3, Ф1.4, Ф4.1, Ф4.2), собственник этого объекта защиты или лицо, которое владеет им на ином законном основании (на праве аренды, хозяйственного ведения, оперативного управления и другое), может добровольно соста...">
        <w:r>
          <w:rPr>
            <w:sz w:val="20"/>
            <w:color w:val="0000ff"/>
          </w:rPr>
          <w:t xml:space="preserve">2</w:t>
        </w:r>
      </w:hyperlink>
      <w:r>
        <w:rPr>
          <w:sz w:val="20"/>
        </w:rPr>
        <w:t xml:space="preserve"> настоящей статьи в отношении объектов защиты, для которых установлены требования технических регламентов, принятых в соответствии с Федеральным </w:t>
      </w:r>
      <w:hyperlink w:history="0" r:id="rId219"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 техническом регулировании", и нормативных документов по пожарной безопасности, в декларации указывается перечень статей (частей, пунктов) указанных документов, требования которых установлены и выполнены для соответствующего объекта защиты.</w:t>
      </w:r>
    </w:p>
    <w:p>
      <w:pPr>
        <w:pStyle w:val="0"/>
        <w:spacing w:before="200" w:line-rule="auto"/>
        <w:ind w:firstLine="540"/>
        <w:jc w:val="both"/>
      </w:pPr>
      <w:r>
        <w:rPr>
          <w:sz w:val="20"/>
        </w:rPr>
        <w:t xml:space="preserve">5. Лицо, представившее декларацию пожарной безопасности, составленную в соответствии с </w:t>
      </w:r>
      <w:hyperlink w:history="0" w:anchor="P867" w:tooltip="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Ф1.3, Ф1.4), а также в отношении зданий (частей зданий) класса функциональной пожарной опасности Ф1.1 и предусматривает:">
        <w:r>
          <w:rPr>
            <w:sz w:val="20"/>
            <w:color w:val="0000ff"/>
          </w:rPr>
          <w:t xml:space="preserve">частями 1</w:t>
        </w:r>
      </w:hyperlink>
      <w:r>
        <w:rPr>
          <w:sz w:val="20"/>
        </w:rPr>
        <w:t xml:space="preserve"> и </w:t>
      </w:r>
      <w:hyperlink w:history="0" w:anchor="P870" w:tooltip="2. Для оценки соответствия требованиям пожарной безопасности объекта защиты,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 (за исключением зданий классов функциональной пожарной опасности Ф1.1, Ф1.3, Ф1.4, Ф4.1, Ф4.2), собственник этого объекта защиты или лицо, которое владеет им на ином законном основании (на праве аренды, хозяйственного ведения, оперативного управления и другое), может добровольно соста...">
        <w:r>
          <w:rPr>
            <w:sz w:val="20"/>
            <w:color w:val="0000ff"/>
          </w:rPr>
          <w:t xml:space="preserve">2</w:t>
        </w:r>
      </w:hyperlink>
      <w:r>
        <w:rPr>
          <w:sz w:val="20"/>
        </w:rPr>
        <w:t xml:space="preserve"> настоящей статьи, несет ответственность за полноту и достоверность содержащихся в ней сведений в соответствии с законодательством Российской Федерации.</w:t>
      </w:r>
    </w:p>
    <w:p>
      <w:pPr>
        <w:pStyle w:val="0"/>
        <w:spacing w:before="200" w:line-rule="auto"/>
        <w:ind w:firstLine="540"/>
        <w:jc w:val="both"/>
      </w:pPr>
      <w:r>
        <w:rPr>
          <w:sz w:val="20"/>
        </w:rPr>
        <w:t xml:space="preserve">6. </w:t>
      </w:r>
      <w:hyperlink w:history="0" r:id="rId220" w:tooltip="Приказ МЧС России от 16.03.2020 N 171 &quot;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регистрации декларации пожарной безопасности и формы декларации пожарной безопасности&quot; (Зарегистрировано в Минюсте России 17.04.2020 N 58127) {КонсультантПлюс}">
        <w:r>
          <w:rPr>
            <w:sz w:val="20"/>
            <w:color w:val="0000ff"/>
          </w:rPr>
          <w:t xml:space="preserve">Форма</w:t>
        </w:r>
      </w:hyperlink>
      <w:r>
        <w:rPr>
          <w:sz w:val="20"/>
        </w:rPr>
        <w:t xml:space="preserve"> и </w:t>
      </w:r>
      <w:hyperlink w:history="0" r:id="rId221" w:tooltip="Приказ МЧС России от 16.03.2020 N 171 &quot;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регистрации декларации пожарной безопасности и формы декларации пожарной безопасности&quot; (Зарегистрировано в Минюсте России 17.04.2020 N 58127) {КонсультантПлюс}">
        <w:r>
          <w:rPr>
            <w:sz w:val="20"/>
            <w:color w:val="0000ff"/>
          </w:rPr>
          <w:t xml:space="preserve">порядок</w:t>
        </w:r>
      </w:hyperlink>
      <w:r>
        <w:rPr>
          <w:sz w:val="20"/>
        </w:rPr>
        <w:t xml:space="preserve"> регистрации декларации пожарной безопасности, составленной в соответствии с </w:t>
      </w:r>
      <w:hyperlink w:history="0" w:anchor="P867" w:tooltip="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Ф1.3, Ф1.4), а также в отношении зданий (частей зданий) класса функциональной пожарной опасности Ф1.1 и предусматривает:">
        <w:r>
          <w:rPr>
            <w:sz w:val="20"/>
            <w:color w:val="0000ff"/>
          </w:rPr>
          <w:t xml:space="preserve">частями 1</w:t>
        </w:r>
      </w:hyperlink>
      <w:r>
        <w:rPr>
          <w:sz w:val="20"/>
        </w:rPr>
        <w:t xml:space="preserve"> и </w:t>
      </w:r>
      <w:hyperlink w:history="0" w:anchor="P870" w:tooltip="2. Для оценки соответствия требованиям пожарной безопасности объекта защиты,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 (за исключением зданий классов функциональной пожарной опасности Ф1.1, Ф1.3, Ф1.4, Ф4.1, Ф4.2), собственник этого объекта защиты или лицо, которое владеет им на ином законном основании (на праве аренды, хозяйственного ведения, оперативного управления и другое), может добровольно соста...">
        <w:r>
          <w:rPr>
            <w:sz w:val="20"/>
            <w:color w:val="0000ff"/>
          </w:rPr>
          <w:t xml:space="preserve">2</w:t>
        </w:r>
      </w:hyperlink>
      <w:r>
        <w:rPr>
          <w:sz w:val="20"/>
        </w:rPr>
        <w:t xml:space="preserve"> настоящей статьи, утверждаются федеральным органом исполнительной власти, уполномоченным на решение задач в области пожарной безопасности.</w:t>
      </w:r>
    </w:p>
    <w:p>
      <w:pPr>
        <w:pStyle w:val="0"/>
        <w:spacing w:before="200" w:line-rule="auto"/>
        <w:ind w:firstLine="540"/>
        <w:jc w:val="both"/>
      </w:pPr>
      <w:r>
        <w:rPr>
          <w:sz w:val="20"/>
        </w:rPr>
        <w:t xml:space="preserve">7. Собственник объекта защиты или лицо, которое владеет им на ином законном основании (на праве аренды, хозяйственного ведения, оперативного управления и другое), вправе представить декларацию пожарной безопасности в форме электронного документа, подписанного усиленной квалифицированной электронной подписью.</w:t>
      </w:r>
    </w:p>
    <w:p>
      <w:pPr>
        <w:pStyle w:val="0"/>
        <w:jc w:val="both"/>
      </w:pPr>
      <w:r>
        <w:rPr>
          <w:sz w:val="20"/>
        </w:rPr>
        <w:t xml:space="preserve">(часть 7 введена Федеральным </w:t>
      </w:r>
      <w:hyperlink w:history="0" r:id="rId22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14.07.2022 N 276-ФЗ)</w:t>
      </w:r>
    </w:p>
    <w:p>
      <w:pPr>
        <w:pStyle w:val="0"/>
        <w:ind w:firstLine="540"/>
        <w:jc w:val="both"/>
      </w:pPr>
      <w:r>
        <w:rPr>
          <w:sz w:val="20"/>
        </w:rPr>
      </w:r>
    </w:p>
    <w:p>
      <w:pPr>
        <w:pStyle w:val="2"/>
        <w:outlineLvl w:val="1"/>
        <w:jc w:val="center"/>
      </w:pPr>
      <w:r>
        <w:rPr>
          <w:sz w:val="20"/>
        </w:rPr>
        <w:t xml:space="preserve">Раздел II. ТРЕБОВАНИЯ ПОЖАРНОЙ БЕЗОПАСНОСТИ ПРИ ПЛАНИРОВКЕ</w:t>
      </w:r>
    </w:p>
    <w:p>
      <w:pPr>
        <w:pStyle w:val="2"/>
        <w:jc w:val="center"/>
      </w:pPr>
      <w:r>
        <w:rPr>
          <w:sz w:val="20"/>
        </w:rPr>
        <w:t xml:space="preserve">ТЕРРИТОРИЙ НАСЕЛЕННЫХ ПУНКТОВ</w:t>
      </w:r>
    </w:p>
    <w:p>
      <w:pPr>
        <w:pStyle w:val="0"/>
        <w:jc w:val="center"/>
      </w:pPr>
      <w:r>
        <w:rPr>
          <w:sz w:val="20"/>
        </w:rPr>
        <w:t xml:space="preserve">(в ред. Федерального </w:t>
      </w:r>
      <w:hyperlink w:history="0" r:id="rId22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ind w:firstLine="540"/>
        <w:jc w:val="both"/>
      </w:pPr>
      <w:r>
        <w:rPr>
          <w:sz w:val="20"/>
        </w:rPr>
      </w:r>
    </w:p>
    <w:p>
      <w:pPr>
        <w:pStyle w:val="2"/>
        <w:outlineLvl w:val="2"/>
        <w:jc w:val="center"/>
      </w:pPr>
      <w:r>
        <w:rPr>
          <w:sz w:val="20"/>
        </w:rPr>
        <w:t xml:space="preserve">Глава 15. ТРЕБОВАНИЯ ПОЖАРНОЙ БЕЗОПАСНОСТИ</w:t>
      </w:r>
    </w:p>
    <w:p>
      <w:pPr>
        <w:pStyle w:val="2"/>
        <w:jc w:val="center"/>
      </w:pPr>
      <w:r>
        <w:rPr>
          <w:sz w:val="20"/>
        </w:rPr>
        <w:t xml:space="preserve">К РАЗМЕЩЕНИЮ ВЗРЫВОПОЖАРООПАСНЫХ ОБЪЕКТОВ И НАРУЖНОМУ</w:t>
      </w:r>
    </w:p>
    <w:p>
      <w:pPr>
        <w:pStyle w:val="2"/>
        <w:jc w:val="center"/>
      </w:pPr>
      <w:r>
        <w:rPr>
          <w:sz w:val="20"/>
        </w:rPr>
        <w:t xml:space="preserve">ПРОТИВОПОЖАРНОМУ ВОДОСНАБЖЕНИЮ</w:t>
      </w:r>
    </w:p>
    <w:p>
      <w:pPr>
        <w:pStyle w:val="0"/>
        <w:jc w:val="center"/>
      </w:pPr>
      <w:r>
        <w:rPr>
          <w:sz w:val="20"/>
        </w:rPr>
        <w:t xml:space="preserve">(в ред. Федерального </w:t>
      </w:r>
      <w:hyperlink w:history="0" r:id="rId22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ind w:firstLine="540"/>
        <w:jc w:val="both"/>
      </w:pPr>
      <w:r>
        <w:rPr>
          <w:sz w:val="20"/>
        </w:rPr>
      </w:r>
    </w:p>
    <w:p>
      <w:pPr>
        <w:pStyle w:val="2"/>
        <w:outlineLvl w:val="3"/>
        <w:ind w:firstLine="540"/>
        <w:jc w:val="both"/>
      </w:pPr>
      <w:r>
        <w:rPr>
          <w:sz w:val="20"/>
        </w:rPr>
        <w:t xml:space="preserve">Статья 65. Утратила силу. - Федеральный </w:t>
      </w:r>
      <w:hyperlink w:history="0" r:id="rId22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ind w:firstLine="540"/>
        <w:jc w:val="both"/>
      </w:pPr>
      <w:r>
        <w:rPr>
          <w:sz w:val="20"/>
        </w:rPr>
      </w:r>
    </w:p>
    <w:p>
      <w:pPr>
        <w:pStyle w:val="2"/>
        <w:outlineLvl w:val="3"/>
        <w:ind w:firstLine="540"/>
        <w:jc w:val="both"/>
      </w:pPr>
      <w:r>
        <w:rPr>
          <w:sz w:val="20"/>
        </w:rPr>
        <w:t xml:space="preserve">Статья 66. Размещение взрывопожароопасных объектов</w:t>
      </w:r>
    </w:p>
    <w:p>
      <w:pPr>
        <w:pStyle w:val="0"/>
        <w:jc w:val="both"/>
      </w:pPr>
      <w:r>
        <w:rPr>
          <w:sz w:val="20"/>
        </w:rPr>
        <w:t xml:space="preserve">(в ред. Федеральных законов от 10.07.2012 </w:t>
      </w:r>
      <w:hyperlink w:history="0" r:id="rId22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14.07.2022 </w:t>
      </w:r>
      <w:hyperlink w:history="0" r:id="rId22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ind w:firstLine="540"/>
        <w:jc w:val="both"/>
      </w:pPr>
      <w:r>
        <w:rPr>
          <w:sz w:val="20"/>
        </w:rPr>
      </w:r>
    </w:p>
    <w:p>
      <w:pPr>
        <w:pStyle w:val="0"/>
        <w:ind w:firstLine="540"/>
        <w:jc w:val="both"/>
      </w:pPr>
      <w:r>
        <w:rPr>
          <w:sz w:val="20"/>
        </w:rPr>
        <w:t xml:space="preserve">1.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населенных пунктов. При этом расчетное значение пожарного риска не должно превышать допустимое значение пожарного риска, установленное настоящим Федеральным </w:t>
      </w:r>
      <w:r>
        <w:rPr>
          <w:sz w:val="20"/>
        </w:rPr>
        <w:t xml:space="preserve">законом</w:t>
      </w:r>
      <w:r>
        <w:rPr>
          <w:sz w:val="20"/>
        </w:rPr>
        <w:t xml:space="preserve">. При размещении взрывопожароопасных объектов в границах населенных пунктов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w:t>
      </w:r>
    </w:p>
    <w:p>
      <w:pPr>
        <w:pStyle w:val="0"/>
        <w:jc w:val="both"/>
      </w:pPr>
      <w:r>
        <w:rPr>
          <w:sz w:val="20"/>
        </w:rPr>
        <w:t xml:space="preserve">(в ред. Федеральных законов от 10.07.2012 </w:t>
      </w:r>
      <w:hyperlink w:history="0" r:id="rId22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02.07.2013 </w:t>
      </w:r>
      <w:hyperlink w:history="0" r:id="rId229"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29.07.2017 </w:t>
      </w:r>
      <w:hyperlink w:history="0" r:id="rId230"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244-ФЗ</w:t>
        </w:r>
      </w:hyperlink>
      <w:r>
        <w:rPr>
          <w:sz w:val="20"/>
        </w:rPr>
        <w:t xml:space="preserve">, от 14.07.2022 </w:t>
      </w:r>
      <w:hyperlink w:history="0" r:id="rId23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2.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Федеральным </w:t>
      </w:r>
      <w:hyperlink w:history="0" r:id="rId232"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pPr>
        <w:pStyle w:val="0"/>
        <w:jc w:val="both"/>
      </w:pPr>
      <w:r>
        <w:rPr>
          <w:sz w:val="20"/>
        </w:rPr>
        <w:t xml:space="preserve">(в ред. Федерального </w:t>
      </w:r>
      <w:hyperlink w:history="0" r:id="rId23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железных дорог.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железных дорог,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железных дорог.</w:t>
      </w:r>
    </w:p>
    <w:p>
      <w:pPr>
        <w:pStyle w:val="0"/>
        <w:jc w:val="both"/>
      </w:pPr>
      <w:r>
        <w:rPr>
          <w:sz w:val="20"/>
        </w:rPr>
        <w:t xml:space="preserve">(в ред. Федерального </w:t>
      </w:r>
      <w:hyperlink w:history="0" r:id="rId23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4. Утратил силу. - Федеральный </w:t>
      </w:r>
      <w:hyperlink w:history="0" r:id="rId235"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29.07.2017 N 244-ФЗ.</w:t>
      </w:r>
    </w:p>
    <w:p>
      <w:pPr>
        <w:pStyle w:val="0"/>
        <w:spacing w:before="200" w:line-rule="auto"/>
        <w:ind w:firstLine="540"/>
        <w:jc w:val="both"/>
      </w:pPr>
      <w:r>
        <w:rPr>
          <w:sz w:val="20"/>
        </w:rPr>
        <w:t xml:space="preserve">5.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pPr>
        <w:pStyle w:val="0"/>
        <w:jc w:val="both"/>
      </w:pPr>
      <w:r>
        <w:rPr>
          <w:sz w:val="20"/>
        </w:rPr>
        <w:t xml:space="preserve">(в ред. Федерального </w:t>
      </w:r>
      <w:hyperlink w:history="0" r:id="rId23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67. Утратила силу. - Федеральный </w:t>
      </w:r>
      <w:hyperlink w:history="0" r:id="rId23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68. Наружное противопожарное водоснабжение</w:t>
      </w:r>
    </w:p>
    <w:p>
      <w:pPr>
        <w:pStyle w:val="0"/>
        <w:jc w:val="both"/>
      </w:pPr>
      <w:r>
        <w:rPr>
          <w:sz w:val="20"/>
        </w:rPr>
        <w:t xml:space="preserve">(в ред. Федерального </w:t>
      </w:r>
      <w:hyperlink w:history="0" r:id="rId23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ind w:firstLine="540"/>
        <w:jc w:val="both"/>
      </w:pPr>
      <w:r>
        <w:rPr>
          <w:sz w:val="20"/>
        </w:rPr>
      </w:r>
    </w:p>
    <w:p>
      <w:pPr>
        <w:pStyle w:val="0"/>
        <w:ind w:firstLine="540"/>
        <w:jc w:val="both"/>
      </w:pPr>
      <w:r>
        <w:rPr>
          <w:sz w:val="20"/>
        </w:rPr>
        <w:t xml:space="preserve">1. Территории населенных пунктов, а также находящиеся на них здания и сооружения должны быть обеспечены источниками наружного противопожарного водоснабжения.</w:t>
      </w:r>
    </w:p>
    <w:p>
      <w:pPr>
        <w:pStyle w:val="0"/>
        <w:jc w:val="both"/>
      </w:pPr>
      <w:r>
        <w:rPr>
          <w:sz w:val="20"/>
        </w:rPr>
        <w:t xml:space="preserve">(часть 1 в ред. Федерального </w:t>
      </w:r>
      <w:hyperlink w:history="0" r:id="rId23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 К наружному противопожарному водоснабжению относятся:</w:t>
      </w:r>
    </w:p>
    <w:p>
      <w:pPr>
        <w:pStyle w:val="0"/>
        <w:spacing w:before="200" w:line-rule="auto"/>
        <w:ind w:firstLine="540"/>
        <w:jc w:val="both"/>
      </w:pPr>
      <w:r>
        <w:rPr>
          <w:sz w:val="20"/>
        </w:rPr>
        <w:t xml:space="preserve">1) централизованные и (или) нецентрализованные системы водоснабжения с пожарными гидрантами, установленными на водопроводной сети (наружный противопожарный водопровод);</w:t>
      </w:r>
    </w:p>
    <w:p>
      <w:pPr>
        <w:pStyle w:val="0"/>
        <w:spacing w:before="200" w:line-rule="auto"/>
        <w:ind w:firstLine="540"/>
        <w:jc w:val="both"/>
      </w:pPr>
      <w:r>
        <w:rPr>
          <w:sz w:val="20"/>
        </w:rPr>
        <w:t xml:space="preserve">2) водные объекты, используемые в целях пожаротушения в соответствии с законодательством Российской Федерации;</w:t>
      </w:r>
    </w:p>
    <w:p>
      <w:pPr>
        <w:pStyle w:val="0"/>
        <w:spacing w:before="200" w:line-rule="auto"/>
        <w:ind w:firstLine="540"/>
        <w:jc w:val="both"/>
      </w:pPr>
      <w:r>
        <w:rPr>
          <w:sz w:val="20"/>
        </w:rPr>
        <w:t xml:space="preserve">3) пожарные резервуары.</w:t>
      </w:r>
    </w:p>
    <w:p>
      <w:pPr>
        <w:pStyle w:val="0"/>
        <w:jc w:val="both"/>
      </w:pPr>
      <w:r>
        <w:rPr>
          <w:sz w:val="20"/>
        </w:rPr>
        <w:t xml:space="preserve">(часть 2 в ред. Федерального </w:t>
      </w:r>
      <w:hyperlink w:history="0" r:id="rId24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3. Территории населенных пунктов должны быть оборудованы наружным противопожарным водопроводом, обеспечивающим требуемый расход воды на пожаротушение зданий и сооружений. При этом расстановка пожарных гидрантов на водопроводной сети должна обеспечивать пожаротушение любого обслуживаемого данной сетью здания и сооружения.</w:t>
      </w:r>
    </w:p>
    <w:p>
      <w:pPr>
        <w:pStyle w:val="0"/>
        <w:jc w:val="both"/>
      </w:pPr>
      <w:r>
        <w:rPr>
          <w:sz w:val="20"/>
        </w:rPr>
        <w:t xml:space="preserve">(часть 3 в ред. Федерального </w:t>
      </w:r>
      <w:hyperlink w:history="0" r:id="rId24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4. Допускается предусматривать наружное противопожарное водоснабжение от водных объектов и (или) пожарных резервуаров для населенных пунктов с числом жителей до 5000 человек; отдельно стоящих зданий классов функциональной пожарной опасности Ф1.1, Ф1.2, Ф2, Ф3, Ф4 объемом до 1000 кубических метров (либо нескольких зданий и (или) сооружений того же суммарного объема), расположенных в населенных пунктах, не имеющих кольцевого наружного противопожарного водопровода; зданий и сооружений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пожаротушение 15 литров в секунду; складов грубых кормов объемом до 1000 кубических метров (либо нескольких зданий и (или) сооружений того же суммарного объема); складов минеральных удобрений объемом до 5000 кубических метров (либо нескольких зданий и (или) сооружений того же суммарного объема); зданий радиотелевизионных передающих станций, холодильников и хранилищ овощей и фруктов.</w:t>
      </w:r>
    </w:p>
    <w:p>
      <w:pPr>
        <w:pStyle w:val="0"/>
        <w:jc w:val="both"/>
      </w:pPr>
      <w:r>
        <w:rPr>
          <w:sz w:val="20"/>
        </w:rPr>
        <w:t xml:space="preserve">(часть 4 в ред. Федерального </w:t>
      </w:r>
      <w:hyperlink w:history="0" r:id="rId24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5. Допускается не предусматривать противопожарное водоснабжение для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p>
    <w:p>
      <w:pPr>
        <w:pStyle w:val="0"/>
        <w:jc w:val="both"/>
      </w:pPr>
      <w:r>
        <w:rPr>
          <w:sz w:val="20"/>
        </w:rPr>
        <w:t xml:space="preserve">(в ред. Федеральных законов от 10.07.2012 </w:t>
      </w:r>
      <w:hyperlink w:history="0" r:id="rId24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14.07.2022 </w:t>
      </w:r>
      <w:hyperlink w:history="0" r:id="rId24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6 - 18. Утратили силу. - Федеральный </w:t>
      </w:r>
      <w:hyperlink w:history="0" r:id="rId24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ind w:firstLine="540"/>
        <w:jc w:val="both"/>
      </w:pPr>
      <w:r>
        <w:rPr>
          <w:sz w:val="20"/>
        </w:rPr>
      </w:r>
    </w:p>
    <w:p>
      <w:pPr>
        <w:pStyle w:val="2"/>
        <w:outlineLvl w:val="2"/>
        <w:jc w:val="center"/>
      </w:pPr>
      <w:r>
        <w:rPr>
          <w:sz w:val="20"/>
        </w:rPr>
        <w:t xml:space="preserve">Глава 16. ТРЕБОВАНИЯ К ПРОТИВОПОЖАРНЫМ РАССТОЯНИЯМ</w:t>
      </w:r>
    </w:p>
    <w:p>
      <w:pPr>
        <w:pStyle w:val="2"/>
        <w:jc w:val="center"/>
      </w:pPr>
      <w:r>
        <w:rPr>
          <w:sz w:val="20"/>
        </w:rPr>
        <w:t xml:space="preserve">МЕЖДУ ЗДАНИЯМИ И СООРУЖЕНИЯМИ</w:t>
      </w:r>
    </w:p>
    <w:p>
      <w:pPr>
        <w:pStyle w:val="0"/>
        <w:jc w:val="center"/>
      </w:pPr>
      <w:r>
        <w:rPr>
          <w:sz w:val="20"/>
        </w:rPr>
        <w:t xml:space="preserve">(в ред. Федерального </w:t>
      </w:r>
      <w:hyperlink w:history="0" r:id="rId24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69. Противопожарные расстояния между зданиями, сооружениями и лесными насаждениями</w:t>
      </w:r>
    </w:p>
    <w:p>
      <w:pPr>
        <w:pStyle w:val="0"/>
        <w:jc w:val="both"/>
      </w:pPr>
      <w:r>
        <w:rPr>
          <w:sz w:val="20"/>
        </w:rPr>
        <w:t xml:space="preserve">(в ред. Федеральных законов от 27.12.2018 </w:t>
      </w:r>
      <w:hyperlink w:history="0" r:id="rId247"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rPr>
        <w:t xml:space="preserve">, от 14.07.2022 </w:t>
      </w:r>
      <w:hyperlink w:history="0" r:id="rId24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ind w:firstLine="540"/>
        <w:jc w:val="both"/>
      </w:pPr>
      <w:r>
        <w:rPr>
          <w:sz w:val="20"/>
        </w:rPr>
        <w:t xml:space="preserve">(в ред. Федерального </w:t>
      </w:r>
      <w:hyperlink w:history="0" r:id="rId24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w:t>
      </w:r>
      <w:hyperlink w:history="0" w:anchor="P2257" w:tooltip="Таблица 12">
        <w:r>
          <w:rPr>
            <w:sz w:val="20"/>
            <w:color w:val="0000ff"/>
          </w:rPr>
          <w:t xml:space="preserve">таблицах 12</w:t>
        </w:r>
      </w:hyperlink>
      <w:r>
        <w:rPr>
          <w:sz w:val="20"/>
        </w:rPr>
        <w:t xml:space="preserve">, </w:t>
      </w:r>
      <w:hyperlink w:history="0" w:anchor="P2438" w:tooltip="Таблица 15">
        <w:r>
          <w:rPr>
            <w:sz w:val="20"/>
            <w:color w:val="0000ff"/>
          </w:rPr>
          <w:t xml:space="preserve">15</w:t>
        </w:r>
      </w:hyperlink>
      <w:r>
        <w:rPr>
          <w:sz w:val="20"/>
        </w:rPr>
        <w:t xml:space="preserve">, </w:t>
      </w:r>
      <w:hyperlink w:history="0" w:anchor="P2522" w:tooltip="Таблица 17">
        <w:r>
          <w:rPr>
            <w:sz w:val="20"/>
            <w:color w:val="0000ff"/>
          </w:rPr>
          <w:t xml:space="preserve">17</w:t>
        </w:r>
      </w:hyperlink>
      <w:r>
        <w:rPr>
          <w:sz w:val="20"/>
        </w:rPr>
        <w:t xml:space="preserve">, </w:t>
      </w:r>
      <w:hyperlink w:history="0" w:anchor="P2617" w:tooltip="Таблица 18">
        <w:r>
          <w:rPr>
            <w:sz w:val="20"/>
            <w:color w:val="0000ff"/>
          </w:rPr>
          <w:t xml:space="preserve">18</w:t>
        </w:r>
      </w:hyperlink>
      <w:r>
        <w:rPr>
          <w:sz w:val="20"/>
        </w:rPr>
        <w:t xml:space="preserve">, </w:t>
      </w:r>
      <w:hyperlink w:history="0" w:anchor="P2700" w:tooltip="Таблица 19">
        <w:r>
          <w:rPr>
            <w:sz w:val="20"/>
            <w:color w:val="0000ff"/>
          </w:rPr>
          <w:t xml:space="preserve">19</w:t>
        </w:r>
      </w:hyperlink>
      <w:r>
        <w:rPr>
          <w:sz w:val="20"/>
        </w:rPr>
        <w:t xml:space="preserve"> и </w:t>
      </w:r>
      <w:hyperlink w:history="0" w:anchor="P2810" w:tooltip="Таблица 20">
        <w:r>
          <w:rPr>
            <w:sz w:val="20"/>
            <w:color w:val="0000ff"/>
          </w:rPr>
          <w:t xml:space="preserve">20</w:t>
        </w:r>
      </w:hyperlink>
      <w:r>
        <w:rPr>
          <w:sz w:val="20"/>
        </w:rPr>
        <w:t xml:space="preserve"> приложения к настоящему Федеральному закону противопожарные расстояния от зданий, сооружений и технологических установок до граничащих с ними объектов защиты при применении противопожарных преград, предусмотренных </w:t>
      </w:r>
      <w:hyperlink w:history="0" w:anchor="P627" w:tooltip="Статья 37. Классификация противопожарных преград">
        <w:r>
          <w:rPr>
            <w:sz w:val="20"/>
            <w:color w:val="0000ff"/>
          </w:rPr>
          <w:t xml:space="preserve">статьей 37</w:t>
        </w:r>
      </w:hyperlink>
      <w:r>
        <w:rPr>
          <w:sz w:val="20"/>
        </w:rPr>
        <w:t xml:space="preserve"> настоящего Федерального закона. При этом расчетное значение пожарного риска не должно превышать допустимое значение пожарного риска, установленное </w:t>
      </w:r>
      <w:hyperlink w:history="0" w:anchor="P1336" w:tooltip="Статья 93. Нормативные значения пожарного риска для производственных объектов">
        <w:r>
          <w:rPr>
            <w:sz w:val="20"/>
            <w:color w:val="0000ff"/>
          </w:rPr>
          <w:t xml:space="preserve">статьей 93</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250"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29.07.2017 N 244-ФЗ)</w:t>
      </w:r>
    </w:p>
    <w:p>
      <w:pPr>
        <w:pStyle w:val="0"/>
        <w:spacing w:before="200" w:line-rule="auto"/>
        <w:ind w:firstLine="540"/>
        <w:jc w:val="both"/>
      </w:pPr>
      <w:r>
        <w:rPr>
          <w:sz w:val="20"/>
        </w:rPr>
        <w:t xml:space="preserve">2. Противопожарные расстояния должны обеспечивать нераспространение пожара от лесных насаждений до зданий и сооружений.</w:t>
      </w:r>
    </w:p>
    <w:p>
      <w:pPr>
        <w:pStyle w:val="0"/>
        <w:jc w:val="both"/>
      </w:pPr>
      <w:r>
        <w:rPr>
          <w:sz w:val="20"/>
        </w:rPr>
        <w:t xml:space="preserve">(часть 2 в ред. Федерального </w:t>
      </w:r>
      <w:hyperlink w:history="0" r:id="rId25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3. Противопожарные расстояния от критически важных для национальной безопасности Российской Федерации объектов до границ лесных насаждений должны составлять не менее 100 метров, если иное не установлено законодательством Российской Федерации.</w:t>
      </w:r>
    </w:p>
    <w:p>
      <w:pPr>
        <w:pStyle w:val="0"/>
        <w:jc w:val="both"/>
      </w:pPr>
      <w:r>
        <w:rPr>
          <w:sz w:val="20"/>
        </w:rPr>
        <w:t xml:space="preserve">(в ред. Федеральных законов от 27.12.2018 </w:t>
      </w:r>
      <w:hyperlink w:history="0" r:id="rId252"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rPr>
        <w:t xml:space="preserve">, от 14.07.2022 </w:t>
      </w:r>
      <w:hyperlink w:history="0" r:id="rId25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ind w:firstLine="540"/>
        <w:jc w:val="both"/>
      </w:pPr>
      <w:r>
        <w:rPr>
          <w:sz w:val="20"/>
        </w:rPr>
      </w:r>
    </w:p>
    <w:p>
      <w:pPr>
        <w:pStyle w:val="2"/>
        <w:outlineLvl w:val="3"/>
        <w:ind w:firstLine="540"/>
        <w:jc w:val="both"/>
      </w:pPr>
      <w:r>
        <w:rPr>
          <w:sz w:val="20"/>
        </w:rPr>
        <w:t xml:space="preserve">Статья 70. Противопожарные расстояния от зданий и сооружений складов нефти и нефтепродуктов до граничащих с ними объектов защиты</w:t>
      </w:r>
    </w:p>
    <w:p>
      <w:pPr>
        <w:pStyle w:val="0"/>
        <w:jc w:val="both"/>
      </w:pPr>
      <w:r>
        <w:rPr>
          <w:sz w:val="20"/>
        </w:rPr>
        <w:t xml:space="preserve">(в ред. Федерального </w:t>
      </w:r>
      <w:hyperlink w:history="0" r:id="rId25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Противопожарные расстояния от зданий и сооружений категорий А,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w:t>
      </w:r>
      <w:hyperlink w:history="0" w:anchor="P2259" w:tooltip="Противопожарные расстояния от зданий и сооружений">
        <w:r>
          <w:rPr>
            <w:sz w:val="20"/>
            <w:color w:val="0000ff"/>
          </w:rPr>
          <w:t xml:space="preserve">таблицей 12</w:t>
        </w:r>
      </w:hyperlink>
      <w:r>
        <w:rPr>
          <w:sz w:val="20"/>
        </w:rPr>
        <w:t xml:space="preserve"> приложения к настоящему Федеральному закону.</w:t>
      </w:r>
    </w:p>
    <w:p>
      <w:pPr>
        <w:pStyle w:val="0"/>
        <w:jc w:val="both"/>
      </w:pPr>
      <w:r>
        <w:rPr>
          <w:sz w:val="20"/>
        </w:rPr>
        <w:t xml:space="preserve">(в ред. Федерального </w:t>
      </w:r>
      <w:hyperlink w:history="0" r:id="rId25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Расстояния, указанные в </w:t>
      </w:r>
      <w:hyperlink w:history="0" w:anchor="P2259" w:tooltip="Противопожарные расстояния от зданий и сооружений">
        <w:r>
          <w:rPr>
            <w:sz w:val="20"/>
            <w:color w:val="0000ff"/>
          </w:rPr>
          <w:t xml:space="preserve">таблице 12</w:t>
        </w:r>
      </w:hyperlink>
      <w:r>
        <w:rPr>
          <w:sz w:val="20"/>
        </w:rPr>
        <w:t xml:space="preserve"> приложения к настоящему Федеральному закону в скобках, следует принимать для складов II категории общей вместимостью более 50 000 кубических метров. Расстояния, указанные в </w:t>
      </w:r>
      <w:hyperlink w:history="0" w:anchor="P2259" w:tooltip="Противопожарные расстояния от зданий и сооружений">
        <w:r>
          <w:rPr>
            <w:sz w:val="20"/>
            <w:color w:val="0000ff"/>
          </w:rPr>
          <w:t xml:space="preserve">таблице 12</w:t>
        </w:r>
      </w:hyperlink>
      <w:r>
        <w:rPr>
          <w:sz w:val="20"/>
        </w:rPr>
        <w:t xml:space="preserve"> приложения к настоящему Федеральному закону, определяются:</w:t>
      </w:r>
    </w:p>
    <w:p>
      <w:pPr>
        <w:pStyle w:val="0"/>
        <w:spacing w:before="200" w:line-rule="auto"/>
        <w:ind w:firstLine="540"/>
        <w:jc w:val="both"/>
      </w:pPr>
      <w:r>
        <w:rPr>
          <w:sz w:val="20"/>
        </w:rPr>
        <w:t xml:space="preserve">1) между зданиями и сооружениями - как расстояние в свету между наружными стенами или конструкциями зданий и сооружений;</w:t>
      </w:r>
    </w:p>
    <w:p>
      <w:pPr>
        <w:pStyle w:val="0"/>
        <w:jc w:val="both"/>
      </w:pPr>
      <w:r>
        <w:rPr>
          <w:sz w:val="20"/>
        </w:rPr>
        <w:t xml:space="preserve">(в ред. Федерального </w:t>
      </w:r>
      <w:hyperlink w:history="0" r:id="rId25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от сливоналивных устройств - от оси железнодорожного пути со сливоналивными эстакадами;</w:t>
      </w:r>
    </w:p>
    <w:p>
      <w:pPr>
        <w:pStyle w:val="0"/>
        <w:spacing w:before="200" w:line-rule="auto"/>
        <w:ind w:firstLine="540"/>
        <w:jc w:val="both"/>
      </w:pPr>
      <w:r>
        <w:rPr>
          <w:sz w:val="20"/>
        </w:rPr>
        <w:t xml:space="preserve">3) от площадок (открытых и под навесами) для сливоналивных устройств автомобильных цистерн, для насосов, тары - от границ этих площадок;</w:t>
      </w:r>
    </w:p>
    <w:p>
      <w:pPr>
        <w:pStyle w:val="0"/>
        <w:spacing w:before="200" w:line-rule="auto"/>
        <w:ind w:firstLine="540"/>
        <w:jc w:val="both"/>
      </w:pPr>
      <w:r>
        <w:rPr>
          <w:sz w:val="20"/>
        </w:rPr>
        <w:t xml:space="preserve">4) от технологических эстакад и трубопроводов - от крайнего трубопровода;</w:t>
      </w:r>
    </w:p>
    <w:p>
      <w:pPr>
        <w:pStyle w:val="0"/>
        <w:spacing w:before="200" w:line-rule="auto"/>
        <w:ind w:firstLine="540"/>
        <w:jc w:val="both"/>
      </w:pPr>
      <w:r>
        <w:rPr>
          <w:sz w:val="20"/>
        </w:rPr>
        <w:t xml:space="preserve">5) от факельных установок - от ствола факела.</w:t>
      </w:r>
    </w:p>
    <w:p>
      <w:pPr>
        <w:pStyle w:val="0"/>
        <w:spacing w:before="200" w:line-rule="auto"/>
        <w:ind w:firstLine="540"/>
        <w:jc w:val="both"/>
      </w:pPr>
      <w:r>
        <w:rPr>
          <w:sz w:val="20"/>
        </w:rPr>
        <w:t xml:space="preserve">3. Противопожарные расстояния от зданий и сооружений складов нефти и нефтепродуктов до участков открытого залегания торфа допускается уменьшать в два раза от расстояния, указанного в </w:t>
      </w:r>
      <w:hyperlink w:history="0" w:anchor="P2259" w:tooltip="Противопожарные расстояния от зданий и сооружений">
        <w:r>
          <w:rPr>
            <w:sz w:val="20"/>
            <w:color w:val="0000ff"/>
          </w:rPr>
          <w:t xml:space="preserve">таблице 12</w:t>
        </w:r>
      </w:hyperlink>
      <w:r>
        <w:rPr>
          <w:sz w:val="20"/>
        </w:rPr>
        <w:t xml:space="preserve"> приложения к настоящему Федеральному закону, при условии засыпки открытого залегания торфа слоем земли толщиной не менее 0,5 метра в пределах половины расстояния от зданий и сооружений складов нефти и нефтепродуктов.</w:t>
      </w:r>
    </w:p>
    <w:p>
      <w:pPr>
        <w:pStyle w:val="0"/>
        <w:jc w:val="both"/>
      </w:pPr>
      <w:r>
        <w:rPr>
          <w:sz w:val="20"/>
        </w:rPr>
        <w:t xml:space="preserve">(в ред. Федерального </w:t>
      </w:r>
      <w:hyperlink w:history="0" r:id="rId25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4. Расстояние от складов для хранения нефти и нефтепродуктов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со складами нефти и нефтепродуктов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pPr>
        <w:pStyle w:val="0"/>
        <w:jc w:val="both"/>
      </w:pPr>
      <w:r>
        <w:rPr>
          <w:sz w:val="20"/>
        </w:rPr>
        <w:t xml:space="preserve">(в ред. Федеральных законов от 10.07.2012 </w:t>
      </w:r>
      <w:hyperlink w:history="0" r:id="rId25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27.12.2018 </w:t>
      </w:r>
      <w:hyperlink w:history="0" r:id="rId259"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rPr>
        <w:t xml:space="preserve">)</w:t>
      </w:r>
    </w:p>
    <w:p>
      <w:pPr>
        <w:pStyle w:val="0"/>
        <w:spacing w:before="200" w:line-rule="auto"/>
        <w:ind w:firstLine="540"/>
        <w:jc w:val="both"/>
      </w:pPr>
      <w:r>
        <w:rPr>
          <w:sz w:val="20"/>
        </w:rPr>
        <w:t xml:space="preserve">5. 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путей железных дорог общей сети, расположенных на расстоянии до 200 метров от резервуарного парка, а также при размещении складов нефти и нефтепродуктов у берегов рек на расстоянии 200 и менее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 Территории складов нефти и нефтепродуктов должны быть ограждены продуваемой оградой из негорючих материалов высотой не менее 2 метров.</w:t>
      </w:r>
    </w:p>
    <w:p>
      <w:pPr>
        <w:pStyle w:val="0"/>
        <w:spacing w:before="200" w:line-rule="auto"/>
        <w:ind w:firstLine="540"/>
        <w:jc w:val="both"/>
      </w:pPr>
      <w:r>
        <w:rPr>
          <w:sz w:val="20"/>
        </w:rPr>
        <w:t xml:space="preserve">6.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должны составлять не менее расстояний, приведенных в </w:t>
      </w:r>
      <w:hyperlink w:history="0" w:anchor="P2392" w:tooltip="Противопожарные расстояния от зданий и сооружений">
        <w:r>
          <w:rPr>
            <w:sz w:val="20"/>
            <w:color w:val="0000ff"/>
          </w:rPr>
          <w:t xml:space="preserve">таблице 13</w:t>
        </w:r>
      </w:hyperlink>
      <w:r>
        <w:rPr>
          <w:sz w:val="20"/>
        </w:rPr>
        <w:t xml:space="preserve"> приложения к настоящему Федеральному закону.</w:t>
      </w:r>
    </w:p>
    <w:p>
      <w:pPr>
        <w:pStyle w:val="0"/>
        <w:jc w:val="both"/>
      </w:pPr>
      <w:r>
        <w:rPr>
          <w:sz w:val="20"/>
        </w:rPr>
        <w:t xml:space="preserve">(в ред. Федерального </w:t>
      </w:r>
      <w:hyperlink w:history="0" r:id="rId26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7. Категории складов нефти и нефтепродуктов определяются в соответствии с </w:t>
      </w:r>
      <w:hyperlink w:history="0" w:anchor="P2417" w:tooltip="Категории складов для хранения нефти и нефтепродуктов">
        <w:r>
          <w:rPr>
            <w:sz w:val="20"/>
            <w:color w:val="0000ff"/>
          </w:rPr>
          <w:t xml:space="preserve">таблицей 14</w:t>
        </w:r>
      </w:hyperlink>
      <w:r>
        <w:rPr>
          <w:sz w:val="20"/>
        </w:rPr>
        <w:t xml:space="preserve"> приложения к настоящему Федеральному закону.</w:t>
      </w:r>
    </w:p>
    <w:p>
      <w:pPr>
        <w:pStyle w:val="0"/>
        <w:ind w:firstLine="540"/>
        <w:jc w:val="both"/>
      </w:pPr>
      <w:r>
        <w:rPr>
          <w:sz w:val="20"/>
        </w:rPr>
      </w:r>
    </w:p>
    <w:p>
      <w:pPr>
        <w:pStyle w:val="2"/>
        <w:outlineLvl w:val="3"/>
        <w:ind w:firstLine="540"/>
        <w:jc w:val="both"/>
      </w:pPr>
      <w:r>
        <w:rPr>
          <w:sz w:val="20"/>
        </w:rPr>
        <w:t xml:space="preserve">Статья 71. Противопожарные расстояния от зданий и сооружений автозаправочных станций до граничащих с ними объектов защиты</w:t>
      </w:r>
    </w:p>
    <w:p>
      <w:pPr>
        <w:pStyle w:val="0"/>
        <w:jc w:val="both"/>
      </w:pPr>
      <w:r>
        <w:rPr>
          <w:sz w:val="20"/>
        </w:rPr>
        <w:t xml:space="preserve">(в ред. Федерального </w:t>
      </w:r>
      <w:hyperlink w:history="0" r:id="rId26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pPr>
        <w:pStyle w:val="0"/>
        <w:jc w:val="both"/>
      </w:pPr>
      <w:r>
        <w:rPr>
          <w:sz w:val="20"/>
        </w:rPr>
        <w:t xml:space="preserve">(в ред. Федерального </w:t>
      </w:r>
      <w:hyperlink w:history="0" r:id="rId26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pPr>
        <w:pStyle w:val="0"/>
        <w:jc w:val="both"/>
      </w:pPr>
      <w:r>
        <w:rPr>
          <w:sz w:val="20"/>
        </w:rPr>
        <w:t xml:space="preserve">(в ред. Федерального </w:t>
      </w:r>
      <w:hyperlink w:history="0" r:id="rId263"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до окон или дверей (для жилых и общественных зданий).</w:t>
      </w:r>
    </w:p>
    <w:p>
      <w:pPr>
        <w:pStyle w:val="0"/>
        <w:spacing w:before="200" w:line-rule="auto"/>
        <w:ind w:firstLine="540"/>
        <w:jc w:val="both"/>
      </w:pPr>
      <w:r>
        <w:rPr>
          <w:sz w:val="20"/>
        </w:rPr>
        <w:t xml:space="preserve">2. Противопожарные расстояния от автозаправочных станций моторного топлива до соседних объектов должны соответствовать требованиям, установленным в </w:t>
      </w:r>
      <w:hyperlink w:history="0" w:anchor="P2440" w:tooltip="Противопожарные расстояния от автозаправочных станций">
        <w:r>
          <w:rPr>
            <w:sz w:val="20"/>
            <w:color w:val="0000ff"/>
          </w:rPr>
          <w:t xml:space="preserve">таблице 15</w:t>
        </w:r>
      </w:hyperlink>
      <w:r>
        <w:rPr>
          <w:sz w:val="20"/>
        </w:rPr>
        <w:t xml:space="preserve"> приложения к настоящему Федеральному закону.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pPr>
        <w:pStyle w:val="0"/>
        <w:spacing w:before="200" w:line-rule="auto"/>
        <w:ind w:firstLine="540"/>
        <w:jc w:val="both"/>
      </w:pPr>
      <w:r>
        <w:rPr>
          <w:sz w:val="20"/>
        </w:rPr>
        <w:t xml:space="preserve">3.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pPr>
        <w:pStyle w:val="0"/>
        <w:jc w:val="both"/>
      </w:pPr>
      <w:r>
        <w:rPr>
          <w:sz w:val="20"/>
        </w:rPr>
        <w:t xml:space="preserve">(в ред. Федеральных законов от 10.07.2012 </w:t>
      </w:r>
      <w:hyperlink w:history="0" r:id="rId26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27.12.2018 </w:t>
      </w:r>
      <w:hyperlink w:history="0" r:id="rId265"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rPr>
        <w:t xml:space="preserve">)</w:t>
      </w:r>
    </w:p>
    <w:p>
      <w:pPr>
        <w:pStyle w:val="0"/>
        <w:spacing w:before="200" w:line-rule="auto"/>
        <w:ind w:firstLine="540"/>
        <w:jc w:val="both"/>
      </w:pPr>
      <w:r>
        <w:rPr>
          <w:sz w:val="20"/>
        </w:rPr>
        <w:t xml:space="preserve">4.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pPr>
        <w:pStyle w:val="0"/>
        <w:spacing w:before="200" w:line-rule="auto"/>
        <w:ind w:firstLine="540"/>
        <w:jc w:val="both"/>
      </w:pPr>
      <w:r>
        <w:rPr>
          <w:sz w:val="20"/>
        </w:rPr>
        <w:t xml:space="preserve">5. Противопожарные расстояния от автозаправочных станций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должны составлять не менее 50 метров.</w:t>
      </w:r>
    </w:p>
    <w:p>
      <w:pPr>
        <w:pStyle w:val="0"/>
        <w:jc w:val="both"/>
      </w:pPr>
      <w:r>
        <w:rPr>
          <w:sz w:val="20"/>
        </w:rPr>
        <w:t xml:space="preserve">(в ред. Федерального </w:t>
      </w:r>
      <w:hyperlink w:history="0" r:id="rId266"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2"/>
        <w:outlineLvl w:val="3"/>
        <w:ind w:firstLine="540"/>
        <w:jc w:val="both"/>
      </w:pPr>
      <w:r>
        <w:rPr>
          <w:sz w:val="20"/>
        </w:rPr>
        <w:t xml:space="preserve">Статья 72. Утратила силу. - Федеральный </w:t>
      </w:r>
      <w:hyperlink w:history="0" r:id="rId26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73. Противопожарные расстояния от резервуаров сжиженных углеводородных газов до зданий и сооружений</w:t>
      </w:r>
    </w:p>
    <w:p>
      <w:pPr>
        <w:pStyle w:val="0"/>
        <w:jc w:val="both"/>
      </w:pPr>
      <w:r>
        <w:rPr>
          <w:sz w:val="20"/>
        </w:rPr>
        <w:t xml:space="preserve">(в ред. Федерального </w:t>
      </w:r>
      <w:hyperlink w:history="0" r:id="rId26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Противопожарные расстояния от резервуаров сжиженных углеводородных газов, размещаемых на складе организации, общей вместимостью до 10 000 кубических метров при хранении под давлением или вместимостью до 40 000 кубических метров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history="0" w:anchor="P2524" w:tooltip="Противопожарные расстояния от резервуара на складе">
        <w:r>
          <w:rPr>
            <w:sz w:val="20"/>
            <w:color w:val="0000ff"/>
          </w:rPr>
          <w:t xml:space="preserve">таблице 17</w:t>
        </w:r>
      </w:hyperlink>
      <w:r>
        <w:rPr>
          <w:sz w:val="20"/>
        </w:rPr>
        <w:t xml:space="preserve"> приложения к настоящему Федеральному закону.</w:t>
      </w:r>
    </w:p>
    <w:p>
      <w:pPr>
        <w:pStyle w:val="0"/>
        <w:spacing w:before="200" w:line-rule="auto"/>
        <w:ind w:firstLine="540"/>
        <w:jc w:val="both"/>
      </w:pPr>
      <w:r>
        <w:rPr>
          <w:sz w:val="20"/>
        </w:rPr>
        <w:t xml:space="preserve">2. Противопожарные расстояния от отдельно стоящей сливоналивной эстакады до соседних объектов, жилых домов и общественных зданий и сооружений принимаются как расстояния от резервуаров сжиженных углеводородных газов и легковоспламеняющихся жидкостей под давлением.</w:t>
      </w:r>
    </w:p>
    <w:p>
      <w:pPr>
        <w:pStyle w:val="0"/>
        <w:jc w:val="both"/>
      </w:pPr>
      <w:r>
        <w:rPr>
          <w:sz w:val="20"/>
        </w:rPr>
        <w:t xml:space="preserve">(в ред. Федерального </w:t>
      </w:r>
      <w:hyperlink w:history="0" r:id="rId26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Противопожарные расстояния от резервуаров сжиженных углеводородных газов, размещаемых на складе организации, общей вместимостью от 10 000 до 20 000 кубических метров при хранении под давлением либо вместимостью от 40 000 до 60 000 кубических метров при хранении изотермическим способом в надземных резервуарах или вместимостью от 40 000 до 100 000 кубических метров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history="0" w:anchor="P2619" w:tooltip="Противопожарные расстояния от складов сжиженных">
        <w:r>
          <w:rPr>
            <w:sz w:val="20"/>
            <w:color w:val="0000ff"/>
          </w:rPr>
          <w:t xml:space="preserve">таблице 18</w:t>
        </w:r>
      </w:hyperlink>
      <w:r>
        <w:rPr>
          <w:sz w:val="20"/>
        </w:rPr>
        <w:t xml:space="preserve"> приложения к настоящему Федеральному закону.</w:t>
      </w:r>
    </w:p>
    <w:p>
      <w:pPr>
        <w:pStyle w:val="0"/>
        <w:ind w:firstLine="540"/>
        <w:jc w:val="both"/>
      </w:pPr>
      <w:r>
        <w:rPr>
          <w:sz w:val="20"/>
        </w:rPr>
      </w:r>
    </w:p>
    <w:p>
      <w:pPr>
        <w:pStyle w:val="2"/>
        <w:outlineLvl w:val="3"/>
        <w:ind w:firstLine="540"/>
        <w:jc w:val="both"/>
      </w:pPr>
      <w:r>
        <w:rPr>
          <w:sz w:val="20"/>
        </w:rPr>
        <w:t xml:space="preserve">Статья 74. Противопожарные расстояния от газопроводов, нефтепроводов, нефтепродуктопроводов, конденсатопроводов до соседних объектов защиты</w:t>
      </w:r>
    </w:p>
    <w:p>
      <w:pPr>
        <w:pStyle w:val="0"/>
        <w:ind w:firstLine="540"/>
        <w:jc w:val="both"/>
      </w:pPr>
      <w:r>
        <w:rPr>
          <w:sz w:val="20"/>
        </w:rPr>
      </w:r>
    </w:p>
    <w:p>
      <w:pPr>
        <w:pStyle w:val="0"/>
        <w:ind w:firstLine="540"/>
        <w:jc w:val="both"/>
      </w:pPr>
      <w:r>
        <w:rPr>
          <w:sz w:val="20"/>
        </w:rPr>
        <w:t xml:space="preserve">1. 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w:t>
      </w:r>
      <w:hyperlink w:history="0" r:id="rId270"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pPr>
        <w:pStyle w:val="0"/>
        <w:jc w:val="both"/>
      </w:pPr>
      <w:r>
        <w:rPr>
          <w:sz w:val="20"/>
        </w:rPr>
        <w:t xml:space="preserve">(в ред. Федерального </w:t>
      </w:r>
      <w:hyperlink w:history="0" r:id="rId27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history="0" w:anchor="P2702" w:tooltip="Противопожарные расстояния от резервуарных установок">
        <w:r>
          <w:rPr>
            <w:sz w:val="20"/>
            <w:color w:val="0000ff"/>
          </w:rPr>
          <w:t xml:space="preserve">таблицах 19</w:t>
        </w:r>
      </w:hyperlink>
      <w:r>
        <w:rPr>
          <w:sz w:val="20"/>
        </w:rPr>
        <w:t xml:space="preserve"> и </w:t>
      </w:r>
      <w:hyperlink w:history="0" w:anchor="P2812" w:tooltip="Противопожарные расстояния от резервуарных установок">
        <w:r>
          <w:rPr>
            <w:sz w:val="20"/>
            <w:color w:val="0000ff"/>
          </w:rPr>
          <w:t xml:space="preserve">20</w:t>
        </w:r>
      </w:hyperlink>
      <w:r>
        <w:rPr>
          <w:sz w:val="20"/>
        </w:rPr>
        <w:t xml:space="preserve"> приложения к настоящему Федеральному закону.</w:t>
      </w:r>
    </w:p>
    <w:p>
      <w:pPr>
        <w:pStyle w:val="0"/>
        <w:jc w:val="both"/>
      </w:pPr>
      <w:r>
        <w:rPr>
          <w:sz w:val="20"/>
        </w:rPr>
        <w:t xml:space="preserve">(в ред. Федерального </w:t>
      </w:r>
      <w:hyperlink w:history="0" r:id="rId27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При установке 2 резервуаров сжиженных углеводородных газов единичной вместимостью по 50 кубических метров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метров, для подземных - до 50 метров.</w:t>
      </w:r>
    </w:p>
    <w:p>
      <w:pPr>
        <w:pStyle w:val="0"/>
        <w:jc w:val="both"/>
      </w:pPr>
      <w:r>
        <w:rPr>
          <w:sz w:val="20"/>
        </w:rPr>
        <w:t xml:space="preserve">(в ред. Федерального </w:t>
      </w:r>
      <w:hyperlink w:history="0" r:id="rId27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4. 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образовательных организаций и лечебных учреждений стационарного типа следует увеличить в два раза по сравнению с расстояниями, указанными в </w:t>
      </w:r>
      <w:hyperlink w:history="0" w:anchor="P2812" w:tooltip="Противопожарные расстояния от резервуарных установок">
        <w:r>
          <w:rPr>
            <w:sz w:val="20"/>
            <w:color w:val="0000ff"/>
          </w:rPr>
          <w:t xml:space="preserve">таблице 20</w:t>
        </w:r>
      </w:hyperlink>
      <w:r>
        <w:rPr>
          <w:sz w:val="20"/>
        </w:rPr>
        <w:t xml:space="preserve"> приложения к настоящему Федеральному закону, независимо от количества мест.</w:t>
      </w:r>
    </w:p>
    <w:p>
      <w:pPr>
        <w:pStyle w:val="0"/>
        <w:jc w:val="both"/>
      </w:pPr>
      <w:r>
        <w:rPr>
          <w:sz w:val="20"/>
        </w:rPr>
        <w:t xml:space="preserve">(часть 4 в ред. Федерального </w:t>
      </w:r>
      <w:hyperlink w:history="0" r:id="rId274" w:tooltip="Федеральный закон от 30.04.2021 N 11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117-ФЗ)</w:t>
      </w:r>
    </w:p>
    <w:p>
      <w:pPr>
        <w:pStyle w:val="0"/>
        <w:ind w:firstLine="540"/>
        <w:jc w:val="both"/>
      </w:pPr>
      <w:r>
        <w:rPr>
          <w:sz w:val="20"/>
        </w:rPr>
      </w:r>
    </w:p>
    <w:p>
      <w:pPr>
        <w:pStyle w:val="2"/>
        <w:outlineLvl w:val="3"/>
        <w:ind w:firstLine="540"/>
        <w:jc w:val="both"/>
      </w:pPr>
      <w:r>
        <w:rPr>
          <w:sz w:val="20"/>
        </w:rPr>
        <w:t xml:space="preserve">Статья 75. Утратила силу. - Федеральный </w:t>
      </w:r>
      <w:hyperlink w:history="0" r:id="rId27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ind w:firstLine="540"/>
        <w:jc w:val="both"/>
      </w:pPr>
      <w:r>
        <w:rPr>
          <w:sz w:val="20"/>
        </w:rPr>
      </w:r>
    </w:p>
    <w:p>
      <w:pPr>
        <w:pStyle w:val="2"/>
        <w:outlineLvl w:val="2"/>
        <w:jc w:val="center"/>
      </w:pPr>
      <w:r>
        <w:rPr>
          <w:sz w:val="20"/>
        </w:rPr>
        <w:t xml:space="preserve">Глава 17. ОБЩИЕ ТРЕБОВАНИЯ ПОЖАРНОЙ</w:t>
      </w:r>
    </w:p>
    <w:p>
      <w:pPr>
        <w:pStyle w:val="2"/>
        <w:jc w:val="center"/>
      </w:pPr>
      <w:r>
        <w:rPr>
          <w:sz w:val="20"/>
        </w:rPr>
        <w:t xml:space="preserve">БЕЗОПАСНОСТИ ПО РАЗМЕЩЕНИЮ ЗДАНИЙ ПОЖАРНЫХ ДЕПО</w:t>
      </w:r>
    </w:p>
    <w:p>
      <w:pPr>
        <w:pStyle w:val="2"/>
        <w:jc w:val="center"/>
      </w:pPr>
      <w:r>
        <w:rPr>
          <w:sz w:val="20"/>
        </w:rPr>
        <w:t xml:space="preserve">НА ТЕРРИТОРИЯХ НАСЕЛЕННЫХ ПУНКТОВ</w:t>
      </w:r>
    </w:p>
    <w:p>
      <w:pPr>
        <w:pStyle w:val="0"/>
        <w:jc w:val="center"/>
      </w:pPr>
      <w:r>
        <w:rPr>
          <w:sz w:val="20"/>
        </w:rPr>
        <w:t xml:space="preserve">(в ред. Федерального </w:t>
      </w:r>
      <w:hyperlink w:history="0" r:id="rId27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ind w:firstLine="540"/>
        <w:jc w:val="both"/>
      </w:pPr>
      <w:r>
        <w:rPr>
          <w:sz w:val="20"/>
        </w:rPr>
      </w:r>
    </w:p>
    <w:p>
      <w:pPr>
        <w:pStyle w:val="2"/>
        <w:outlineLvl w:val="3"/>
        <w:ind w:firstLine="540"/>
        <w:jc w:val="both"/>
      </w:pPr>
      <w:r>
        <w:rPr>
          <w:sz w:val="20"/>
        </w:rPr>
        <w:t xml:space="preserve">Статья 76. Требования пожарной безопасности по размещению зданий пожарных депо на территориях населенных пунктов</w:t>
      </w:r>
    </w:p>
    <w:p>
      <w:pPr>
        <w:pStyle w:val="0"/>
        <w:jc w:val="both"/>
      </w:pPr>
      <w:r>
        <w:rPr>
          <w:sz w:val="20"/>
        </w:rPr>
        <w:t xml:space="preserve">(в ред. Федерального </w:t>
      </w:r>
      <w:hyperlink w:history="0" r:id="rId27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ind w:firstLine="540"/>
        <w:jc w:val="both"/>
      </w:pPr>
      <w:r>
        <w:rPr>
          <w:sz w:val="20"/>
        </w:rPr>
      </w:r>
    </w:p>
    <w:bookmarkStart w:id="1006" w:name="P1006"/>
    <w:bookmarkEnd w:id="1006"/>
    <w:p>
      <w:pPr>
        <w:pStyle w:val="0"/>
        <w:ind w:firstLine="540"/>
        <w:jc w:val="both"/>
      </w:pPr>
      <w:r>
        <w:rPr>
          <w:sz w:val="20"/>
        </w:rPr>
        <w:t xml:space="preserve">1. Здания пожарных депо на территориях населенных пунктов следует размещать исходя из условия, что время прибытия первого подразделения к месту вызова в городских населенных пунктах не должно превышать 10 минут, в сельских населенных пунктах 20 минут.</w:t>
      </w:r>
    </w:p>
    <w:p>
      <w:pPr>
        <w:pStyle w:val="0"/>
        <w:jc w:val="both"/>
      </w:pPr>
      <w:r>
        <w:rPr>
          <w:sz w:val="20"/>
        </w:rPr>
        <w:t xml:space="preserve">(часть 1 в ред. Федерального </w:t>
      </w:r>
      <w:hyperlink w:history="0" r:id="rId27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 Подразделения пожарной охраны населенных пунктов должны размещаться в зданиях пожарных депо.</w:t>
      </w:r>
    </w:p>
    <w:p>
      <w:pPr>
        <w:pStyle w:val="0"/>
        <w:spacing w:before="200" w:line-rule="auto"/>
        <w:ind w:firstLine="540"/>
        <w:jc w:val="both"/>
      </w:pPr>
      <w:r>
        <w:rPr>
          <w:sz w:val="20"/>
        </w:rPr>
        <w:t xml:space="preserve">3. </w:t>
      </w:r>
      <w:hyperlink w:history="0" r:id="rId279" w:tooltip="&quot;СП 11.13130.2009. Свод правил. Места дислокации подразделений пожарной охраны. Порядок и методика определения&quot; (утв. Приказом МЧС РФ от 25.03.2009 N 181) (ред. от 09.12.2010) {КонсультантПлюс}">
        <w:r>
          <w:rPr>
            <w:sz w:val="20"/>
            <w:color w:val="0000ff"/>
          </w:rPr>
          <w:t xml:space="preserve">Порядок и методика</w:t>
        </w:r>
      </w:hyperlink>
      <w:r>
        <w:rPr>
          <w:sz w:val="20"/>
        </w:rPr>
        <w:t xml:space="preserve"> определения мест размещения зданий пожарных депо на территориях населенных пунктов устанавливаются нормативными документами по пожарной безопасности.</w:t>
      </w:r>
    </w:p>
    <w:p>
      <w:pPr>
        <w:pStyle w:val="0"/>
        <w:jc w:val="both"/>
      </w:pPr>
      <w:r>
        <w:rPr>
          <w:sz w:val="20"/>
        </w:rPr>
        <w:t xml:space="preserve">(в ред. Федерального </w:t>
      </w:r>
      <w:hyperlink w:history="0" r:id="rId28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ind w:firstLine="540"/>
        <w:jc w:val="both"/>
      </w:pPr>
      <w:r>
        <w:rPr>
          <w:sz w:val="20"/>
        </w:rPr>
      </w:r>
    </w:p>
    <w:p>
      <w:pPr>
        <w:pStyle w:val="2"/>
        <w:outlineLvl w:val="3"/>
        <w:ind w:firstLine="540"/>
        <w:jc w:val="both"/>
      </w:pPr>
      <w:r>
        <w:rPr>
          <w:sz w:val="20"/>
        </w:rPr>
        <w:t xml:space="preserve">Статья 77. Требования пожарной безопасности к пожарным депо</w:t>
      </w:r>
    </w:p>
    <w:p>
      <w:pPr>
        <w:pStyle w:val="0"/>
        <w:ind w:firstLine="540"/>
        <w:jc w:val="both"/>
      </w:pPr>
      <w:r>
        <w:rPr>
          <w:sz w:val="20"/>
        </w:rPr>
      </w:r>
    </w:p>
    <w:p>
      <w:pPr>
        <w:pStyle w:val="0"/>
        <w:ind w:firstLine="540"/>
        <w:jc w:val="both"/>
      </w:pPr>
      <w:r>
        <w:rPr>
          <w:sz w:val="20"/>
        </w:rPr>
        <w:t xml:space="preserve">1. 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pPr>
        <w:pStyle w:val="0"/>
        <w:spacing w:before="200" w:line-rule="auto"/>
        <w:ind w:firstLine="540"/>
        <w:jc w:val="both"/>
      </w:pPr>
      <w:r>
        <w:rPr>
          <w:sz w:val="20"/>
        </w:rPr>
        <w:t xml:space="preserve">2. Утратил силу. - Федеральный </w:t>
      </w:r>
      <w:hyperlink w:history="0" r:id="rId281"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29.07.2017 N 244-ФЗ.</w:t>
      </w:r>
    </w:p>
    <w:p>
      <w:pPr>
        <w:pStyle w:val="0"/>
        <w:spacing w:before="200" w:line-rule="auto"/>
        <w:ind w:firstLine="540"/>
        <w:jc w:val="both"/>
      </w:pPr>
      <w:r>
        <w:rPr>
          <w:sz w:val="20"/>
        </w:rPr>
        <w:t xml:space="preserve">3. 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pPr>
        <w:pStyle w:val="0"/>
        <w:spacing w:before="200" w:line-rule="auto"/>
        <w:ind w:firstLine="540"/>
        <w:jc w:val="both"/>
      </w:pPr>
      <w:r>
        <w:rPr>
          <w:sz w:val="20"/>
        </w:rPr>
        <w:t xml:space="preserve">4. Состав зданий и сооружений, размещаемых на территории пожарного депо, площади зданий и сооружений определяются техническим заданием на проектирование.</w:t>
      </w:r>
    </w:p>
    <w:p>
      <w:pPr>
        <w:pStyle w:val="0"/>
        <w:jc w:val="both"/>
      </w:pPr>
      <w:r>
        <w:rPr>
          <w:sz w:val="20"/>
        </w:rPr>
        <w:t xml:space="preserve">(в ред. Федерального </w:t>
      </w:r>
      <w:hyperlink w:history="0" r:id="rId28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5. Территория пожарного депо должна иметь два въезда (выезда). Ширина ворот на въезде (выезде) должна быть не менее 4,5 метра.</w:t>
      </w:r>
    </w:p>
    <w:p>
      <w:pPr>
        <w:pStyle w:val="0"/>
        <w:spacing w:before="200" w:line-rule="auto"/>
        <w:ind w:firstLine="540"/>
        <w:jc w:val="both"/>
      </w:pPr>
      <w:r>
        <w:rPr>
          <w:sz w:val="20"/>
        </w:rPr>
        <w:t xml:space="preserve">6. Дороги и площадки на территории пожарного депо должны иметь твердое покрытие.</w:t>
      </w:r>
    </w:p>
    <w:p>
      <w:pPr>
        <w:pStyle w:val="0"/>
        <w:spacing w:before="200" w:line-rule="auto"/>
        <w:ind w:firstLine="540"/>
        <w:jc w:val="both"/>
      </w:pPr>
      <w:r>
        <w:rPr>
          <w:sz w:val="20"/>
        </w:rPr>
        <w:t xml:space="preserve">7. 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pPr>
        <w:pStyle w:val="0"/>
        <w:ind w:firstLine="540"/>
        <w:jc w:val="both"/>
      </w:pPr>
      <w:r>
        <w:rPr>
          <w:sz w:val="20"/>
        </w:rPr>
      </w:r>
    </w:p>
    <w:p>
      <w:pPr>
        <w:pStyle w:val="2"/>
        <w:outlineLvl w:val="1"/>
        <w:jc w:val="center"/>
      </w:pPr>
      <w:r>
        <w:rPr>
          <w:sz w:val="20"/>
        </w:rPr>
        <w:t xml:space="preserve">Раздел III. ТРЕБОВАНИЯ ПОЖАРНОЙ БЕЗОПАСНОСТИ</w:t>
      </w:r>
    </w:p>
    <w:p>
      <w:pPr>
        <w:pStyle w:val="2"/>
        <w:jc w:val="center"/>
      </w:pPr>
      <w:r>
        <w:rPr>
          <w:sz w:val="20"/>
        </w:rPr>
        <w:t xml:space="preserve">ПРИ АРХИТЕКТУРНО-СТРОИТЕЛЬНОМ ПРОЕКТИРОВАНИИ, СТРОИТЕЛЬСТВЕ</w:t>
      </w:r>
    </w:p>
    <w:p>
      <w:pPr>
        <w:pStyle w:val="2"/>
        <w:jc w:val="center"/>
      </w:pPr>
      <w:r>
        <w:rPr>
          <w:sz w:val="20"/>
        </w:rPr>
        <w:t xml:space="preserve">И ЭКСПЛУАТАЦИИ ЗДАНИЙ И СООРУЖЕНИЙ</w:t>
      </w:r>
    </w:p>
    <w:p>
      <w:pPr>
        <w:pStyle w:val="0"/>
        <w:jc w:val="center"/>
      </w:pPr>
      <w:r>
        <w:rPr>
          <w:sz w:val="20"/>
        </w:rPr>
        <w:t xml:space="preserve">(в ред. Федерального </w:t>
      </w:r>
      <w:hyperlink w:history="0" r:id="rId28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ind w:firstLine="540"/>
        <w:jc w:val="both"/>
      </w:pPr>
      <w:r>
        <w:rPr>
          <w:sz w:val="20"/>
        </w:rPr>
      </w:r>
    </w:p>
    <w:p>
      <w:pPr>
        <w:pStyle w:val="2"/>
        <w:outlineLvl w:val="2"/>
        <w:jc w:val="center"/>
      </w:pPr>
      <w:r>
        <w:rPr>
          <w:sz w:val="20"/>
        </w:rPr>
        <w:t xml:space="preserve">Глава 18. ОБЩИЕ ТРЕБОВАНИЯ ПОЖАРНОЙ БЕЗОПАСНОСТИ</w:t>
      </w:r>
    </w:p>
    <w:p>
      <w:pPr>
        <w:pStyle w:val="2"/>
        <w:jc w:val="center"/>
      </w:pPr>
      <w:r>
        <w:rPr>
          <w:sz w:val="20"/>
        </w:rPr>
        <w:t xml:space="preserve">ПРИ АРХИТЕКТУРНО-СТРОИТЕЛЬНОМ ПРОЕКТИРОВАНИИ, СТРОИТЕЛЬСТВЕ</w:t>
      </w:r>
    </w:p>
    <w:p>
      <w:pPr>
        <w:pStyle w:val="2"/>
        <w:jc w:val="center"/>
      </w:pPr>
      <w:r>
        <w:rPr>
          <w:sz w:val="20"/>
        </w:rPr>
        <w:t xml:space="preserve">И ЭКСПЛУАТАЦИИ ЗДАНИЙ И СООРУЖЕНИЙ</w:t>
      </w:r>
    </w:p>
    <w:p>
      <w:pPr>
        <w:pStyle w:val="0"/>
        <w:jc w:val="center"/>
      </w:pPr>
      <w:r>
        <w:rPr>
          <w:sz w:val="20"/>
        </w:rPr>
        <w:t xml:space="preserve">(в ред. Федеральных законов от 10.07.2012 </w:t>
      </w:r>
      <w:hyperlink w:history="0" r:id="rId28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w:t>
      </w:r>
    </w:p>
    <w:p>
      <w:pPr>
        <w:pStyle w:val="0"/>
        <w:jc w:val="center"/>
      </w:pPr>
      <w:r>
        <w:rPr>
          <w:sz w:val="20"/>
        </w:rPr>
        <w:t xml:space="preserve">от 14.07.2022 </w:t>
      </w:r>
      <w:hyperlink w:history="0" r:id="rId28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ind w:firstLine="540"/>
        <w:jc w:val="both"/>
      </w:pPr>
      <w:r>
        <w:rPr>
          <w:sz w:val="20"/>
        </w:rPr>
      </w:r>
    </w:p>
    <w:p>
      <w:pPr>
        <w:pStyle w:val="2"/>
        <w:outlineLvl w:val="3"/>
        <w:ind w:firstLine="540"/>
        <w:jc w:val="both"/>
      </w:pPr>
      <w:r>
        <w:rPr>
          <w:sz w:val="20"/>
        </w:rPr>
        <w:t xml:space="preserve">Статья 78. Требования к проектной документации на объекты строительства</w:t>
      </w:r>
    </w:p>
    <w:p>
      <w:pPr>
        <w:pStyle w:val="0"/>
        <w:ind w:firstLine="540"/>
        <w:jc w:val="both"/>
      </w:pPr>
      <w:r>
        <w:rPr>
          <w:sz w:val="20"/>
        </w:rPr>
      </w:r>
    </w:p>
    <w:p>
      <w:pPr>
        <w:pStyle w:val="0"/>
        <w:ind w:firstLine="540"/>
        <w:jc w:val="both"/>
      </w:pPr>
      <w:r>
        <w:rPr>
          <w:sz w:val="20"/>
        </w:rPr>
        <w:t xml:space="preserve">1. Проектная документация на здания, сооружения, строительные конструкции, инженерное оборудование и строительные материалы должна содержать пожарно-технические характеристики, предусмотренные настоящим Федеральным законом.</w:t>
      </w:r>
    </w:p>
    <w:p>
      <w:pPr>
        <w:pStyle w:val="0"/>
        <w:jc w:val="both"/>
      </w:pPr>
      <w:r>
        <w:rPr>
          <w:sz w:val="20"/>
        </w:rPr>
        <w:t xml:space="preserve">(в ред. Федерального </w:t>
      </w:r>
      <w:hyperlink w:history="0" r:id="rId28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Для зданий, сооружений, для которых отсутствуют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p>
    <w:p>
      <w:pPr>
        <w:pStyle w:val="0"/>
        <w:jc w:val="both"/>
      </w:pPr>
      <w:r>
        <w:rPr>
          <w:sz w:val="20"/>
        </w:rPr>
        <w:t xml:space="preserve">(в ред. Федерального </w:t>
      </w:r>
      <w:hyperlink w:history="0" r:id="rId28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bookmarkStart w:id="1041" w:name="P1041"/>
    <w:bookmarkEnd w:id="1041"/>
    <w:p>
      <w:pPr>
        <w:pStyle w:val="2"/>
        <w:outlineLvl w:val="3"/>
        <w:ind w:firstLine="540"/>
        <w:jc w:val="both"/>
      </w:pPr>
      <w:r>
        <w:rPr>
          <w:sz w:val="20"/>
        </w:rPr>
        <w:t xml:space="preserve">Статья 79. Нормативное значение пожарного риска для зданий и сооружений</w:t>
      </w:r>
    </w:p>
    <w:p>
      <w:pPr>
        <w:pStyle w:val="0"/>
        <w:jc w:val="both"/>
      </w:pPr>
      <w:r>
        <w:rPr>
          <w:sz w:val="20"/>
        </w:rPr>
        <w:t xml:space="preserve">(в ред. Федерального </w:t>
      </w:r>
      <w:hyperlink w:history="0" r:id="rId28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Индивидуальный пожарный риск в зданиях и сооружениях не должен превышать значение одной миллионной в год при размещении отдельного человека в наиболее удаленной от выхода из здания и сооружения точке.</w:t>
      </w:r>
    </w:p>
    <w:p>
      <w:pPr>
        <w:pStyle w:val="0"/>
        <w:jc w:val="both"/>
      </w:pPr>
      <w:r>
        <w:rPr>
          <w:sz w:val="20"/>
        </w:rPr>
        <w:t xml:space="preserve">(в ред. Федерального </w:t>
      </w:r>
      <w:hyperlink w:history="0" r:id="rId28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pPr>
        <w:pStyle w:val="0"/>
        <w:jc w:val="both"/>
      </w:pPr>
      <w:r>
        <w:rPr>
          <w:sz w:val="20"/>
        </w:rPr>
        <w:t xml:space="preserve">(в ред. Федерального </w:t>
      </w:r>
      <w:hyperlink w:history="0" r:id="rId29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80. Требования пожарной безопасности при проектировании, реконструкции и изменении функционального назначения зданий и сооружений</w:t>
      </w:r>
    </w:p>
    <w:p>
      <w:pPr>
        <w:pStyle w:val="0"/>
        <w:jc w:val="both"/>
      </w:pPr>
      <w:r>
        <w:rPr>
          <w:sz w:val="20"/>
        </w:rPr>
        <w:t xml:space="preserve">(в ред. Федерального </w:t>
      </w:r>
      <w:hyperlink w:history="0" r:id="rId29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Конструктивные, объемно-планировочные и инженерно-технические решения зданий и сооружений должны обеспечивать в случае пожара:</w:t>
      </w:r>
    </w:p>
    <w:p>
      <w:pPr>
        <w:pStyle w:val="0"/>
        <w:jc w:val="both"/>
      </w:pPr>
      <w:r>
        <w:rPr>
          <w:sz w:val="20"/>
        </w:rPr>
        <w:t xml:space="preserve">(в ред. Федерального </w:t>
      </w:r>
      <w:hyperlink w:history="0" r:id="rId29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 эвакуацию людей в безопасную зону до нанесения вреда их жизни и здоровью вследствие воздействия опасных факторов пожара;</w:t>
      </w:r>
    </w:p>
    <w:p>
      <w:pPr>
        <w:pStyle w:val="0"/>
        <w:spacing w:before="200" w:line-rule="auto"/>
        <w:ind w:firstLine="540"/>
        <w:jc w:val="both"/>
      </w:pPr>
      <w:r>
        <w:rPr>
          <w:sz w:val="20"/>
        </w:rPr>
        <w:t xml:space="preserve">2) возможность проведения мероприятий по спасению людей;</w:t>
      </w:r>
    </w:p>
    <w:p>
      <w:pPr>
        <w:pStyle w:val="0"/>
        <w:spacing w:before="200" w:line-rule="auto"/>
        <w:ind w:firstLine="540"/>
        <w:jc w:val="both"/>
      </w:pPr>
      <w:r>
        <w:rPr>
          <w:sz w:val="20"/>
        </w:rPr>
        <w:t xml:space="preserve">3) возможность доступа личного состава подразделений пожарной охраны и доставки средств пожаротушения в любое помещение зданий и сооружений;</w:t>
      </w:r>
    </w:p>
    <w:p>
      <w:pPr>
        <w:pStyle w:val="0"/>
        <w:jc w:val="both"/>
      </w:pPr>
      <w:r>
        <w:rPr>
          <w:sz w:val="20"/>
        </w:rPr>
        <w:t xml:space="preserve">(в ред. Федерального </w:t>
      </w:r>
      <w:hyperlink w:history="0" r:id="rId29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4) возможность подачи огнетушащих веществ в очаг пожара;</w:t>
      </w:r>
    </w:p>
    <w:p>
      <w:pPr>
        <w:pStyle w:val="0"/>
        <w:spacing w:before="200" w:line-rule="auto"/>
        <w:ind w:firstLine="540"/>
        <w:jc w:val="both"/>
      </w:pPr>
      <w:r>
        <w:rPr>
          <w:sz w:val="20"/>
        </w:rPr>
        <w:t xml:space="preserve">5) нераспространение пожара на соседние здания и сооружения.</w:t>
      </w:r>
    </w:p>
    <w:p>
      <w:pPr>
        <w:pStyle w:val="0"/>
        <w:jc w:val="both"/>
      </w:pPr>
      <w:r>
        <w:rPr>
          <w:sz w:val="20"/>
        </w:rPr>
        <w:t xml:space="preserve">(в ред. Федерального </w:t>
      </w:r>
      <w:hyperlink w:history="0" r:id="rId29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В зданиях и сооружениях помещения категорий А и Б по взрывопожарной и пожарной опасности должны размещаться у наружных стен, а в многоэтажных зданиях и сооружениях - на верхних этажах, за исключением случаев, указанных в технических регламентах для данных объектов.</w:t>
      </w:r>
    </w:p>
    <w:p>
      <w:pPr>
        <w:pStyle w:val="0"/>
        <w:jc w:val="both"/>
      </w:pPr>
      <w:r>
        <w:rPr>
          <w:sz w:val="20"/>
        </w:rPr>
        <w:t xml:space="preserve">(в ред. Федерального </w:t>
      </w:r>
      <w:hyperlink w:history="0" r:id="rId29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При изменении функционального назначения зданий, сооружений или отдельных помещений в них, а также при изменении объемно-планировочных и конструктивных решений должно быть обеспечено выполнение требований пожарной безопасности, установленных в соответствии с настоящим Федеральным законом применительно к новому назначению этих зданий, сооружений или помещений.</w:t>
      </w:r>
    </w:p>
    <w:p>
      <w:pPr>
        <w:pStyle w:val="0"/>
        <w:jc w:val="both"/>
      </w:pPr>
      <w:r>
        <w:rPr>
          <w:sz w:val="20"/>
        </w:rPr>
        <w:t xml:space="preserve">(в ред. Федерального </w:t>
      </w:r>
      <w:hyperlink w:history="0" r:id="rId29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2"/>
        <w:jc w:val="center"/>
      </w:pPr>
      <w:r>
        <w:rPr>
          <w:sz w:val="20"/>
        </w:rPr>
        <w:t xml:space="preserve">Глава 19. ТРЕБОВАНИЯ К СОСТАВУ И ФУНКЦИОНАЛЬНЫМ</w:t>
      </w:r>
    </w:p>
    <w:p>
      <w:pPr>
        <w:pStyle w:val="2"/>
        <w:jc w:val="center"/>
      </w:pPr>
      <w:r>
        <w:rPr>
          <w:sz w:val="20"/>
        </w:rPr>
        <w:t xml:space="preserve">ХАРАКТЕРИСТИКАМ СИСТЕМ ОБЕСПЕЧЕНИЯ ПОЖАРНОЙ БЕЗОПАСНОСТИ</w:t>
      </w:r>
    </w:p>
    <w:p>
      <w:pPr>
        <w:pStyle w:val="2"/>
        <w:jc w:val="center"/>
      </w:pPr>
      <w:r>
        <w:rPr>
          <w:sz w:val="20"/>
        </w:rPr>
        <w:t xml:space="preserve">ЗДАНИЙ И СООРУЖЕНИЙ</w:t>
      </w:r>
    </w:p>
    <w:p>
      <w:pPr>
        <w:pStyle w:val="0"/>
        <w:jc w:val="center"/>
      </w:pPr>
      <w:r>
        <w:rPr>
          <w:sz w:val="20"/>
        </w:rPr>
        <w:t xml:space="preserve">(в ред. Федерального </w:t>
      </w:r>
      <w:hyperlink w:history="0" r:id="rId29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81. Требования к функциональным характеристикам систем обеспечения пожарной безопасности зданий и сооружений</w:t>
      </w:r>
    </w:p>
    <w:p>
      <w:pPr>
        <w:pStyle w:val="0"/>
        <w:jc w:val="both"/>
      </w:pPr>
      <w:r>
        <w:rPr>
          <w:sz w:val="20"/>
        </w:rPr>
        <w:t xml:space="preserve">(в ред. Федерального </w:t>
      </w:r>
      <w:hyperlink w:history="0" r:id="rId29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Функциональные характеристики систем обеспечения пожарной безопасности зданий и сооружений должны соответствовать требованиям, установленным настоящим Федеральным законом.</w:t>
      </w:r>
    </w:p>
    <w:p>
      <w:pPr>
        <w:pStyle w:val="0"/>
        <w:jc w:val="both"/>
      </w:pPr>
      <w:r>
        <w:rPr>
          <w:sz w:val="20"/>
        </w:rPr>
        <w:t xml:space="preserve">(в ред. Федерального </w:t>
      </w:r>
      <w:hyperlink w:history="0" r:id="rId29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Величина индивидуального пожарного риска в зданиях и сооружениях с массовым пребыванием людей, зданиях и сооружениях повышенной этажности, а также в зданиях и сооружениях с пребыванием детей и групп населения с ограниченными возможностями передвижения должна обеспечиваться в первую очередь системой предотвращения пожара и комплексом организационно-технических мероприятий.</w:t>
      </w:r>
    </w:p>
    <w:p>
      <w:pPr>
        <w:pStyle w:val="0"/>
        <w:jc w:val="both"/>
      </w:pPr>
      <w:r>
        <w:rPr>
          <w:sz w:val="20"/>
        </w:rPr>
        <w:t xml:space="preserve">(в ред. Федерального </w:t>
      </w:r>
      <w:hyperlink w:history="0" r:id="rId30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Системы противопожарной защиты зданий и сооружений должны обеспечивать возможность эвакуации людей в безопасную зону до наступления предельно допустимых значений опасных факторов пожара.</w:t>
      </w:r>
    </w:p>
    <w:p>
      <w:pPr>
        <w:pStyle w:val="0"/>
        <w:jc w:val="both"/>
      </w:pPr>
      <w:r>
        <w:rPr>
          <w:sz w:val="20"/>
        </w:rPr>
        <w:t xml:space="preserve">(в ред. Федерального </w:t>
      </w:r>
      <w:hyperlink w:history="0" r:id="rId30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4. Функциональные характеристики систем обеспечения пожарной безопасности зданий и сооружений, а также инженерного оборудования зданий и сооружений определяются в соответствии с техническими регламентами для данных объектов, принятыми в соответствии с Федеральным </w:t>
      </w:r>
      <w:hyperlink w:history="0" r:id="rId302"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 техническом регулировании", для данных объектов и (или) нормативными документами по пожарной безопасности.</w:t>
      </w:r>
    </w:p>
    <w:p>
      <w:pPr>
        <w:pStyle w:val="0"/>
        <w:jc w:val="both"/>
      </w:pPr>
      <w:r>
        <w:rPr>
          <w:sz w:val="20"/>
        </w:rPr>
        <w:t xml:space="preserve">(в ред. Федерального </w:t>
      </w:r>
      <w:hyperlink w:history="0" r:id="rId30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82. Требования пожарной безопасности к электроустановкам зданий и сооружений</w:t>
      </w:r>
    </w:p>
    <w:p>
      <w:pPr>
        <w:pStyle w:val="0"/>
        <w:jc w:val="both"/>
      </w:pPr>
      <w:r>
        <w:rPr>
          <w:sz w:val="20"/>
        </w:rPr>
        <w:t xml:space="preserve">(в ред. Федерального </w:t>
      </w:r>
      <w:hyperlink w:history="0" r:id="rId30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bookmarkStart w:id="1086" w:name="P1086"/>
    <w:bookmarkEnd w:id="1086"/>
    <w:p>
      <w:pPr>
        <w:pStyle w:val="0"/>
        <w:ind w:firstLine="540"/>
        <w:jc w:val="both"/>
      </w:pPr>
      <w:r>
        <w:rPr>
          <w:sz w:val="20"/>
        </w:rPr>
        <w:t xml:space="preserve">1. Электроустановки зданий и сооружений должны соответствовать классу пожаровзрывоопасной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зданиях класса функциональной пожарной опасности Ф1.1 с круглосуточным пребыванием людей, должны предусматриваться автономные резервные источники электроснабжения.</w:t>
      </w:r>
    </w:p>
    <w:p>
      <w:pPr>
        <w:pStyle w:val="0"/>
        <w:jc w:val="both"/>
      </w:pPr>
      <w:r>
        <w:rPr>
          <w:sz w:val="20"/>
        </w:rPr>
        <w:t xml:space="preserve">(в ред. Федерального </w:t>
      </w:r>
      <w:hyperlink w:history="0" r:id="rId30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Кабельные линии и электропроводка систем противопожарной защиты, средств обеспечения деятельности подразделений пожарной охраны, систем обнаружения пожара, оповещения и управления эвакуацией людей при пожаре, аварийного освещения на путях эвакуации, аварийной вентиляции и противодымной защиты, автоматического пожаротушения, внутреннего противопожарного водопровода, лифтов для транспортировки подразделений пожарной охраны в зданиях и сооружениях должны сохранять работоспособность в условиях пожара в течение времени, необходимого для выполнения их функций.</w:t>
      </w:r>
    </w:p>
    <w:p>
      <w:pPr>
        <w:pStyle w:val="0"/>
        <w:jc w:val="both"/>
      </w:pPr>
      <w:r>
        <w:rPr>
          <w:sz w:val="20"/>
        </w:rPr>
        <w:t xml:space="preserve">(в ред. Федеральных законов от 10.07.2012 </w:t>
      </w:r>
      <w:hyperlink w:history="0" r:id="rId30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14.07.2022 </w:t>
      </w:r>
      <w:hyperlink w:history="0" r:id="rId30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3. Кабели от трансформаторных подстанций резервных источников питания до вводно-распределительных устройств должны прокладываться в раздельных огнестойких каналах или иметь огнезащиту.</w:t>
      </w:r>
    </w:p>
    <w:p>
      <w:pPr>
        <w:pStyle w:val="0"/>
        <w:spacing w:before="200" w:line-rule="auto"/>
        <w:ind w:firstLine="540"/>
        <w:jc w:val="both"/>
      </w:pPr>
      <w:r>
        <w:rPr>
          <w:sz w:val="20"/>
        </w:rPr>
        <w:t xml:space="preserve">4. Линии электроснабжения помещений зданий и сооружений должны иметь устройства защитного отключения, предотвращающие возникновение пожара. Правила установки и параметры устройств защитного отключения должны учитывать требования пожарной безопасности, установленные в соответствии с настоящим Федеральным законом.</w:t>
      </w:r>
    </w:p>
    <w:p>
      <w:pPr>
        <w:pStyle w:val="0"/>
        <w:jc w:val="both"/>
      </w:pPr>
      <w:r>
        <w:rPr>
          <w:sz w:val="20"/>
        </w:rPr>
        <w:t xml:space="preserve">(в ред. Федерального </w:t>
      </w:r>
      <w:hyperlink w:history="0" r:id="rId30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5. Распределительные щиты должны иметь защиту, исключающую распространение горения за пределы щита из слаботочного отсека в силовой и наоборот.</w:t>
      </w:r>
    </w:p>
    <w:p>
      <w:pPr>
        <w:pStyle w:val="0"/>
        <w:jc w:val="both"/>
      </w:pPr>
      <w:r>
        <w:rPr>
          <w:sz w:val="20"/>
        </w:rPr>
        <w:t xml:space="preserve">(в ред. Федерального </w:t>
      </w:r>
      <w:hyperlink w:history="0" r:id="rId30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6. Утратил силу. - Федеральный </w:t>
      </w:r>
      <w:hyperlink w:history="0" r:id="rId31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spacing w:before="200" w:line-rule="auto"/>
        <w:ind w:firstLine="540"/>
        <w:jc w:val="both"/>
      </w:pPr>
      <w:r>
        <w:rPr>
          <w:sz w:val="20"/>
        </w:rPr>
        <w:t xml:space="preserve">7. Горизонтальные и вертикальные каналы для прокладки электрокабелей и проводов в зданиях и сооружениях должны иметь защиту от распространения пожара. В местах прохождения кабельных каналов, коробов, кабелей и проводов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w:t>
      </w:r>
    </w:p>
    <w:p>
      <w:pPr>
        <w:pStyle w:val="0"/>
        <w:jc w:val="both"/>
      </w:pPr>
      <w:r>
        <w:rPr>
          <w:sz w:val="20"/>
        </w:rPr>
        <w:t xml:space="preserve">(в ред. Федерального </w:t>
      </w:r>
      <w:hyperlink w:history="0" r:id="rId31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8. Кабели, прокладываемые открыто, должны быть не распространяющими горение.</w:t>
      </w:r>
    </w:p>
    <w:p>
      <w:pPr>
        <w:pStyle w:val="0"/>
        <w:spacing w:before="200" w:line-rule="auto"/>
        <w:ind w:firstLine="540"/>
        <w:jc w:val="both"/>
      </w:pPr>
      <w:r>
        <w:rPr>
          <w:sz w:val="20"/>
        </w:rPr>
        <w:t xml:space="preserve">9. Светильники аварийного освещения на путях эвакуации с автономными источниками питания должны быть обеспечены устройствами для проверки их работоспособности при имитации отключения основного источника питания. Ресурс работы автономного источника питания должен обеспечивать аварийное освещение на путях эвакуации в течение расчетного времени эвакуации людей в безопасную зону.</w:t>
      </w:r>
    </w:p>
    <w:p>
      <w:pPr>
        <w:pStyle w:val="0"/>
        <w:spacing w:before="200" w:line-rule="auto"/>
        <w:ind w:firstLine="540"/>
        <w:jc w:val="both"/>
      </w:pPr>
      <w:r>
        <w:rPr>
          <w:sz w:val="20"/>
        </w:rPr>
        <w:t xml:space="preserve">10. Электрооборудование без средств пожаровзрывозащиты не допускается использовать во взрывоопасных, взрывопожароопасных и пожароопасных помещениях зданий и сооружений, не имеющих направленных на исключение опасности появления источника зажигания в горючей среде дополнительных мер защиты.</w:t>
      </w:r>
    </w:p>
    <w:p>
      <w:pPr>
        <w:pStyle w:val="0"/>
        <w:jc w:val="both"/>
      </w:pPr>
      <w:r>
        <w:rPr>
          <w:sz w:val="20"/>
        </w:rPr>
        <w:t xml:space="preserve">(в ред. Федерального </w:t>
      </w:r>
      <w:hyperlink w:history="0" r:id="rId31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11. Утратил силу. - Федеральный </w:t>
      </w:r>
      <w:hyperlink w:history="0" r:id="rId31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spacing w:before="200" w:line-rule="auto"/>
        <w:ind w:firstLine="540"/>
        <w:jc w:val="both"/>
      </w:pPr>
      <w:r>
        <w:rPr>
          <w:sz w:val="20"/>
        </w:rPr>
        <w:t xml:space="preserve">12. Взрывозащищенное электрооборудование допускается использовать в пожароопасных и непожароопасных помещениях, а во взрывоопасных помещениях - при условии соответствия категории и группы взрывоопасной смеси в помещении виду взрывозащиты электрооборудования.</w:t>
      </w:r>
    </w:p>
    <w:p>
      <w:pPr>
        <w:pStyle w:val="0"/>
        <w:spacing w:before="200" w:line-rule="auto"/>
        <w:ind w:firstLine="540"/>
        <w:jc w:val="both"/>
      </w:pPr>
      <w:r>
        <w:rPr>
          <w:sz w:val="20"/>
        </w:rPr>
        <w:t xml:space="preserve">13. Правила применения электрооборудования в зависимости от степени его взрывопожарной и пожарной опасности в зданиях и сооружениях различного назначения, а также показатели пожарной опасности электрооборудования и методы их определения устанавливаются техническими регламентами для данной продукции, принятыми в соответствии с Федеральным </w:t>
      </w:r>
      <w:hyperlink w:history="0" r:id="rId314"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 техническом регулировании", для данной продукции и (или) нормативными документами по пожарной безопасности.</w:t>
      </w:r>
    </w:p>
    <w:p>
      <w:pPr>
        <w:pStyle w:val="0"/>
        <w:jc w:val="both"/>
      </w:pPr>
      <w:r>
        <w:rPr>
          <w:sz w:val="20"/>
        </w:rPr>
        <w:t xml:space="preserve">(в ред. Федерального </w:t>
      </w:r>
      <w:hyperlink w:history="0" r:id="rId31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83. Требования к системам автоматического пожаротушения и системам пожарной сигнализации</w:t>
      </w:r>
    </w:p>
    <w:p>
      <w:pPr>
        <w:pStyle w:val="0"/>
        <w:ind w:firstLine="540"/>
        <w:jc w:val="both"/>
      </w:pPr>
      <w:r>
        <w:rPr>
          <w:sz w:val="20"/>
        </w:rPr>
      </w:r>
    </w:p>
    <w:p>
      <w:pPr>
        <w:pStyle w:val="0"/>
        <w:ind w:firstLine="540"/>
        <w:jc w:val="both"/>
      </w:pPr>
      <w:r>
        <w:rPr>
          <w:sz w:val="20"/>
        </w:rPr>
        <w:t xml:space="preserve">1. Автоматические установки пожаротушения и пожарной сигнализации должны монтироваться в зданиях и сооружениях в соответствии с проектной документацией, разработанной и утвержденной в установленном порядке. Автоматические установки пожаротушения должны быть обеспечены:</w:t>
      </w:r>
    </w:p>
    <w:p>
      <w:pPr>
        <w:pStyle w:val="0"/>
        <w:jc w:val="both"/>
      </w:pPr>
      <w:r>
        <w:rPr>
          <w:sz w:val="20"/>
        </w:rPr>
        <w:t xml:space="preserve">(в ред. Федерального </w:t>
      </w:r>
      <w:hyperlink w:history="0" r:id="rId31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 расчетным количеством огнетушащего вещества, достаточным для ликвидации пожара в защищаемом помещении, здании или сооружении;</w:t>
      </w:r>
    </w:p>
    <w:p>
      <w:pPr>
        <w:pStyle w:val="0"/>
        <w:jc w:val="both"/>
      </w:pPr>
      <w:r>
        <w:rPr>
          <w:sz w:val="20"/>
        </w:rPr>
        <w:t xml:space="preserve">(в ред. Федерального </w:t>
      </w:r>
      <w:hyperlink w:history="0" r:id="rId31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устройством для контроля работоспособности установки;</w:t>
      </w:r>
    </w:p>
    <w:p>
      <w:pPr>
        <w:pStyle w:val="0"/>
        <w:spacing w:before="200" w:line-rule="auto"/>
        <w:ind w:firstLine="540"/>
        <w:jc w:val="both"/>
      </w:pPr>
      <w:r>
        <w:rPr>
          <w:sz w:val="20"/>
        </w:rPr>
        <w:t xml:space="preserve">3) устройством для оповещения людей о пожаре, а также дежурного персонала и (или) подразделения пожарной охраны о месте его возникновения;</w:t>
      </w:r>
    </w:p>
    <w:p>
      <w:pPr>
        <w:pStyle w:val="0"/>
        <w:spacing w:before="200" w:line-rule="auto"/>
        <w:ind w:firstLine="540"/>
        <w:jc w:val="both"/>
      </w:pPr>
      <w:r>
        <w:rPr>
          <w:sz w:val="20"/>
        </w:rPr>
        <w:t xml:space="preserve">4) устройством для задержки подачи газовых и порошковых огнетушащих веществ на время, необходимое для эвакуации людей из помещения пожара;</w:t>
      </w:r>
    </w:p>
    <w:p>
      <w:pPr>
        <w:pStyle w:val="0"/>
        <w:spacing w:before="200" w:line-rule="auto"/>
        <w:ind w:firstLine="540"/>
        <w:jc w:val="both"/>
      </w:pPr>
      <w:r>
        <w:rPr>
          <w:sz w:val="20"/>
        </w:rPr>
        <w:t xml:space="preserve">5) устройством для ручного пуска установки пожаротушения, за исключением установок пожаротушения, оборудованных оросителями (распылителями), оснащенными замками, срабатывающими от воздействия опасных факторов пожара.</w:t>
      </w:r>
    </w:p>
    <w:p>
      <w:pPr>
        <w:pStyle w:val="0"/>
        <w:jc w:val="both"/>
      </w:pPr>
      <w:r>
        <w:rPr>
          <w:sz w:val="20"/>
        </w:rPr>
        <w:t xml:space="preserve">(в ред. Федерального </w:t>
      </w:r>
      <w:hyperlink w:history="0" r:id="rId31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Способ подачи огнетушащего вещества в очаг пожара не должен приводить к увеличению площади пожара вследствие разлива, разбрызгивания или распыления горючих материалов и к выделению горючих и токсичных газов.</w:t>
      </w:r>
    </w:p>
    <w:p>
      <w:pPr>
        <w:pStyle w:val="0"/>
        <w:spacing w:before="200" w:line-rule="auto"/>
        <w:ind w:firstLine="540"/>
        <w:jc w:val="both"/>
      </w:pPr>
      <w:r>
        <w:rPr>
          <w:sz w:val="20"/>
        </w:rPr>
        <w:t xml:space="preserve">3. В проектной документации на монтаж автоматических установок пожаротушения должны быть предусмотрены меры по удалению огнетушащего вещества из помещения, здания и сооружения после его подачи.</w:t>
      </w:r>
    </w:p>
    <w:p>
      <w:pPr>
        <w:pStyle w:val="0"/>
        <w:jc w:val="both"/>
      </w:pPr>
      <w:r>
        <w:rPr>
          <w:sz w:val="20"/>
        </w:rPr>
        <w:t xml:space="preserve">(в ред. Федерального </w:t>
      </w:r>
      <w:hyperlink w:history="0" r:id="rId31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4. Автоматические установки пожаротушения и пожарной сигнализации в зависимости от разработанного при их проектировании алгоритма должны обеспечивать автоматическое обнаружение пожара, подачу управляющих сигналов на технические средства оповещения людей о пожаре и управления эвакуацией людей, приборы управления установками пожаротушения, технические средства управления системой противодымной защиты, инженерным и технологическим оборудованием.</w:t>
      </w:r>
    </w:p>
    <w:p>
      <w:pPr>
        <w:pStyle w:val="0"/>
        <w:jc w:val="both"/>
      </w:pPr>
      <w:r>
        <w:rPr>
          <w:sz w:val="20"/>
        </w:rPr>
        <w:t xml:space="preserve">(в ред. Федерального </w:t>
      </w:r>
      <w:hyperlink w:history="0" r:id="rId32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5. Автоматические установки пожаротушения и пожарной сигнализации должны обеспечивать автоматическое информирование дежурного персонала о возникновении неисправности линий связи между отдельными техническими средствами, входящими в состав установок.</w:t>
      </w:r>
    </w:p>
    <w:p>
      <w:pPr>
        <w:pStyle w:val="0"/>
        <w:jc w:val="both"/>
      </w:pPr>
      <w:r>
        <w:rPr>
          <w:sz w:val="20"/>
        </w:rPr>
        <w:t xml:space="preserve">(часть 5 в ред. Федерального </w:t>
      </w:r>
      <w:hyperlink w:history="0" r:id="rId32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6. Пожарные извещатели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этого помещения.</w:t>
      </w:r>
    </w:p>
    <w:p>
      <w:pPr>
        <w:pStyle w:val="0"/>
        <w:jc w:val="both"/>
      </w:pPr>
      <w:r>
        <w:rPr>
          <w:sz w:val="20"/>
        </w:rPr>
        <w:t xml:space="preserve">(в ред. Федерального </w:t>
      </w:r>
      <w:hyperlink w:history="0" r:id="rId32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bookmarkStart w:id="1127" w:name="P1127"/>
    <w:bookmarkEnd w:id="1127"/>
    <w:p>
      <w:pPr>
        <w:pStyle w:val="0"/>
        <w:spacing w:before="200" w:line-rule="auto"/>
        <w:ind w:firstLine="540"/>
        <w:jc w:val="both"/>
      </w:pPr>
      <w:r>
        <w:rPr>
          <w:sz w:val="20"/>
        </w:rPr>
        <w:t xml:space="preserve">7. Системы пожарной сигнализации должны обеспечивать подачу светового и звукового сигналов о возникновении пожара на прибор приемно-контрольный пожарный, устанавливаемый в помещении дежурного персонала, или на специальные выносные устройства оповещения, а в зданиях классов функциональной пожарной опасности Ф1.1, Ф1.2, Ф4.1, Ф4.2 с автоматическим дублированием этих сигналов в подразделение пожарной охраны с использованием системы передачи извещений о пожаре.</w:t>
      </w:r>
    </w:p>
    <w:p>
      <w:pPr>
        <w:pStyle w:val="0"/>
        <w:jc w:val="both"/>
      </w:pPr>
      <w:r>
        <w:rPr>
          <w:sz w:val="20"/>
        </w:rPr>
        <w:t xml:space="preserve">(часть 7 в ред. Федерального </w:t>
      </w:r>
      <w:hyperlink w:history="0" r:id="rId32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7.1. </w:t>
      </w:r>
      <w:hyperlink w:history="0" r:id="rId324" w:tooltip="Приказ МЧС России от 24.11.2022 N 1173 &quot;Об утверждении требований к проектированию систем передачи извещений о пожаре&quot; (Зарегистрировано в Минюсте России 30.11.2022 N 71239) ------------ Не вступил в силу {КонсультантПлюс}">
        <w:r>
          <w:rPr>
            <w:sz w:val="20"/>
            <w:color w:val="0000ff"/>
          </w:rPr>
          <w:t xml:space="preserve">Требования</w:t>
        </w:r>
      </w:hyperlink>
      <w:r>
        <w:rPr>
          <w:sz w:val="20"/>
        </w:rPr>
        <w:t xml:space="preserve"> к проектированию систем передачи извещений о пожаре устанавливаются нормативным правовым актом федерального органа исполнительной власти, уполномоченного на решение задач в области пожарной безопасности.</w:t>
      </w:r>
    </w:p>
    <w:p>
      <w:pPr>
        <w:pStyle w:val="0"/>
        <w:jc w:val="both"/>
      </w:pPr>
      <w:r>
        <w:rPr>
          <w:sz w:val="20"/>
        </w:rPr>
        <w:t xml:space="preserve">(часть 7.1 введена Федеральным </w:t>
      </w:r>
      <w:hyperlink w:history="0" r:id="rId32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14.07.2022 N 276-ФЗ)</w:t>
      </w:r>
    </w:p>
    <w:p>
      <w:pPr>
        <w:pStyle w:val="0"/>
        <w:spacing w:before="200" w:line-rule="auto"/>
        <w:ind w:firstLine="540"/>
        <w:jc w:val="both"/>
      </w:pPr>
      <w:r>
        <w:rPr>
          <w:sz w:val="20"/>
        </w:rPr>
        <w:t xml:space="preserve">8. Утратил силу. - Федеральный </w:t>
      </w:r>
      <w:hyperlink w:history="0" r:id="rId32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spacing w:before="200" w:line-rule="auto"/>
        <w:ind w:firstLine="540"/>
        <w:jc w:val="both"/>
      </w:pPr>
      <w:r>
        <w:rPr>
          <w:sz w:val="20"/>
        </w:rPr>
        <w:t xml:space="preserve">9. Ручные пожарные извещатели должны устанавливаться на путях эвакуации в местах, доступных для их включения при возникновении пожара.</w:t>
      </w:r>
    </w:p>
    <w:p>
      <w:pPr>
        <w:pStyle w:val="0"/>
        <w:spacing w:before="200" w:line-rule="auto"/>
        <w:ind w:firstLine="540"/>
        <w:jc w:val="both"/>
      </w:pPr>
      <w:r>
        <w:rPr>
          <w:sz w:val="20"/>
        </w:rPr>
        <w:t xml:space="preserve">10. Требования к проектированию автоматических установок пожаротушения и автоматической пожарной сигнализации устанавливаются настоящим Федеральным законом и (или) </w:t>
      </w:r>
      <w:r>
        <w:rPr>
          <w:sz w:val="20"/>
        </w:rPr>
        <w:t xml:space="preserve">нормативными документами</w:t>
      </w:r>
      <w:r>
        <w:rPr>
          <w:sz w:val="20"/>
        </w:rPr>
        <w:t xml:space="preserve"> по пожарной безопасности.</w:t>
      </w:r>
    </w:p>
    <w:p>
      <w:pPr>
        <w:pStyle w:val="0"/>
        <w:ind w:firstLine="540"/>
        <w:jc w:val="both"/>
      </w:pPr>
      <w:r>
        <w:rPr>
          <w:sz w:val="20"/>
        </w:rPr>
      </w:r>
    </w:p>
    <w:bookmarkStart w:id="1135" w:name="P1135"/>
    <w:bookmarkEnd w:id="1135"/>
    <w:p>
      <w:pPr>
        <w:pStyle w:val="2"/>
        <w:outlineLvl w:val="3"/>
        <w:ind w:firstLine="540"/>
        <w:jc w:val="both"/>
      </w:pPr>
      <w:r>
        <w:rPr>
          <w:sz w:val="20"/>
        </w:rPr>
        <w:t xml:space="preserve">Статья 84. </w:t>
      </w:r>
      <w:hyperlink w:history="0" r:id="rId327" w:tooltip="&quot;СП 3.13130.2009. Свод правил. Системы противопожарной защиты. Система оповещения и управления эвакуацией людей при пожаре. Требования пожарной безопасности&quot; (утв. Приказом МЧС РФ от 25.03.2009 N 173) {КонсультантПлюс}">
        <w:r>
          <w:rPr>
            <w:sz w:val="20"/>
            <w:color w:val="0000ff"/>
          </w:rPr>
          <w:t xml:space="preserve">Требования</w:t>
        </w:r>
      </w:hyperlink>
      <w:r>
        <w:rPr>
          <w:sz w:val="20"/>
        </w:rPr>
        <w:t xml:space="preserve"> пожарной безопасности к системам оповещения людей о пожаре и управления эвакуацией людей в зданиях и сооружениях</w:t>
      </w:r>
    </w:p>
    <w:p>
      <w:pPr>
        <w:pStyle w:val="0"/>
        <w:jc w:val="both"/>
      </w:pPr>
      <w:r>
        <w:rPr>
          <w:sz w:val="20"/>
        </w:rPr>
        <w:t xml:space="preserve">(в ред. Федерального </w:t>
      </w:r>
      <w:hyperlink w:history="0" r:id="rId32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Оповещение людей о пожаре, управление эвакуацией людей и обеспечение их безопасной эвакуации при пожаре в зданиях и сооружениях должны осуществляться одним из следующих способов или комбинацией следующих способов:</w:t>
      </w:r>
    </w:p>
    <w:p>
      <w:pPr>
        <w:pStyle w:val="0"/>
        <w:jc w:val="both"/>
      </w:pPr>
      <w:r>
        <w:rPr>
          <w:sz w:val="20"/>
        </w:rPr>
        <w:t xml:space="preserve">(в ред. Федерального </w:t>
      </w:r>
      <w:hyperlink w:history="0" r:id="rId32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 подача световых, звуковых и (или) речевых сигналов во все помещения с постоянным или временным пребыванием людей;</w:t>
      </w:r>
    </w:p>
    <w:p>
      <w:pPr>
        <w:pStyle w:val="0"/>
        <w:spacing w:before="200" w:line-rule="auto"/>
        <w:ind w:firstLine="540"/>
        <w:jc w:val="both"/>
      </w:pPr>
      <w:r>
        <w:rPr>
          <w:sz w:val="20"/>
        </w:rPr>
        <w:t xml:space="preserve">2) трансляция специально разработанных текстов о необходимости эвакуации, путях эвакуации, направлении движения и других действиях, обеспечивающих безопасность людей и предотвращение паники при пожаре;</w:t>
      </w:r>
    </w:p>
    <w:p>
      <w:pPr>
        <w:pStyle w:val="0"/>
        <w:spacing w:before="200" w:line-rule="auto"/>
        <w:ind w:firstLine="540"/>
        <w:jc w:val="both"/>
      </w:pPr>
      <w:r>
        <w:rPr>
          <w:sz w:val="20"/>
        </w:rPr>
        <w:t xml:space="preserve">3) размещение и обеспечение освещения знаков пожарной безопасности на путях эвакуации в течение нормативного времени;</w:t>
      </w:r>
    </w:p>
    <w:p>
      <w:pPr>
        <w:pStyle w:val="0"/>
        <w:spacing w:before="200" w:line-rule="auto"/>
        <w:ind w:firstLine="540"/>
        <w:jc w:val="both"/>
      </w:pPr>
      <w:r>
        <w:rPr>
          <w:sz w:val="20"/>
        </w:rPr>
        <w:t xml:space="preserve">4) включение эвакуационного (аварийного) освещения;</w:t>
      </w:r>
    </w:p>
    <w:p>
      <w:pPr>
        <w:pStyle w:val="0"/>
        <w:spacing w:before="200" w:line-rule="auto"/>
        <w:ind w:firstLine="540"/>
        <w:jc w:val="both"/>
      </w:pPr>
      <w:r>
        <w:rPr>
          <w:sz w:val="20"/>
        </w:rPr>
        <w:t xml:space="preserve">5) дистанционное открывание запоров дверей эвакуационных выходов;</w:t>
      </w:r>
    </w:p>
    <w:p>
      <w:pPr>
        <w:pStyle w:val="0"/>
        <w:spacing w:before="200" w:line-rule="auto"/>
        <w:ind w:firstLine="540"/>
        <w:jc w:val="both"/>
      </w:pPr>
      <w:r>
        <w:rPr>
          <w:sz w:val="20"/>
        </w:rPr>
        <w:t xml:space="preserve">6) обеспечение связью пожарного поста (диспетчерской) с зонами оповещения людей о пожаре;</w:t>
      </w:r>
    </w:p>
    <w:p>
      <w:pPr>
        <w:pStyle w:val="0"/>
        <w:spacing w:before="200" w:line-rule="auto"/>
        <w:ind w:firstLine="540"/>
        <w:jc w:val="both"/>
      </w:pPr>
      <w:r>
        <w:rPr>
          <w:sz w:val="20"/>
        </w:rPr>
        <w:t xml:space="preserve">7) иные способы, обеспечивающие эвакуацию.</w:t>
      </w:r>
    </w:p>
    <w:p>
      <w:pPr>
        <w:pStyle w:val="0"/>
        <w:spacing w:before="200" w:line-rule="auto"/>
        <w:ind w:firstLine="540"/>
        <w:jc w:val="both"/>
      </w:pPr>
      <w:r>
        <w:rPr>
          <w:sz w:val="20"/>
        </w:rPr>
        <w:t xml:space="preserve">2. Информация, передаваемая системами оповещения людей о пожаре и управления эвакуацией людей, должна соответствовать информации, содержащейся в разработанных и размещенных на каждом этаже зданий и сооружений планах эвакуации людей.</w:t>
      </w:r>
    </w:p>
    <w:p>
      <w:pPr>
        <w:pStyle w:val="0"/>
        <w:jc w:val="both"/>
      </w:pPr>
      <w:r>
        <w:rPr>
          <w:sz w:val="20"/>
        </w:rPr>
        <w:t xml:space="preserve">(в ред. Федерального </w:t>
      </w:r>
      <w:hyperlink w:history="0" r:id="rId33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Пожарные оповещатели, устанавливаемые на объекте, должны обеспечивать однозначное информирование людей о пожаре в течение времени эвакуации, а также выдачу дополнительной информации, отсутствие которой может привести к снижению уровня безопасности людей.</w:t>
      </w:r>
    </w:p>
    <w:p>
      <w:pPr>
        <w:pStyle w:val="0"/>
        <w:spacing w:before="200" w:line-rule="auto"/>
        <w:ind w:firstLine="540"/>
        <w:jc w:val="both"/>
      </w:pPr>
      <w:r>
        <w:rPr>
          <w:sz w:val="20"/>
        </w:rPr>
        <w:t xml:space="preserve">4. В любой точке защищаемого объекта, где требуется оповещение людей о пожаре,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защищаемого объекта, где требуется оповещение людей о пожаре, обеспечивалась разборчивость передаваемой речевой информации. Световые оповещатели должны обеспечивать контрастное восприятие информации в диапазоне, характерном для защищаемого объекта.</w:t>
      </w:r>
    </w:p>
    <w:p>
      <w:pPr>
        <w:pStyle w:val="0"/>
        <w:spacing w:before="200" w:line-rule="auto"/>
        <w:ind w:firstLine="540"/>
        <w:jc w:val="both"/>
      </w:pPr>
      <w:r>
        <w:rPr>
          <w:sz w:val="20"/>
        </w:rPr>
        <w:t xml:space="preserve">5. При разделении здания и сооружения на зоны оповещения людей о пожаре должна быть разработана специальная очередность оповещения о пожаре людей, находящихся в различных помещениях здания и сооружения.</w:t>
      </w:r>
    </w:p>
    <w:p>
      <w:pPr>
        <w:pStyle w:val="0"/>
        <w:jc w:val="both"/>
      </w:pPr>
      <w:r>
        <w:rPr>
          <w:sz w:val="20"/>
        </w:rPr>
        <w:t xml:space="preserve">(в ред. Федерального </w:t>
      </w:r>
      <w:hyperlink w:history="0" r:id="rId33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6. Размеры зон оповещения, специальная очередность оповещения людей о пожаре и время начала оповещения людей о пожаре в отдельных зонах должны быть определены исходя из условия обеспечения безопасной эвакуации людей при пожаре.</w:t>
      </w:r>
    </w:p>
    <w:p>
      <w:pPr>
        <w:pStyle w:val="0"/>
        <w:spacing w:before="200" w:line-rule="auto"/>
        <w:ind w:firstLine="540"/>
        <w:jc w:val="both"/>
      </w:pPr>
      <w:r>
        <w:rPr>
          <w:sz w:val="20"/>
        </w:rPr>
        <w:t xml:space="preserve">7. Системы оповещения людей о пожаре и управления эвакуацией людей должны функционировать в течение времени, необходимого для завершения эвакуации людей из здания, сооружения.</w:t>
      </w:r>
    </w:p>
    <w:p>
      <w:pPr>
        <w:pStyle w:val="0"/>
        <w:jc w:val="both"/>
      </w:pPr>
      <w:r>
        <w:rPr>
          <w:sz w:val="20"/>
        </w:rPr>
        <w:t xml:space="preserve">(в ред. Федерального </w:t>
      </w:r>
      <w:hyperlink w:history="0" r:id="rId33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8. Технические средства, используемые для оповещения людей о пожаре и управления эвакуацией людей из здания, сооружения при пожаре, должны быть разработаны с учетом состояния здоровья и возраста эвакуируемых людей.</w:t>
      </w:r>
    </w:p>
    <w:p>
      <w:pPr>
        <w:pStyle w:val="0"/>
        <w:jc w:val="both"/>
      </w:pPr>
      <w:r>
        <w:rPr>
          <w:sz w:val="20"/>
        </w:rPr>
        <w:t xml:space="preserve">(в ред. Федерального </w:t>
      </w:r>
      <w:hyperlink w:history="0" r:id="rId33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9. Звуковые сигналы оповещения людей о пожаре должны отличаться по тональности от звуковых сигналов другого назначения.</w:t>
      </w:r>
    </w:p>
    <w:p>
      <w:pPr>
        <w:pStyle w:val="0"/>
        <w:spacing w:before="200" w:line-rule="auto"/>
        <w:ind w:firstLine="540"/>
        <w:jc w:val="both"/>
      </w:pPr>
      <w:r>
        <w:rPr>
          <w:sz w:val="20"/>
        </w:rPr>
        <w:t xml:space="preserve">10. Звуковые и речевые устройства оповещения людей о пожаре не должны иметь разъемных устройств, возможности регулировки уровня громкости и должны быть подключены к электрической сети, а также к другим средствам связи. Коммуникации систем оповещения людей о пожаре и управления эвакуацией людей допускается совмещать с радиотрансляционной сетью здания и сооружения.</w:t>
      </w:r>
    </w:p>
    <w:p>
      <w:pPr>
        <w:pStyle w:val="0"/>
        <w:jc w:val="both"/>
      </w:pPr>
      <w:r>
        <w:rPr>
          <w:sz w:val="20"/>
        </w:rPr>
        <w:t xml:space="preserve">(в ред. Федерального </w:t>
      </w:r>
      <w:hyperlink w:history="0" r:id="rId33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11. Системы оповещения людей о пожаре и управления эвакуацией людей должны быть оборудованы источниками бесперебойного электропитания.</w:t>
      </w:r>
    </w:p>
    <w:p>
      <w:pPr>
        <w:pStyle w:val="0"/>
        <w:spacing w:before="200" w:line-rule="auto"/>
        <w:ind w:firstLine="540"/>
        <w:jc w:val="both"/>
      </w:pPr>
      <w:r>
        <w:rPr>
          <w:sz w:val="20"/>
        </w:rPr>
        <w:t xml:space="preserve">12. Здания организаций социального обслуживания, предоставляющих социальные услуги в стационарной форме, медицинских организаций, оказывающих медицинскую помощь в стационарных условиях, с учетом индивидуальных способностей людей к восприятию сигналов оповещения должны быть дополнительно оборудованы (оснащены) системами (средствами) оповещения о пожаре, в том числе с использованием персональных устройств со световым, звуковым и с вибрационным сигналами оповещения. Такие системы (средства) оповещения должны обеспечивать информирование соответствующих работников организации о передаче сигнала оповещения и подтверждение его получения каждым оповещаемым.</w:t>
      </w:r>
    </w:p>
    <w:p>
      <w:pPr>
        <w:pStyle w:val="0"/>
        <w:jc w:val="both"/>
      </w:pPr>
      <w:r>
        <w:rPr>
          <w:sz w:val="20"/>
        </w:rPr>
        <w:t xml:space="preserve">(часть 12 введена Федеральным </w:t>
      </w:r>
      <w:hyperlink w:history="0" r:id="rId33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10.07.2012 N 117-ФЗ; в ред. Федерального </w:t>
      </w:r>
      <w:hyperlink w:history="0" r:id="rId336"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29.07.2017 N 244-ФЗ)</w:t>
      </w:r>
    </w:p>
    <w:p>
      <w:pPr>
        <w:pStyle w:val="0"/>
        <w:ind w:firstLine="540"/>
        <w:jc w:val="both"/>
      </w:pPr>
      <w:r>
        <w:rPr>
          <w:sz w:val="20"/>
        </w:rPr>
      </w:r>
    </w:p>
    <w:p>
      <w:pPr>
        <w:pStyle w:val="2"/>
        <w:outlineLvl w:val="3"/>
        <w:ind w:firstLine="540"/>
        <w:jc w:val="both"/>
      </w:pPr>
      <w:r>
        <w:rPr>
          <w:sz w:val="20"/>
        </w:rPr>
        <w:t xml:space="preserve">Статья 85. Требования к системам противодымной защиты зданий и сооружений</w:t>
      </w:r>
    </w:p>
    <w:p>
      <w:pPr>
        <w:pStyle w:val="0"/>
        <w:jc w:val="both"/>
      </w:pPr>
      <w:r>
        <w:rPr>
          <w:sz w:val="20"/>
        </w:rPr>
        <w:t xml:space="preserve">(в ред. Федерального </w:t>
      </w:r>
      <w:hyperlink w:history="0" r:id="rId33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В зависимости от объемно-планировочных и конструктивных решений системы приточно-вытяжной противодымной вентиляции зданий и сооружений должны выполняться с естественным или механическим способом побуждения. Независимо от способа побуждения система приточно-вытяжной противодымной вентиляции должна иметь автоматический и дистанционный ручной привод исполнительных механизмов и устройств противодымной вентиляции. Объемно-планировочные решения зданий и сооружений в совокупности с системой противодымной защиты должны обеспечивать предотвращение или ограничение распространения продуктов горения за пределы помещения и (или) пожарного отсека, секции для обеспечения безопасной эвакуации людей.</w:t>
      </w:r>
    </w:p>
    <w:p>
      <w:pPr>
        <w:pStyle w:val="0"/>
        <w:jc w:val="both"/>
      </w:pPr>
      <w:r>
        <w:rPr>
          <w:sz w:val="20"/>
        </w:rPr>
        <w:t xml:space="preserve">(в ред. Федерального </w:t>
      </w:r>
      <w:hyperlink w:history="0" r:id="rId33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Утратил силу. - Федеральный </w:t>
      </w:r>
      <w:hyperlink w:history="0" r:id="rId33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spacing w:before="200" w:line-rule="auto"/>
        <w:ind w:firstLine="540"/>
        <w:jc w:val="both"/>
      </w:pPr>
      <w:r>
        <w:rPr>
          <w:sz w:val="20"/>
        </w:rPr>
        <w:t xml:space="preserve">3. Использование приточной противодымной вентиляции для создания избыточного давления воздуха в защищаемых помещениях, тамбур-шлюзах, лифтовых шахтах и на лестничных клетках без устройства естественной или механической вытяжной противодымной вентиляции не допускается.</w:t>
      </w:r>
    </w:p>
    <w:p>
      <w:pPr>
        <w:pStyle w:val="0"/>
        <w:jc w:val="both"/>
      </w:pPr>
      <w:r>
        <w:rPr>
          <w:sz w:val="20"/>
        </w:rPr>
        <w:t xml:space="preserve">(часть 3 в ред. Федерального </w:t>
      </w:r>
      <w:hyperlink w:history="0" r:id="rId34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4 - 5. Утратили силу. - Федеральный </w:t>
      </w:r>
      <w:hyperlink w:history="0" r:id="rId34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spacing w:before="200" w:line-rule="auto"/>
        <w:ind w:firstLine="540"/>
        <w:jc w:val="both"/>
      </w:pPr>
      <w:r>
        <w:rPr>
          <w:sz w:val="20"/>
        </w:rPr>
        <w:t xml:space="preserve">6. Конструктивное исполнение и характеристики элементов противодымной защиты зданий и сооружений в зависимости от целей противодымной защиты должны обеспечивать исправную работу систем приточно-вытяжной противодымной вентиляции в течение времени, необходимого для эвакуации людей в безопасную зону, или в течение всей продолжительности пожара.</w:t>
      </w:r>
    </w:p>
    <w:p>
      <w:pPr>
        <w:pStyle w:val="0"/>
        <w:jc w:val="both"/>
      </w:pPr>
      <w:r>
        <w:rPr>
          <w:sz w:val="20"/>
        </w:rPr>
        <w:t xml:space="preserve">(в ред. Федерального </w:t>
      </w:r>
      <w:hyperlink w:history="0" r:id="rId34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7. Автоматический привод исполнительных механизмов и устройств систем приточно-вытяжной противодымной вентиляции зданий и сооружений должен осуществляться при срабатывании автоматических установок пожаротушения и (или) пожарной сигнализации.</w:t>
      </w:r>
    </w:p>
    <w:p>
      <w:pPr>
        <w:pStyle w:val="0"/>
        <w:jc w:val="both"/>
      </w:pPr>
      <w:r>
        <w:rPr>
          <w:sz w:val="20"/>
        </w:rPr>
        <w:t xml:space="preserve">(в ред. Федерального </w:t>
      </w:r>
      <w:hyperlink w:history="0" r:id="rId34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8. Дистанционный ручной привод исполнительных механизмов и устройств систем приточно-вытяжной противодымной вентиляции зданий и сооружений должен осуществляться от пусковых элементов, расположенных у эвакуационных выходов и в помещениях пожарных постов или в помещениях диспетчерского персонала.</w:t>
      </w:r>
    </w:p>
    <w:p>
      <w:pPr>
        <w:pStyle w:val="0"/>
        <w:jc w:val="both"/>
      </w:pPr>
      <w:r>
        <w:rPr>
          <w:sz w:val="20"/>
        </w:rPr>
        <w:t xml:space="preserve">(в ред. Федерального </w:t>
      </w:r>
      <w:hyperlink w:history="0" r:id="rId34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9. При включении систем приточно-вытяжной противодымной вентиляции зданий и сооружений при пожаре должно осуществляться обязательное отключение систем общеобменной и технологической вентиляции и кондиционирования воздуха (за исключением систем, обеспечивающих технологическую безопасность объектов).</w:t>
      </w:r>
    </w:p>
    <w:p>
      <w:pPr>
        <w:pStyle w:val="0"/>
        <w:jc w:val="both"/>
      </w:pPr>
      <w:r>
        <w:rPr>
          <w:sz w:val="20"/>
        </w:rPr>
        <w:t xml:space="preserve">(в ред. Федерального </w:t>
      </w:r>
      <w:hyperlink w:history="0" r:id="rId34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10. Одновременная работа автоматических установок аэрозольного, порошкового или газового пожаротушения и систем противодымной вентиляции в помещении пожара не допускается.</w:t>
      </w:r>
    </w:p>
    <w:p>
      <w:pPr>
        <w:pStyle w:val="0"/>
        <w:spacing w:before="200" w:line-rule="auto"/>
        <w:ind w:firstLine="540"/>
        <w:jc w:val="both"/>
      </w:pPr>
      <w:r>
        <w:rPr>
          <w:sz w:val="20"/>
        </w:rPr>
        <w:t xml:space="preserve">11. Необходимость установки систем приточно-вытяжной противодымной вентиляции, а также требования к составу, конструктивному исполнению, пожарно-техническим характеристикам, особенностям использования и последовательности включения элементов систем приточно-вытяжной противодымной вентиляции зданий и сооружений определяются в зависимости от их функционального назначения и объемно-планировочных и конструктивных решений.</w:t>
      </w:r>
    </w:p>
    <w:p>
      <w:pPr>
        <w:pStyle w:val="0"/>
        <w:jc w:val="both"/>
      </w:pPr>
      <w:r>
        <w:rPr>
          <w:sz w:val="20"/>
        </w:rPr>
        <w:t xml:space="preserve">(часть 11 в ред. Федерального </w:t>
      </w:r>
      <w:hyperlink w:history="0" r:id="rId34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86. Требования к внутреннему противопожарному водоснабжению</w:t>
      </w:r>
    </w:p>
    <w:p>
      <w:pPr>
        <w:pStyle w:val="0"/>
        <w:ind w:firstLine="540"/>
        <w:jc w:val="both"/>
      </w:pPr>
      <w:r>
        <w:rPr>
          <w:sz w:val="20"/>
        </w:rPr>
      </w:r>
    </w:p>
    <w:p>
      <w:pPr>
        <w:pStyle w:val="0"/>
        <w:ind w:firstLine="540"/>
        <w:jc w:val="both"/>
      </w:pPr>
      <w:r>
        <w:rPr>
          <w:sz w:val="20"/>
        </w:rPr>
        <w:t xml:space="preserve">1. Внутренний противопожарный водопровод должен обеспечивать нормативный расход воды для тушения пожаров в зданиях и сооружениях.</w:t>
      </w:r>
    </w:p>
    <w:p>
      <w:pPr>
        <w:pStyle w:val="0"/>
        <w:jc w:val="both"/>
      </w:pPr>
      <w:r>
        <w:rPr>
          <w:sz w:val="20"/>
        </w:rPr>
        <w:t xml:space="preserve">(в ред. Федерального </w:t>
      </w:r>
      <w:hyperlink w:history="0" r:id="rId34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Внутренний противопожарный водопровод оборудуется внутренними пожарными кранами в количестве, обеспечивающем достижение целей пожаротушения.</w:t>
      </w:r>
    </w:p>
    <w:p>
      <w:pPr>
        <w:pStyle w:val="0"/>
        <w:spacing w:before="200" w:line-rule="auto"/>
        <w:ind w:firstLine="540"/>
        <w:jc w:val="both"/>
      </w:pPr>
      <w:r>
        <w:rPr>
          <w:sz w:val="20"/>
        </w:rPr>
        <w:t xml:space="preserve">3. </w:t>
      </w:r>
      <w:hyperlink w:history="0" r:id="rId348" w:tooltip="Приказ МЧС России от 27.07.2020 N 559 &quot;Об утверждении свода правил СП 10.13130 &quot;Системы противопожарной защиты. Внутренний противопожарный водопровод. Нормы и правила проектирования&quot; {КонсультантПлюс}">
        <w:r>
          <w:rPr>
            <w:sz w:val="20"/>
            <w:color w:val="0000ff"/>
          </w:rPr>
          <w:t xml:space="preserve">Требования</w:t>
        </w:r>
      </w:hyperlink>
      <w:r>
        <w:rPr>
          <w:sz w:val="20"/>
        </w:rPr>
        <w:t xml:space="preserve"> к внутреннему противопожарному водопроводу устанавливаются нормативными документами по пожарной безопасности.</w:t>
      </w:r>
    </w:p>
    <w:p>
      <w:pPr>
        <w:pStyle w:val="0"/>
        <w:ind w:firstLine="540"/>
        <w:jc w:val="both"/>
      </w:pPr>
      <w:r>
        <w:rPr>
          <w:sz w:val="20"/>
        </w:rPr>
      </w:r>
    </w:p>
    <w:bookmarkStart w:id="1193" w:name="P1193"/>
    <w:bookmarkEnd w:id="1193"/>
    <w:p>
      <w:pPr>
        <w:pStyle w:val="2"/>
        <w:outlineLvl w:val="3"/>
        <w:ind w:firstLine="540"/>
        <w:jc w:val="both"/>
      </w:pPr>
      <w:r>
        <w:rPr>
          <w:sz w:val="20"/>
        </w:rPr>
        <w:t xml:space="preserve">Статья 87. Требования к огнестойкости и пожарной опасности зданий, сооружений и пожарных отсеков</w:t>
      </w:r>
    </w:p>
    <w:p>
      <w:pPr>
        <w:pStyle w:val="0"/>
        <w:jc w:val="both"/>
      </w:pPr>
      <w:r>
        <w:rPr>
          <w:sz w:val="20"/>
        </w:rPr>
        <w:t xml:space="preserve">(в ред. Федерального </w:t>
      </w:r>
      <w:hyperlink w:history="0" r:id="rId34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Степень огнестойкости зданий, сооружений и пожарных отсеков должна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pPr>
        <w:pStyle w:val="0"/>
        <w:jc w:val="both"/>
      </w:pPr>
      <w:r>
        <w:rPr>
          <w:sz w:val="20"/>
        </w:rPr>
        <w:t xml:space="preserve">(в ред. Федерального </w:t>
      </w:r>
      <w:hyperlink w:history="0" r:id="rId35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Пределы огнестойкости строительных конструкций должны соответствовать принятой степени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приведено в </w:t>
      </w:r>
      <w:hyperlink w:history="0" w:anchor="P2943" w:tooltip="Соответствие степени огнестойкости и предела огнестойкости">
        <w:r>
          <w:rPr>
            <w:sz w:val="20"/>
            <w:color w:val="0000ff"/>
          </w:rPr>
          <w:t xml:space="preserve">таблице 21</w:t>
        </w:r>
      </w:hyperlink>
      <w:r>
        <w:rPr>
          <w:sz w:val="20"/>
        </w:rPr>
        <w:t xml:space="preserve"> приложения к настоящему Федеральному закону.</w:t>
      </w:r>
    </w:p>
    <w:p>
      <w:pPr>
        <w:pStyle w:val="0"/>
        <w:jc w:val="both"/>
      </w:pPr>
      <w:r>
        <w:rPr>
          <w:sz w:val="20"/>
        </w:rPr>
        <w:t xml:space="preserve">(в ред. Федерального </w:t>
      </w:r>
      <w:hyperlink w:history="0" r:id="rId35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Пределы огнестойкости заполнения проемов (дверей, ворот, окон и люков), а также фонарей, в том числе зенитных, и других светопрозрачных участков настилов покрытий не нормируются, за исключением заполнения проемов в противопожарных преградах.</w:t>
      </w:r>
    </w:p>
    <w:p>
      <w:pPr>
        <w:pStyle w:val="0"/>
        <w:spacing w:before="200" w:line-rule="auto"/>
        <w:ind w:firstLine="540"/>
        <w:jc w:val="both"/>
      </w:pPr>
      <w:r>
        <w:rPr>
          <w:sz w:val="20"/>
        </w:rPr>
        <w:t xml:space="preserve">4. На незадымляемых лестничных клетках типа Н1 допускается предусматривать лестничные площадки и марши с пределом огнестойкости R15 класса пожарной опасности К0.</w:t>
      </w:r>
    </w:p>
    <w:p>
      <w:pPr>
        <w:pStyle w:val="0"/>
        <w:spacing w:before="200" w:line-rule="auto"/>
        <w:ind w:firstLine="540"/>
        <w:jc w:val="both"/>
      </w:pPr>
      <w:r>
        <w:rPr>
          <w:sz w:val="20"/>
        </w:rPr>
        <w:t xml:space="preserve">5. Класс конструктивной пожарной опасности зданий, сооружений и пожарных отсеков должен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pPr>
        <w:pStyle w:val="0"/>
        <w:jc w:val="both"/>
      </w:pPr>
      <w:r>
        <w:rPr>
          <w:sz w:val="20"/>
        </w:rPr>
        <w:t xml:space="preserve">(в ред. Федерального </w:t>
      </w:r>
      <w:hyperlink w:history="0" r:id="rId35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6. Класс пожарной опасности строительных конструкций должен соответствовать принятому классу конструктивной пожарной опасности зданий, сооружений и пожарных отсеков. Соответствие класса конструктивной пожарной опасности зданий, сооружений и пожарных отсеков классу пожарной опасности применяемых в них строительных конструкций приведено в </w:t>
      </w:r>
      <w:hyperlink w:history="0" w:anchor="P3006" w:tooltip="Соответствие класса конструктивной пожарной опасности">
        <w:r>
          <w:rPr>
            <w:sz w:val="20"/>
            <w:color w:val="0000ff"/>
          </w:rPr>
          <w:t xml:space="preserve">таблице 22</w:t>
        </w:r>
      </w:hyperlink>
      <w:r>
        <w:rPr>
          <w:sz w:val="20"/>
        </w:rPr>
        <w:t xml:space="preserve"> приложения к настоящему Федеральному закону.</w:t>
      </w:r>
    </w:p>
    <w:p>
      <w:pPr>
        <w:pStyle w:val="0"/>
        <w:jc w:val="both"/>
      </w:pPr>
      <w:r>
        <w:rPr>
          <w:sz w:val="20"/>
        </w:rPr>
        <w:t xml:space="preserve">(в ред. Федерального </w:t>
      </w:r>
      <w:hyperlink w:history="0" r:id="rId35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7. Пожарная опасность заполнения проемов в ограждающих конструкциях зданий, сооружений (дверей, ворот, окон и люков) не нормируется, за исключением проемов в противопожарных преградах.</w:t>
      </w:r>
    </w:p>
    <w:p>
      <w:pPr>
        <w:pStyle w:val="0"/>
        <w:jc w:val="both"/>
      </w:pPr>
      <w:r>
        <w:rPr>
          <w:sz w:val="20"/>
        </w:rPr>
        <w:t xml:space="preserve">(в ред. Федерального </w:t>
      </w:r>
      <w:hyperlink w:history="0" r:id="rId35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8. Для зданий и сооружений класса функциональной пожарной опасности Ф1.1 должны применяться системы наружного утепления класса пожарной опасности К0.</w:t>
      </w:r>
    </w:p>
    <w:p>
      <w:pPr>
        <w:pStyle w:val="0"/>
        <w:jc w:val="both"/>
      </w:pPr>
      <w:r>
        <w:rPr>
          <w:sz w:val="20"/>
        </w:rPr>
        <w:t xml:space="preserve">(в ред. Федерального </w:t>
      </w:r>
      <w:hyperlink w:history="0" r:id="rId35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9. Пределы огнестойкости и классы пожарной опасности строительных конструкций должны определяться в условиях стандартных испытаний по </w:t>
      </w:r>
      <w:hyperlink w:history="0" r:id="rId356"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 {КонсультантПлюс}">
        <w:r>
          <w:rPr>
            <w:sz w:val="20"/>
            <w:color w:val="0000ff"/>
          </w:rPr>
          <w:t xml:space="preserve">методикам</w:t>
        </w:r>
      </w:hyperlink>
      <w:r>
        <w:rPr>
          <w:sz w:val="20"/>
        </w:rPr>
        <w:t xml:space="preserve">, установленным нормативными документами по пожарной безопасности.</w:t>
      </w:r>
    </w:p>
    <w:p>
      <w:pPr>
        <w:pStyle w:val="0"/>
        <w:spacing w:before="200" w:line-rule="auto"/>
        <w:ind w:firstLine="540"/>
        <w:jc w:val="both"/>
      </w:pPr>
      <w:r>
        <w:rPr>
          <w:sz w:val="20"/>
        </w:rPr>
        <w:t xml:space="preserve">10. Пределы огнестойкости и классы пожарной опасности строительных конструкций, аналогичных по форме, материалам, конструктивному исполнению строительным конструкциям, прошедшим огневые испытания, могут определяться расчетно-аналитическим методом, установленным нормативными документами по пожарной безопасности.</w:t>
      </w:r>
    </w:p>
    <w:p>
      <w:pPr>
        <w:pStyle w:val="0"/>
        <w:spacing w:before="200" w:line-rule="auto"/>
        <w:ind w:firstLine="540"/>
        <w:jc w:val="both"/>
      </w:pPr>
      <w:r>
        <w:rPr>
          <w:sz w:val="20"/>
        </w:rPr>
        <w:t xml:space="preserve">11. В зданиях и сооружениях I - III степеней огнестойкости, кроме малоэтажных жилых домов (до трех этажей включительно), отвечающих требованиям законодательства Российской Федерации о градостроительной деятельности, не допускается выполнять отделку внешних поверхностей наружных стен из материалов групп горючести Г2 - Г4, а фасадные системы не должны распространять горение.</w:t>
      </w:r>
    </w:p>
    <w:p>
      <w:pPr>
        <w:pStyle w:val="0"/>
        <w:jc w:val="both"/>
      </w:pPr>
      <w:r>
        <w:rPr>
          <w:sz w:val="20"/>
        </w:rPr>
        <w:t xml:space="preserve">(часть 11 введена Федеральным </w:t>
      </w:r>
      <w:hyperlink w:history="0" r:id="rId35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10.07.2012 N 117-ФЗ)</w:t>
      </w:r>
    </w:p>
    <w:p>
      <w:pPr>
        <w:pStyle w:val="0"/>
        <w:ind w:firstLine="540"/>
        <w:jc w:val="both"/>
      </w:pPr>
      <w:r>
        <w:rPr>
          <w:sz w:val="20"/>
        </w:rPr>
      </w:r>
    </w:p>
    <w:bookmarkStart w:id="1215" w:name="P1215"/>
    <w:bookmarkEnd w:id="1215"/>
    <w:p>
      <w:pPr>
        <w:pStyle w:val="2"/>
        <w:outlineLvl w:val="3"/>
        <w:ind w:firstLine="540"/>
        <w:jc w:val="both"/>
      </w:pPr>
      <w:r>
        <w:rPr>
          <w:sz w:val="20"/>
        </w:rPr>
        <w:t xml:space="preserve">Статья 88. Требования к ограничению распространения пожара в зданиях, сооружениях, пожарных отсеках</w:t>
      </w:r>
    </w:p>
    <w:p>
      <w:pPr>
        <w:pStyle w:val="0"/>
        <w:jc w:val="both"/>
      </w:pPr>
      <w:r>
        <w:rPr>
          <w:sz w:val="20"/>
        </w:rPr>
        <w:t xml:space="preserve">(в ред. Федерального </w:t>
      </w:r>
      <w:hyperlink w:history="0" r:id="rId35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Требования к таким ограждающим конструкциям и типам противопожарных преград устанавливаются с учетом </w:t>
      </w:r>
      <w:hyperlink w:history="0" w:anchor="P526" w:tooltip="Статья 32. Классификация зданий, сооружений и пожарных отсеков по функциональной пожарной опасности">
        <w:r>
          <w:rPr>
            <w:sz w:val="20"/>
            <w:color w:val="0000ff"/>
          </w:rPr>
          <w:t xml:space="preserve">классов</w:t>
        </w:r>
      </w:hyperlink>
      <w:r>
        <w:rPr>
          <w:sz w:val="20"/>
        </w:rPr>
        <w:t xml:space="preserve"> функциональной пожарной опасности помещений, величины пожарной нагрузки, степени огнестойкости и </w:t>
      </w:r>
      <w:hyperlink w:history="0" w:anchor="P518" w:tooltip="Статья 31. Классификация зданий, сооружений и пожарных отсеков по конструктивной пожарной опасности">
        <w:r>
          <w:rPr>
            <w:sz w:val="20"/>
            <w:color w:val="0000ff"/>
          </w:rPr>
          <w:t xml:space="preserve">класса</w:t>
        </w:r>
      </w:hyperlink>
      <w:r>
        <w:rPr>
          <w:sz w:val="20"/>
        </w:rPr>
        <w:t xml:space="preserve"> конструктивной пожарной опасности здания, сооружения, пожарного отсека.</w:t>
      </w:r>
    </w:p>
    <w:p>
      <w:pPr>
        <w:pStyle w:val="0"/>
        <w:jc w:val="both"/>
      </w:pPr>
      <w:r>
        <w:rPr>
          <w:sz w:val="20"/>
        </w:rPr>
        <w:t xml:space="preserve">(в ред. Федерального </w:t>
      </w:r>
      <w:hyperlink w:history="0" r:id="rId35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Пределы огнестойкости и типы строительных конструкций, выполняющих функции противопожарных преград, соответствующие им типы заполнения проемов и тамбур-шлюзов приведены в </w:t>
      </w:r>
      <w:hyperlink w:history="0" w:anchor="P3048" w:tooltip="Пределы огнестойкости противопожарных преград">
        <w:r>
          <w:rPr>
            <w:sz w:val="20"/>
            <w:color w:val="0000ff"/>
          </w:rPr>
          <w:t xml:space="preserve">таблице 23</w:t>
        </w:r>
      </w:hyperlink>
      <w:r>
        <w:rPr>
          <w:sz w:val="20"/>
        </w:rPr>
        <w:t xml:space="preserve"> приложения к настоящему Федеральному закону.</w:t>
      </w:r>
    </w:p>
    <w:p>
      <w:pPr>
        <w:pStyle w:val="0"/>
        <w:spacing w:before="200" w:line-rule="auto"/>
        <w:ind w:firstLine="540"/>
        <w:jc w:val="both"/>
      </w:pPr>
      <w:r>
        <w:rPr>
          <w:sz w:val="20"/>
        </w:rPr>
        <w:t xml:space="preserve">3. Пределы огнестойкости для соответствующих типов заполнения проемов в противопожарных преградах приведены в </w:t>
      </w:r>
      <w:hyperlink w:history="0" w:anchor="P3102" w:tooltip="Пределы огнестойкости заполнения проемов">
        <w:r>
          <w:rPr>
            <w:sz w:val="20"/>
            <w:color w:val="0000ff"/>
          </w:rPr>
          <w:t xml:space="preserve">таблице 24</w:t>
        </w:r>
      </w:hyperlink>
      <w:r>
        <w:rPr>
          <w:sz w:val="20"/>
        </w:rPr>
        <w:t xml:space="preserve"> приложения к настоящему Федеральному закону.</w:t>
      </w:r>
    </w:p>
    <w:p>
      <w:pPr>
        <w:pStyle w:val="0"/>
        <w:spacing w:before="200" w:line-rule="auto"/>
        <w:ind w:firstLine="540"/>
        <w:jc w:val="both"/>
      </w:pPr>
      <w:r>
        <w:rPr>
          <w:sz w:val="20"/>
        </w:rPr>
        <w:t xml:space="preserve">4. Требования к элементам тамбур-шлюзов различных типов приведены в </w:t>
      </w:r>
      <w:hyperlink w:history="0" w:anchor="P3153" w:tooltip="Требования к элементам тамбур-шлюза">
        <w:r>
          <w:rPr>
            <w:sz w:val="20"/>
            <w:color w:val="0000ff"/>
          </w:rPr>
          <w:t xml:space="preserve">таблице 25</w:t>
        </w:r>
      </w:hyperlink>
      <w:r>
        <w:rPr>
          <w:sz w:val="20"/>
        </w:rPr>
        <w:t xml:space="preserve"> приложения к настоящему Федеральному закону.</w:t>
      </w:r>
    </w:p>
    <w:p>
      <w:pPr>
        <w:pStyle w:val="0"/>
        <w:spacing w:before="200" w:line-rule="auto"/>
        <w:ind w:firstLine="540"/>
        <w:jc w:val="both"/>
      </w:pPr>
      <w:r>
        <w:rPr>
          <w:sz w:val="20"/>
        </w:rPr>
        <w:t xml:space="preserve">5. Противопожарные стены должны возводиться на всю высоту здания или сооружения либо до противопожарных перекрытий 1-го типа и обеспечивать нераспространение пожара в смежный пожарный отсек, в том числе при одностороннем обрушении конструкций здания или сооружения со стороны очага пожара.</w:t>
      </w:r>
    </w:p>
    <w:p>
      <w:pPr>
        <w:pStyle w:val="0"/>
        <w:jc w:val="both"/>
      </w:pPr>
      <w:r>
        <w:rPr>
          <w:sz w:val="20"/>
        </w:rPr>
        <w:t xml:space="preserve">(в ред. Федерального </w:t>
      </w:r>
      <w:hyperlink w:history="0" r:id="rId36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6. Места сопряжения противопожарных стен, перекрытий и перегородок с другими ограждающими конструкциями здания, сооружения, пожарного отсека должны иметь предел огнестойкости не менее предела огнестойкости сопрягаемых преград.</w:t>
      </w:r>
    </w:p>
    <w:p>
      <w:pPr>
        <w:pStyle w:val="0"/>
        <w:jc w:val="both"/>
      </w:pPr>
      <w:r>
        <w:rPr>
          <w:sz w:val="20"/>
        </w:rPr>
        <w:t xml:space="preserve">(в ред. Федерального </w:t>
      </w:r>
      <w:hyperlink w:history="0" r:id="rId36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7. Конструктивное исполнение мест сопряжения противопожарных стен с другими стенами зданий и сооружений должно исключать возможность распространения пожара в обход этих преград.</w:t>
      </w:r>
    </w:p>
    <w:p>
      <w:pPr>
        <w:pStyle w:val="0"/>
        <w:jc w:val="both"/>
      </w:pPr>
      <w:r>
        <w:rPr>
          <w:sz w:val="20"/>
        </w:rPr>
        <w:t xml:space="preserve">(в ред. Федерального </w:t>
      </w:r>
      <w:hyperlink w:history="0" r:id="rId36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8. Окна в противопожарных преградах должны быть неоткрывающимися, а противопожарные двери и ворота должны иметь устройства для самозакрывания. Противопожарные двери, ворота, шторы,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pPr>
        <w:pStyle w:val="0"/>
        <w:spacing w:before="200" w:line-rule="auto"/>
        <w:ind w:firstLine="540"/>
        <w:jc w:val="both"/>
      </w:pPr>
      <w:r>
        <w:rPr>
          <w:sz w:val="20"/>
        </w:rPr>
        <w:t xml:space="preserve">9. Общая площадь проемов в противопожарных преградах не должна превышать 25 процентов их площади.</w:t>
      </w:r>
    </w:p>
    <w:p>
      <w:pPr>
        <w:pStyle w:val="0"/>
        <w:spacing w:before="200" w:line-rule="auto"/>
        <w:ind w:firstLine="540"/>
        <w:jc w:val="both"/>
      </w:pPr>
      <w:r>
        <w:rPr>
          <w:sz w:val="20"/>
        </w:rPr>
        <w:t xml:space="preserve">10. В противопожарных преградах, отделяющих помещения категорий А и Б от помещений других категорий, коридоров, лестничных клеток и лифтовых холлов, должны быть предусмотрены тамбур-шлюзы с постоянным подпором воздуха. Устройство общих тамбур-шлюзов для двух и более смежных помещений категорий А и Б не допускается.</w:t>
      </w:r>
    </w:p>
    <w:p>
      <w:pPr>
        <w:pStyle w:val="0"/>
        <w:spacing w:before="200" w:line-rule="auto"/>
        <w:ind w:firstLine="540"/>
        <w:jc w:val="both"/>
      </w:pPr>
      <w:r>
        <w:rPr>
          <w:sz w:val="20"/>
        </w:rPr>
        <w:t xml:space="preserve">11. При невозможности устройства тамбур-шлюзов в противопожарных преградах, отделяющих помещения категорий А и Б от других помещений, или противопожарных дверей, ворот, штор, люков и клапанов в противопожарных преградах, отделяющих помещения категории В от других помещений, следует предусматривать комплекс мероприятий по предотвращению распространения пожара на смежные этажи и в смежные помещения.</w:t>
      </w:r>
    </w:p>
    <w:p>
      <w:pPr>
        <w:pStyle w:val="0"/>
        <w:spacing w:before="200" w:line-rule="auto"/>
        <w:ind w:firstLine="540"/>
        <w:jc w:val="both"/>
      </w:pPr>
      <w:r>
        <w:rPr>
          <w:sz w:val="20"/>
        </w:rPr>
        <w:t xml:space="preserve">12. В проемах противопожарных преград, которые не могут закрываться противопожарными дверями или воротами, для сообщения между смежными помещениями категории В или Г и помещениями категории Д должно быть предусмотрено устройство открытых тамбуров, оборудованных установками автоматического пожаротушения, или должны быть установлены вместо дверей и ворот противопожарные шторы, экраны. Ограждающие конструкции этих тамбуров должны быть противопожарными.</w:t>
      </w:r>
    </w:p>
    <w:p>
      <w:pPr>
        <w:pStyle w:val="0"/>
        <w:spacing w:before="200" w:line-rule="auto"/>
        <w:ind w:firstLine="540"/>
        <w:jc w:val="both"/>
      </w:pPr>
      <w:r>
        <w:rPr>
          <w:sz w:val="20"/>
        </w:rPr>
        <w:t xml:space="preserve">13. Противопожарные шторы и экраны должны выполняться из материалов группы горючести НГ.</w:t>
      </w:r>
    </w:p>
    <w:p>
      <w:pPr>
        <w:pStyle w:val="0"/>
        <w:jc w:val="both"/>
      </w:pPr>
      <w:r>
        <w:rPr>
          <w:sz w:val="20"/>
        </w:rPr>
        <w:t xml:space="preserve">(в ред. Федерального </w:t>
      </w:r>
      <w:hyperlink w:history="0" r:id="rId36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14. Не допускается пересекать противопожарные стены и перекрытия 1-го типа каналами, шахтами и трубопроводами для транспортирования горючих газов, пылевоздушных смесей, жидкостей, иных веществ и материалов. В местах пересечения таких противопожарных преград каналами, шахтами и трубопроводами для транспортирования веществ и материалов, отличных от вышеуказанных, за исключением каналов систем противодымной защиты, следует предусматривать автоматические устройства, предотвращающие распространение продуктов горения по каналам, шахтам и трубопроводам.</w:t>
      </w:r>
    </w:p>
    <w:p>
      <w:pPr>
        <w:pStyle w:val="0"/>
        <w:spacing w:before="200" w:line-rule="auto"/>
        <w:ind w:firstLine="540"/>
        <w:jc w:val="both"/>
      </w:pPr>
      <w:r>
        <w:rPr>
          <w:sz w:val="20"/>
        </w:rPr>
        <w:t xml:space="preserve">15. Ограждающие конструкции лифтовых шахт расположенных вне лестничной клетки и помещений машинных отделений лифтов (кроме расположенных на кровле), а также каналов и шахт для прокладки коммуникаций должны соответствовать требованиям, предъявляемым к противопожарным перегородкам 1-го типа и перекрытиям 3-го типа. Предел огнестойкости ограждающих конструкций между шахтой лифта и машинным отделением лифта не нормируется.</w:t>
      </w:r>
    </w:p>
    <w:p>
      <w:pPr>
        <w:pStyle w:val="0"/>
        <w:spacing w:before="200" w:line-rule="auto"/>
        <w:ind w:firstLine="540"/>
        <w:jc w:val="both"/>
      </w:pPr>
      <w:r>
        <w:rPr>
          <w:sz w:val="20"/>
        </w:rPr>
        <w:t xml:space="preserve">16. Дверные проемы в ограждениях лифтовых шахт с выходами из них в коридоры и другие помещения, кроме лестничных клеток, должны защищаться противопожарными дверями с пределом огнестойкости не менее EI 30 или экранами из негорючих материалов с пределом огнестойкости не менее EI 45, автоматически закрывающими дверные проемы лифтовых шахт при пожаре, либо лифтовые шахты в зданиях и сооружениях должны отделяться от коридоров, лестничных клеток и других помещений тамбурами или холлами с противопожарными перегородками 1-го типа и перекрытиями 3-го типа.</w:t>
      </w:r>
    </w:p>
    <w:p>
      <w:pPr>
        <w:pStyle w:val="0"/>
        <w:jc w:val="both"/>
      </w:pPr>
      <w:r>
        <w:rPr>
          <w:sz w:val="20"/>
        </w:rPr>
        <w:t xml:space="preserve">(в ред. Федерального </w:t>
      </w:r>
      <w:hyperlink w:history="0" r:id="rId36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17. В зданиях и сооружениях высотой 28 метров и более шахты лифтов, не имеющие у выхода из них тамбур-шлюзов с избыточным давлением воздуха или лифтовых холлов с подпором воздуха при пожаре, должны быть оборудованы системой создания избыточного давления воздуха в шахте лифта.</w:t>
      </w:r>
    </w:p>
    <w:p>
      <w:pPr>
        <w:pStyle w:val="0"/>
        <w:jc w:val="both"/>
      </w:pPr>
      <w:r>
        <w:rPr>
          <w:sz w:val="20"/>
        </w:rPr>
        <w:t xml:space="preserve">(часть 17 в ред. Федерального </w:t>
      </w:r>
      <w:hyperlink w:history="0" r:id="rId36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18. Утратил силу. - Федеральный </w:t>
      </w:r>
      <w:hyperlink w:history="0" r:id="rId36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spacing w:before="200" w:line-rule="auto"/>
        <w:ind w:firstLine="540"/>
        <w:jc w:val="both"/>
      </w:pPr>
      <w:r>
        <w:rPr>
          <w:sz w:val="20"/>
        </w:rPr>
        <w:t xml:space="preserve">19. Объемно-планировочные решения и конструктивное исполнение лестниц и лестничных клеток должны обеспечивать безопасную эвакуацию людей из зданий, сооружений при пожаре и препятствовать распространению пожара между этажами.</w:t>
      </w:r>
    </w:p>
    <w:p>
      <w:pPr>
        <w:pStyle w:val="0"/>
        <w:jc w:val="both"/>
      </w:pPr>
      <w:r>
        <w:rPr>
          <w:sz w:val="20"/>
        </w:rPr>
        <w:t xml:space="preserve">(в ред. Федерального </w:t>
      </w:r>
      <w:hyperlink w:history="0" r:id="rId36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20. В подземных этажах зданий и сооружений вход в лифт должен осуществляться через тамбур-шлюзы 1-го типа с избыточным давлением воздуха при пожаре.</w:t>
      </w:r>
    </w:p>
    <w:p>
      <w:pPr>
        <w:pStyle w:val="0"/>
        <w:jc w:val="both"/>
      </w:pPr>
      <w:r>
        <w:rPr>
          <w:sz w:val="20"/>
        </w:rPr>
        <w:t xml:space="preserve">(в ред. Федерального </w:t>
      </w:r>
      <w:hyperlink w:history="0" r:id="rId36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89. </w:t>
      </w:r>
      <w:hyperlink w:history="0" r:id="rId369" w:tooltip="Приказ МЧС России от 19.03.2020 N 194 &quot;Об утверждении свода правил СП 1.13130 &quot;Системы противопожарной защиты. Эвакуационные пути и выходы&quot; (вместе с &quot;СП 1.13130.2020 Свод правил...&quot;) {КонсультантПлюс}">
        <w:r>
          <w:rPr>
            <w:sz w:val="20"/>
            <w:color w:val="0000ff"/>
          </w:rPr>
          <w:t xml:space="preserve">Требования</w:t>
        </w:r>
      </w:hyperlink>
      <w:r>
        <w:rPr>
          <w:sz w:val="20"/>
        </w:rPr>
        <w:t xml:space="preserve"> пожарной безопасности к эвакуационным путям, эвакуационным и аварийным выходам</w:t>
      </w:r>
    </w:p>
    <w:p>
      <w:pPr>
        <w:pStyle w:val="0"/>
        <w:ind w:firstLine="540"/>
        <w:jc w:val="both"/>
      </w:pPr>
      <w:r>
        <w:rPr>
          <w:sz w:val="20"/>
        </w:rPr>
      </w:r>
    </w:p>
    <w:p>
      <w:pPr>
        <w:pStyle w:val="0"/>
        <w:ind w:firstLine="540"/>
        <w:jc w:val="both"/>
      </w:pPr>
      <w:r>
        <w:rPr>
          <w:sz w:val="20"/>
        </w:rPr>
        <w:t xml:space="preserve">1. Эвакуационные пути в зданиях и сооружениях и выходы из зданий и сооружений должны обеспечивать безопасную эвакуацию людей. Расчет эвакуационных путей и выходов производится без учета применяемых в них средств пожаротушения.</w:t>
      </w:r>
    </w:p>
    <w:p>
      <w:pPr>
        <w:pStyle w:val="0"/>
        <w:jc w:val="both"/>
      </w:pPr>
      <w:r>
        <w:rPr>
          <w:sz w:val="20"/>
        </w:rPr>
        <w:t xml:space="preserve">(в ред. Федерального </w:t>
      </w:r>
      <w:hyperlink w:history="0" r:id="rId37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Размещение помещений с массовым пребыванием людей, в том числе детей и групп населения с ограниченными возможностями передвижения, и применение пожароопасных строительных материалов в конструктивных элементах путей эвакуации должны определяться техническими регламентами, принятыми в соответствии с Федеральным </w:t>
      </w:r>
      <w:hyperlink w:history="0" r:id="rId371"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 техническом регулировании".</w:t>
      </w:r>
    </w:p>
    <w:p>
      <w:pPr>
        <w:pStyle w:val="0"/>
        <w:jc w:val="both"/>
      </w:pPr>
      <w:r>
        <w:rPr>
          <w:sz w:val="20"/>
        </w:rPr>
        <w:t xml:space="preserve">(часть 2 в ред. Федерального </w:t>
      </w:r>
      <w:hyperlink w:history="0" r:id="rId37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Выходы являются эвакуационными, если они ведут:</w:t>
      </w:r>
    </w:p>
    <w:bookmarkStart w:id="1255" w:name="P1255"/>
    <w:bookmarkEnd w:id="1255"/>
    <w:p>
      <w:pPr>
        <w:pStyle w:val="0"/>
        <w:spacing w:before="200" w:line-rule="auto"/>
        <w:ind w:firstLine="540"/>
        <w:jc w:val="both"/>
      </w:pPr>
      <w:r>
        <w:rPr>
          <w:sz w:val="20"/>
        </w:rPr>
        <w:t xml:space="preserve">1) из помещений первого, подвального или цокольного этажа наружу:</w:t>
      </w:r>
    </w:p>
    <w:p>
      <w:pPr>
        <w:pStyle w:val="0"/>
        <w:spacing w:before="200" w:line-rule="auto"/>
        <w:ind w:firstLine="540"/>
        <w:jc w:val="both"/>
      </w:pPr>
      <w:r>
        <w:rPr>
          <w:sz w:val="20"/>
        </w:rPr>
        <w:t xml:space="preserve">а) непосредственно;</w:t>
      </w:r>
    </w:p>
    <w:p>
      <w:pPr>
        <w:pStyle w:val="0"/>
        <w:spacing w:before="200" w:line-rule="auto"/>
        <w:ind w:firstLine="540"/>
        <w:jc w:val="both"/>
      </w:pPr>
      <w:r>
        <w:rPr>
          <w:sz w:val="20"/>
        </w:rPr>
        <w:t xml:space="preserve">б) через коридор;</w:t>
      </w:r>
    </w:p>
    <w:p>
      <w:pPr>
        <w:pStyle w:val="0"/>
        <w:spacing w:before="200" w:line-rule="auto"/>
        <w:ind w:firstLine="540"/>
        <w:jc w:val="both"/>
      </w:pPr>
      <w:r>
        <w:rPr>
          <w:sz w:val="20"/>
        </w:rPr>
        <w:t xml:space="preserve">в) через вестибюль (фойе);</w:t>
      </w:r>
    </w:p>
    <w:p>
      <w:pPr>
        <w:pStyle w:val="0"/>
        <w:spacing w:before="200" w:line-rule="auto"/>
        <w:ind w:firstLine="540"/>
        <w:jc w:val="both"/>
      </w:pPr>
      <w:r>
        <w:rPr>
          <w:sz w:val="20"/>
        </w:rPr>
        <w:t xml:space="preserve">г) через лестничную клетку;</w:t>
      </w:r>
    </w:p>
    <w:p>
      <w:pPr>
        <w:pStyle w:val="0"/>
        <w:spacing w:before="200" w:line-rule="auto"/>
        <w:ind w:firstLine="540"/>
        <w:jc w:val="both"/>
      </w:pPr>
      <w:r>
        <w:rPr>
          <w:sz w:val="20"/>
        </w:rPr>
        <w:t xml:space="preserve">д) через коридор и вестибюль (фойе);</w:t>
      </w:r>
    </w:p>
    <w:p>
      <w:pPr>
        <w:pStyle w:val="0"/>
        <w:spacing w:before="200" w:line-rule="auto"/>
        <w:ind w:firstLine="540"/>
        <w:jc w:val="both"/>
      </w:pPr>
      <w:r>
        <w:rPr>
          <w:sz w:val="20"/>
        </w:rPr>
        <w:t xml:space="preserve">е) через коридор, холл (рекреационную площадку) и лестничную клетку;</w:t>
      </w:r>
    </w:p>
    <w:bookmarkStart w:id="1262" w:name="P1262"/>
    <w:bookmarkEnd w:id="1262"/>
    <w:p>
      <w:pPr>
        <w:pStyle w:val="0"/>
        <w:spacing w:before="200" w:line-rule="auto"/>
        <w:ind w:firstLine="540"/>
        <w:jc w:val="both"/>
      </w:pPr>
      <w:r>
        <w:rPr>
          <w:sz w:val="20"/>
        </w:rPr>
        <w:t xml:space="preserve">2) из помещений любого этажа, кроме первого, подвального и цокольного:</w:t>
      </w:r>
    </w:p>
    <w:p>
      <w:pPr>
        <w:pStyle w:val="0"/>
        <w:spacing w:before="200" w:line-rule="auto"/>
        <w:ind w:firstLine="540"/>
        <w:jc w:val="both"/>
      </w:pPr>
      <w:r>
        <w:rPr>
          <w:sz w:val="20"/>
        </w:rPr>
        <w:t xml:space="preserve">а) непосредственно на лестничную клетку при условиях, установленных нормативными документами по пожарной безопасности;</w:t>
      </w:r>
    </w:p>
    <w:p>
      <w:pPr>
        <w:pStyle w:val="0"/>
        <w:spacing w:before="200" w:line-rule="auto"/>
        <w:ind w:firstLine="540"/>
        <w:jc w:val="both"/>
      </w:pPr>
      <w:r>
        <w:rPr>
          <w:sz w:val="20"/>
        </w:rPr>
        <w:t xml:space="preserve">б) непосредственно наружу или на лестницу 3-го типа;</w:t>
      </w:r>
    </w:p>
    <w:p>
      <w:pPr>
        <w:pStyle w:val="0"/>
        <w:spacing w:before="200" w:line-rule="auto"/>
        <w:ind w:firstLine="540"/>
        <w:jc w:val="both"/>
      </w:pPr>
      <w:r>
        <w:rPr>
          <w:sz w:val="20"/>
        </w:rPr>
        <w:t xml:space="preserve">в) в коридор, ведущий непосредственно либо через холл (рекреационную площадку) на лестничную клетку или на лестницу 3-го типа;</w:t>
      </w:r>
    </w:p>
    <w:p>
      <w:pPr>
        <w:pStyle w:val="0"/>
        <w:spacing w:before="200" w:line-rule="auto"/>
        <w:ind w:firstLine="540"/>
        <w:jc w:val="both"/>
      </w:pPr>
      <w:r>
        <w:rPr>
          <w:sz w:val="20"/>
        </w:rPr>
        <w:t xml:space="preserve">г) в холл (на рекреационную площадку), фойе, имеющие выход непосредственно на лестничную клетку или на лестницу 3-го типа;</w:t>
      </w:r>
    </w:p>
    <w:p>
      <w:pPr>
        <w:pStyle w:val="0"/>
        <w:spacing w:before="200" w:line-rule="auto"/>
        <w:ind w:firstLine="540"/>
        <w:jc w:val="both"/>
      </w:pPr>
      <w:r>
        <w:rPr>
          <w:sz w:val="20"/>
        </w:rPr>
        <w:t xml:space="preserve">д) на эксплуатируемую кровлю или специально оборудованный участок кровли, который ведет на лестничную клетку или на лестницу 3-го типа, в том числе через коридор;</w:t>
      </w:r>
    </w:p>
    <w:p>
      <w:pPr>
        <w:pStyle w:val="0"/>
        <w:spacing w:before="200" w:line-rule="auto"/>
        <w:ind w:firstLine="540"/>
        <w:jc w:val="both"/>
      </w:pPr>
      <w:r>
        <w:rPr>
          <w:sz w:val="20"/>
        </w:rPr>
        <w:t xml:space="preserve">3) в соседнее помещение (кроме помещения класса Ф5 категории А или Б) на том же этаже, обеспеченное выходами, указанными в </w:t>
      </w:r>
      <w:hyperlink w:history="0" w:anchor="P1255" w:tooltip="1) из помещений первого, подвального или цокольного этажа наружу:">
        <w:r>
          <w:rPr>
            <w:sz w:val="20"/>
            <w:color w:val="0000ff"/>
          </w:rPr>
          <w:t xml:space="preserve">пунктах 1</w:t>
        </w:r>
      </w:hyperlink>
      <w:r>
        <w:rPr>
          <w:sz w:val="20"/>
        </w:rPr>
        <w:t xml:space="preserve"> и </w:t>
      </w:r>
      <w:hyperlink w:history="0" w:anchor="P1262" w:tooltip="2) из помещений любого этажа, кроме первого, подвального и цокольного:">
        <w:r>
          <w:rPr>
            <w:sz w:val="20"/>
            <w:color w:val="0000ff"/>
          </w:rPr>
          <w:t xml:space="preserve">2</w:t>
        </w:r>
      </w:hyperlink>
      <w:r>
        <w:rPr>
          <w:sz w:val="20"/>
        </w:rPr>
        <w:t xml:space="preserve"> настоящей части. Выход из технического помещения без постоянных рабочих мест в помещение категории А или Б считается эвакуационным, если в техническом помещении размещается оборудование по обслуживанию этого пожароопасного помещения.</w:t>
      </w:r>
    </w:p>
    <w:p>
      <w:pPr>
        <w:pStyle w:val="0"/>
        <w:jc w:val="both"/>
      </w:pPr>
      <w:r>
        <w:rPr>
          <w:sz w:val="20"/>
        </w:rPr>
        <w:t xml:space="preserve">(часть 3 в ред. Федерального </w:t>
      </w:r>
      <w:hyperlink w:history="0" r:id="rId37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3.1. При устройстве эвакуационных путей и выходов допускается:</w:t>
      </w:r>
    </w:p>
    <w:p>
      <w:pPr>
        <w:pStyle w:val="0"/>
        <w:spacing w:before="200" w:line-rule="auto"/>
        <w:ind w:firstLine="540"/>
        <w:jc w:val="both"/>
      </w:pPr>
      <w:r>
        <w:rPr>
          <w:sz w:val="20"/>
        </w:rPr>
        <w:t xml:space="preserve">1) предусматривать эвакуационные выходы из помещений непосредственно на лестницу 2-го типа, в коридор или холл (на рекреационную площадку), вестибюль (фойе), ведущие на такую лестницу при условиях, установленных нормативными документами по пожарной безопасности;</w:t>
      </w:r>
    </w:p>
    <w:p>
      <w:pPr>
        <w:pStyle w:val="0"/>
        <w:spacing w:before="200" w:line-rule="auto"/>
        <w:ind w:firstLine="540"/>
        <w:jc w:val="both"/>
      </w:pPr>
      <w:r>
        <w:rPr>
          <w:sz w:val="20"/>
        </w:rPr>
        <w:t xml:space="preserve">2) предусматривать эвакуационные выходы с эксплуатируемой кровли в соответствии с требованиями </w:t>
      </w:r>
      <w:hyperlink w:history="0" w:anchor="P1262" w:tooltip="2) из помещений любого этажа, кроме первого, подвального и цокольного:">
        <w:r>
          <w:rPr>
            <w:sz w:val="20"/>
            <w:color w:val="0000ff"/>
          </w:rPr>
          <w:t xml:space="preserve">пункта 2 части 3</w:t>
        </w:r>
      </w:hyperlink>
      <w:r>
        <w:rPr>
          <w:sz w:val="20"/>
        </w:rPr>
        <w:t xml:space="preserve"> настоящей статьи.</w:t>
      </w:r>
    </w:p>
    <w:p>
      <w:pPr>
        <w:pStyle w:val="0"/>
        <w:jc w:val="both"/>
      </w:pPr>
      <w:r>
        <w:rPr>
          <w:sz w:val="20"/>
        </w:rPr>
        <w:t xml:space="preserve">(часть 3.1 введена Федеральным </w:t>
      </w:r>
      <w:hyperlink w:history="0" r:id="rId37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14.07.2022 N 276-ФЗ)</w:t>
      </w:r>
    </w:p>
    <w:bookmarkStart w:id="1274" w:name="P1274"/>
    <w:bookmarkEnd w:id="1274"/>
    <w:p>
      <w:pPr>
        <w:pStyle w:val="0"/>
        <w:spacing w:before="200" w:line-rule="auto"/>
        <w:ind w:firstLine="540"/>
        <w:jc w:val="both"/>
      </w:pPr>
      <w:r>
        <w:rPr>
          <w:sz w:val="20"/>
        </w:rPr>
        <w:t xml:space="preserve">4. Эвакуационные выходы из помещений подвальных этажей следует предусматривать ведущими непосредственно наружу и обособленными от общих лестничных клеток здания. Выходы из помещений цокольных этажей следует предусматривать обособленными при условиях, установленных нормативными документами по пожарной безопасности. Допускается предусматривать:</w:t>
      </w:r>
    </w:p>
    <w:p>
      <w:pPr>
        <w:pStyle w:val="0"/>
        <w:spacing w:before="200" w:line-rule="auto"/>
        <w:ind w:firstLine="540"/>
        <w:jc w:val="both"/>
      </w:pPr>
      <w:r>
        <w:rPr>
          <w:sz w:val="20"/>
        </w:rPr>
        <w:t xml:space="preserve">1) эвакуационные выходы из помещений подвальных этажей через общие лестничные клетки с обособленным выходом наружу, отделенным от остальной части лестничной клетки глухой противопожарной перегородкой 1-го типа;</w:t>
      </w:r>
    </w:p>
    <w:p>
      <w:pPr>
        <w:pStyle w:val="0"/>
        <w:spacing w:before="200" w:line-rule="auto"/>
        <w:ind w:firstLine="540"/>
        <w:jc w:val="both"/>
      </w:pPr>
      <w:r>
        <w:rPr>
          <w:sz w:val="20"/>
        </w:rPr>
        <w:t xml:space="preserve">2) эвакуационные выходы из помещений подвальных этажей с помещениями категорий В1 - В4, Г и Д ведущими в помещения категорий В1 - В4, Г и Д и (или) вестибюль, расположенные на первом этаже зданий класса Ф5;</w:t>
      </w:r>
    </w:p>
    <w:p>
      <w:pPr>
        <w:pStyle w:val="0"/>
        <w:spacing w:before="200" w:line-rule="auto"/>
        <w:ind w:firstLine="540"/>
        <w:jc w:val="both"/>
      </w:pPr>
      <w:r>
        <w:rPr>
          <w:sz w:val="20"/>
        </w:rPr>
        <w:t xml:space="preserve">3) эвакуационные выходы из фойе, гардеробных, курительных и санитарных помещений, размещенных в подвальных и цокольных этажах зданий классов Ф2, Ф3 и Ф4, ведущими в вестибюль первого этажа по отдельным лестницам 2-го типа при условиях, установленных нормативными документами по пожарной безопасности.</w:t>
      </w:r>
    </w:p>
    <w:p>
      <w:pPr>
        <w:pStyle w:val="0"/>
        <w:jc w:val="both"/>
      </w:pPr>
      <w:r>
        <w:rPr>
          <w:sz w:val="20"/>
        </w:rPr>
        <w:t xml:space="preserve">(часть 4 в ред. Федерального </w:t>
      </w:r>
      <w:hyperlink w:history="0" r:id="rId37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5. Утратил силу. - Федеральный </w:t>
      </w:r>
      <w:hyperlink w:history="0" r:id="rId37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6. Утратил силу. - Федеральный </w:t>
      </w:r>
      <w:hyperlink w:history="0" r:id="rId37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spacing w:before="200" w:line-rule="auto"/>
        <w:ind w:firstLine="540"/>
        <w:jc w:val="both"/>
      </w:pPr>
      <w:r>
        <w:rPr>
          <w:sz w:val="20"/>
        </w:rPr>
        <w:t xml:space="preserve">7. Утратил силу. - Федеральный </w:t>
      </w:r>
      <w:hyperlink w:history="0" r:id="rId37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8. Количество и ширина эвакуационных выходов из помещений с этажей и из зданий определяются в зависимости от максимально возможного числа эвакуируемых через них людей и предельно допустимого расстояния от наиболее удаленного места возможного пребывания людей (рабочего места) до ближайшего эвакуационного выхода.</w:t>
      </w:r>
    </w:p>
    <w:p>
      <w:pPr>
        <w:pStyle w:val="0"/>
        <w:spacing w:before="200" w:line-rule="auto"/>
        <w:ind w:firstLine="540"/>
        <w:jc w:val="both"/>
      </w:pPr>
      <w:r>
        <w:rPr>
          <w:sz w:val="20"/>
        </w:rPr>
        <w:t xml:space="preserve">9. Утратил силу. - Федеральный </w:t>
      </w:r>
      <w:hyperlink w:history="0" r:id="rId37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spacing w:before="200" w:line-rule="auto"/>
        <w:ind w:firstLine="540"/>
        <w:jc w:val="both"/>
      </w:pPr>
      <w:r>
        <w:rPr>
          <w:sz w:val="20"/>
        </w:rPr>
        <w:t xml:space="preserve">10. Число эвакуационных выходов из помещения должно устанавливаться в зависимости от предельно допустимого расстояния от наиболее удаленной точки (рабочего места) до ближайшего эвакуационного выхода.</w:t>
      </w:r>
    </w:p>
    <w:p>
      <w:pPr>
        <w:pStyle w:val="0"/>
        <w:spacing w:before="200" w:line-rule="auto"/>
        <w:ind w:firstLine="540"/>
        <w:jc w:val="both"/>
      </w:pPr>
      <w:r>
        <w:rPr>
          <w:sz w:val="20"/>
        </w:rPr>
        <w:t xml:space="preserve">11. Число эвакуационных выходов из здания и сооружения должно быть не менее числа эвакуационных выходов с любого этажа здания и сооружения.</w:t>
      </w:r>
    </w:p>
    <w:p>
      <w:pPr>
        <w:pStyle w:val="0"/>
        <w:jc w:val="both"/>
      </w:pPr>
      <w:r>
        <w:rPr>
          <w:sz w:val="20"/>
        </w:rPr>
        <w:t xml:space="preserve">(в ред. Федерального </w:t>
      </w:r>
      <w:hyperlink w:history="0" r:id="rId38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12. Предельно допустимое расстояние от наиболее удаленной точки помещения (для зданий и сооружений класса Ф5 - от наиболее удаленного рабочего места) до ближайшего эвакуационного выхода, измеряемое по оси эвакуационного пути, устанавливается в зависимости от класса функциональной пожарной опасности и категории помещения, здания и сооружения по взрывопожарной и пожарной опасности,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 и сооружения.</w:t>
      </w:r>
    </w:p>
    <w:p>
      <w:pPr>
        <w:pStyle w:val="0"/>
        <w:jc w:val="both"/>
      </w:pPr>
      <w:r>
        <w:rPr>
          <w:sz w:val="20"/>
        </w:rPr>
        <w:t xml:space="preserve">(в ред. Федерального </w:t>
      </w:r>
      <w:hyperlink w:history="0" r:id="rId38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13. Утратил силу. - Федеральный </w:t>
      </w:r>
      <w:hyperlink w:history="0" r:id="rId38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14. Эвакуационные пути (за исключением эвакуационных путей подземных сооружений метрополитена, горнодобывающих предприятий, шахт) не должны включать в себя лифты, эскалаторы, а также участки, ведущие:</w:t>
      </w:r>
    </w:p>
    <w:p>
      <w:pPr>
        <w:pStyle w:val="0"/>
        <w:spacing w:before="200" w:line-rule="auto"/>
        <w:ind w:firstLine="540"/>
        <w:jc w:val="both"/>
      </w:pPr>
      <w:r>
        <w:rPr>
          <w:sz w:val="20"/>
        </w:rPr>
        <w:t xml:space="preserve">1) через коридоры с выходами из лифтовых шахт, через лифтовые холлы и тамбуры перед лифтами, если ограждающие конструкции шахт лифтов, в том числе двери шахт лифтов, не отвечают требованиям, предъявляемым к противопожарным преградам (противопожарные перегородки 1-го типа, перекрытия 3-го типа);</w:t>
      </w:r>
    </w:p>
    <w:p>
      <w:pPr>
        <w:pStyle w:val="0"/>
        <w:spacing w:before="200" w:line-rule="auto"/>
        <w:ind w:firstLine="540"/>
        <w:jc w:val="both"/>
      </w:pPr>
      <w:r>
        <w:rPr>
          <w:sz w:val="20"/>
        </w:rPr>
        <w:t xml:space="preserve">2) через лестничные клетки, если площадка лестничной клетки является частью коридора и проход к другим лестничным клеткам, минуя указанную площадку, невозможен;</w:t>
      </w:r>
    </w:p>
    <w:p>
      <w:pPr>
        <w:pStyle w:val="0"/>
        <w:spacing w:before="200" w:line-rule="auto"/>
        <w:ind w:firstLine="540"/>
        <w:jc w:val="both"/>
      </w:pPr>
      <w:r>
        <w:rPr>
          <w:sz w:val="20"/>
        </w:rPr>
        <w:t xml:space="preserve">3) через помещение, в котором расположена лестница 2-го типа, не являющаяся эвакуационной, за исключением случаев, установленных нормативными документами по пожарной безопасности, а также случаев эвакуации из помещений первого этажа;</w:t>
      </w:r>
    </w:p>
    <w:p>
      <w:pPr>
        <w:pStyle w:val="0"/>
        <w:spacing w:before="200" w:line-rule="auto"/>
        <w:ind w:firstLine="540"/>
        <w:jc w:val="both"/>
      </w:pPr>
      <w:r>
        <w:rPr>
          <w:sz w:val="20"/>
        </w:rPr>
        <w:t xml:space="preserve">4) по кровле зданий, за исключением эксплуатируемой кровли или специально оборудованного участка кровли;</w:t>
      </w:r>
    </w:p>
    <w:p>
      <w:pPr>
        <w:pStyle w:val="0"/>
        <w:spacing w:before="200" w:line-rule="auto"/>
        <w:ind w:firstLine="540"/>
        <w:jc w:val="both"/>
      </w:pPr>
      <w:r>
        <w:rPr>
          <w:sz w:val="20"/>
        </w:rPr>
        <w:t xml:space="preserve">5) по лестницам 2-го типа, соединяющим более двух этажей (ярусов), за исключением эвакуационных путей в зданиях класса Ф5, требования к которым установлены нормативными документами по пожарной безопасности;</w:t>
      </w:r>
    </w:p>
    <w:p>
      <w:pPr>
        <w:pStyle w:val="0"/>
        <w:spacing w:before="200" w:line-rule="auto"/>
        <w:ind w:firstLine="540"/>
        <w:jc w:val="both"/>
      </w:pPr>
      <w:r>
        <w:rPr>
          <w:sz w:val="20"/>
        </w:rPr>
        <w:t xml:space="preserve">6) по лестницам 2-го типа, ведущим из помещений подземных этажей, за исключением случаев, установленных нормативными документами по пожарной безопасности;</w:t>
      </w:r>
    </w:p>
    <w:p>
      <w:pPr>
        <w:pStyle w:val="0"/>
        <w:spacing w:before="200" w:line-rule="auto"/>
        <w:ind w:firstLine="540"/>
        <w:jc w:val="both"/>
      </w:pPr>
      <w:r>
        <w:rPr>
          <w:sz w:val="20"/>
        </w:rPr>
        <w:t xml:space="preserve">7) по лестницам и лестничным клеткам между подземными и надземными этажами, за исключением случаев, указанных в </w:t>
      </w:r>
      <w:hyperlink w:history="0" w:anchor="P1274" w:tooltip="4. Эвакуационные выходы из помещений подвальных этажей следует предусматривать ведущими непосредственно наружу и обособленными от общих лестничных клеток здания. Выходы из помещений цокольных этажей следует предусматривать обособленными при условиях, установленных нормативными документами по пожарной безопасности. Допускается предусматривать:">
        <w:r>
          <w:rPr>
            <w:sz w:val="20"/>
            <w:color w:val="0000ff"/>
          </w:rPr>
          <w:t xml:space="preserve">части 4</w:t>
        </w:r>
      </w:hyperlink>
      <w:r>
        <w:rPr>
          <w:sz w:val="20"/>
        </w:rPr>
        <w:t xml:space="preserve"> настоящей статьи и нормативных документах по пожарной безопасности.</w:t>
      </w:r>
    </w:p>
    <w:p>
      <w:pPr>
        <w:pStyle w:val="0"/>
        <w:jc w:val="both"/>
      </w:pPr>
      <w:r>
        <w:rPr>
          <w:sz w:val="20"/>
        </w:rPr>
        <w:t xml:space="preserve">(часть 14 в ред. Федерального </w:t>
      </w:r>
      <w:hyperlink w:history="0" r:id="rId38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15. Для эвакуации со всех этажей зданий групп населения с ограниченными возможностями передвижения допускается предусматривать на этажах вблизи лифтов, предназначенных для групп населения с ограниченными возможностями передвижения, и (или) на лестничных клетках устройство безопасных зон, в которых они могут находиться до прибытия спасательных подразделений. При этом к указанным лифтам предъявляются такие же требования, как к лифтам для транспортировки подразделений пожарной охраны. Такие лифты могут использоваться для спасения групп населения с ограниченными возможностями передвижения во время пожара.</w:t>
      </w:r>
    </w:p>
    <w:p>
      <w:pPr>
        <w:pStyle w:val="0"/>
        <w:jc w:val="both"/>
      </w:pPr>
      <w:r>
        <w:rPr>
          <w:sz w:val="20"/>
        </w:rPr>
        <w:t xml:space="preserve">(часть 15 введена Федеральным </w:t>
      </w:r>
      <w:hyperlink w:history="0" r:id="rId38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90. Обеспечение деятельности пожарных подразделений</w:t>
      </w:r>
    </w:p>
    <w:p>
      <w:pPr>
        <w:pStyle w:val="0"/>
        <w:ind w:firstLine="540"/>
        <w:jc w:val="both"/>
      </w:pPr>
      <w:r>
        <w:rPr>
          <w:sz w:val="20"/>
        </w:rPr>
      </w:r>
    </w:p>
    <w:p>
      <w:pPr>
        <w:pStyle w:val="0"/>
        <w:ind w:firstLine="540"/>
        <w:jc w:val="both"/>
      </w:pPr>
      <w:r>
        <w:rPr>
          <w:sz w:val="20"/>
        </w:rPr>
        <w:t xml:space="preserve">1. Для зданий и сооружений должно быть обеспечено устройство:</w:t>
      </w:r>
    </w:p>
    <w:p>
      <w:pPr>
        <w:pStyle w:val="0"/>
        <w:jc w:val="both"/>
      </w:pPr>
      <w:r>
        <w:rPr>
          <w:sz w:val="20"/>
        </w:rPr>
        <w:t xml:space="preserve">(в ред. Федерального </w:t>
      </w:r>
      <w:hyperlink w:history="0" r:id="rId38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 пожарных проездов и подъездных путей к зданиям и сооружениям для пожарной техники, специальных или совмещенных с функциональными проездами и подъездами;</w:t>
      </w:r>
    </w:p>
    <w:p>
      <w:pPr>
        <w:pStyle w:val="0"/>
        <w:jc w:val="both"/>
      </w:pPr>
      <w:r>
        <w:rPr>
          <w:sz w:val="20"/>
        </w:rPr>
        <w:t xml:space="preserve">(в ред. Федерального </w:t>
      </w:r>
      <w:hyperlink w:history="0" r:id="rId38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средств подъема личного состава подразделений пожарной охраны и пожарной техники на этажи и на кровлю зданий и сооружений;</w:t>
      </w:r>
    </w:p>
    <w:p>
      <w:pPr>
        <w:pStyle w:val="0"/>
        <w:jc w:val="both"/>
      </w:pPr>
      <w:r>
        <w:rPr>
          <w:sz w:val="20"/>
        </w:rPr>
        <w:t xml:space="preserve">(в ред. Федерального </w:t>
      </w:r>
      <w:hyperlink w:history="0" r:id="rId38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противопожарного водопровода, в том числе совмещенного с хозяйственным или специального, сухотрубов и пожарных емкостей (резервуаров);</w:t>
      </w:r>
    </w:p>
    <w:p>
      <w:pPr>
        <w:pStyle w:val="0"/>
        <w:spacing w:before="200" w:line-rule="auto"/>
        <w:ind w:firstLine="540"/>
        <w:jc w:val="both"/>
      </w:pPr>
      <w:r>
        <w:rPr>
          <w:sz w:val="20"/>
        </w:rPr>
        <w:t xml:space="preserve">4) - 5) утратили силу. - Федеральный </w:t>
      </w:r>
      <w:hyperlink w:history="0" r:id="rId38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spacing w:before="200" w:line-rule="auto"/>
        <w:ind w:firstLine="540"/>
        <w:jc w:val="both"/>
      </w:pPr>
      <w:r>
        <w:rPr>
          <w:sz w:val="20"/>
        </w:rPr>
        <w:t xml:space="preserve">2. В зданиях и сооружениях высотой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 наружным пожарным лестницам.</w:t>
      </w:r>
    </w:p>
    <w:p>
      <w:pPr>
        <w:pStyle w:val="0"/>
        <w:jc w:val="both"/>
      </w:pPr>
      <w:r>
        <w:rPr>
          <w:sz w:val="20"/>
        </w:rPr>
        <w:t xml:space="preserve">(в ред. Федерального </w:t>
      </w:r>
      <w:hyperlink w:history="0" r:id="rId38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3 - 17. Утратили силу. - Федеральный </w:t>
      </w:r>
      <w:hyperlink w:history="0" r:id="rId39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91. Оснащение помещений, зданий и сооружений, оборудованных системами оповещения и управления эвакуацией людей при пожаре, автоматическими установками пожарной сигнализации и (или) пожаротушения</w:t>
      </w:r>
    </w:p>
    <w:p>
      <w:pPr>
        <w:pStyle w:val="0"/>
        <w:jc w:val="both"/>
      </w:pPr>
      <w:r>
        <w:rPr>
          <w:sz w:val="20"/>
        </w:rPr>
        <w:t xml:space="preserve">(в ред. Федерального </w:t>
      </w:r>
      <w:hyperlink w:history="0" r:id="rId39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Помещения, здания и сооружения, в которых предусмотрена система оповещения и управления эвакуацией людей при пожаре, оборудуются автоматическими установками пожарной сигнализации и (или) пожаротушения в соответствии с уровнем пожарной опасности помещений, зданий и сооружений на основе анализа пожарного риска. </w:t>
      </w:r>
      <w:r>
        <w:rPr>
          <w:sz w:val="20"/>
        </w:rPr>
        <w:t xml:space="preserve">Перечень</w:t>
      </w:r>
      <w:r>
        <w:rPr>
          <w:sz w:val="20"/>
        </w:rPr>
        <w:t xml:space="preserve"> объектов, подлежащих оснащению указанными установками, устанавливается нормативными документами по пожарной безопасности.</w:t>
      </w:r>
    </w:p>
    <w:p>
      <w:pPr>
        <w:pStyle w:val="0"/>
        <w:jc w:val="both"/>
      </w:pPr>
      <w:r>
        <w:rPr>
          <w:sz w:val="20"/>
        </w:rPr>
        <w:t xml:space="preserve">(в ред. Федерального </w:t>
      </w:r>
      <w:hyperlink w:history="0" r:id="rId39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Приборы приемно-контрольные пожарные, приборы управления пожарные и технические средства систем передачи извещений о пожаре должны быть обеспечены бесперебойным электропитанием.</w:t>
      </w:r>
    </w:p>
    <w:p>
      <w:pPr>
        <w:pStyle w:val="0"/>
        <w:jc w:val="both"/>
      </w:pPr>
      <w:r>
        <w:rPr>
          <w:sz w:val="20"/>
        </w:rPr>
        <w:t xml:space="preserve">(часть 2 в ред. Федерального </w:t>
      </w:r>
      <w:hyperlink w:history="0" r:id="rId39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ind w:firstLine="540"/>
        <w:jc w:val="both"/>
      </w:pPr>
      <w:r>
        <w:rPr>
          <w:sz w:val="20"/>
        </w:rPr>
      </w:r>
    </w:p>
    <w:p>
      <w:pPr>
        <w:pStyle w:val="2"/>
        <w:outlineLvl w:val="1"/>
        <w:jc w:val="center"/>
      </w:pPr>
      <w:r>
        <w:rPr>
          <w:sz w:val="20"/>
        </w:rPr>
        <w:t xml:space="preserve">Раздел IV. ТРЕБОВАНИЯ ПОЖАРНОЙ БЕЗОПАСНОСТИ</w:t>
      </w:r>
    </w:p>
    <w:p>
      <w:pPr>
        <w:pStyle w:val="2"/>
        <w:jc w:val="center"/>
      </w:pPr>
      <w:r>
        <w:rPr>
          <w:sz w:val="20"/>
        </w:rPr>
        <w:t xml:space="preserve">К ПРОИЗВОДСТВЕННЫМ ОБЪЕКТАМ</w:t>
      </w:r>
    </w:p>
    <w:p>
      <w:pPr>
        <w:pStyle w:val="0"/>
        <w:ind w:firstLine="540"/>
        <w:jc w:val="both"/>
      </w:pPr>
      <w:r>
        <w:rPr>
          <w:sz w:val="20"/>
        </w:rPr>
      </w:r>
    </w:p>
    <w:p>
      <w:pPr>
        <w:pStyle w:val="2"/>
        <w:outlineLvl w:val="2"/>
        <w:jc w:val="center"/>
      </w:pPr>
      <w:r>
        <w:rPr>
          <w:sz w:val="20"/>
        </w:rPr>
        <w:t xml:space="preserve">Глава 20. ОБЩИЕ ТРЕБОВАНИЯ ПОЖАРНОЙ БЕЗОПАСНОСТИ</w:t>
      </w:r>
    </w:p>
    <w:p>
      <w:pPr>
        <w:pStyle w:val="2"/>
        <w:jc w:val="center"/>
      </w:pPr>
      <w:r>
        <w:rPr>
          <w:sz w:val="20"/>
        </w:rPr>
        <w:t xml:space="preserve">К ПРОИЗВОДСТВЕННЫМ ОБЪЕКТАМ</w:t>
      </w:r>
    </w:p>
    <w:p>
      <w:pPr>
        <w:pStyle w:val="0"/>
        <w:ind w:firstLine="540"/>
        <w:jc w:val="both"/>
      </w:pPr>
      <w:r>
        <w:rPr>
          <w:sz w:val="20"/>
        </w:rPr>
      </w:r>
    </w:p>
    <w:p>
      <w:pPr>
        <w:pStyle w:val="2"/>
        <w:outlineLvl w:val="3"/>
        <w:ind w:firstLine="540"/>
        <w:jc w:val="both"/>
      </w:pPr>
      <w:r>
        <w:rPr>
          <w:sz w:val="20"/>
        </w:rPr>
        <w:t xml:space="preserve">Статья 92. Требования к документации на производственные объекты</w:t>
      </w:r>
    </w:p>
    <w:p>
      <w:pPr>
        <w:pStyle w:val="0"/>
        <w:ind w:firstLine="540"/>
        <w:jc w:val="both"/>
      </w:pPr>
      <w:r>
        <w:rPr>
          <w:sz w:val="20"/>
        </w:rPr>
      </w:r>
    </w:p>
    <w:p>
      <w:pPr>
        <w:pStyle w:val="0"/>
        <w:ind w:firstLine="540"/>
        <w:jc w:val="both"/>
      </w:pPr>
      <w:r>
        <w:rPr>
          <w:sz w:val="20"/>
        </w:rPr>
        <w:t xml:space="preserve">1. Документация на производственные объекты, в том числе на здания, сооружения, и технологические процессы должна содержать пожарно-технические характеристики, предусмотренные настоящим Федеральным законом.</w:t>
      </w:r>
    </w:p>
    <w:p>
      <w:pPr>
        <w:pStyle w:val="0"/>
        <w:jc w:val="both"/>
      </w:pPr>
      <w:r>
        <w:rPr>
          <w:sz w:val="20"/>
        </w:rPr>
        <w:t xml:space="preserve">(в ред. Федерального </w:t>
      </w:r>
      <w:hyperlink w:history="0" r:id="rId39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Состав и функциональные характеристики систем обеспечения пожарной безопасности производственных объектов должны быть оформлены в виде самостоятельного раздела проектной документации.</w:t>
      </w:r>
    </w:p>
    <w:p>
      <w:pPr>
        <w:pStyle w:val="0"/>
        <w:ind w:firstLine="540"/>
        <w:jc w:val="both"/>
      </w:pPr>
      <w:r>
        <w:rPr>
          <w:sz w:val="20"/>
        </w:rPr>
      </w:r>
    </w:p>
    <w:bookmarkStart w:id="1336" w:name="P1336"/>
    <w:bookmarkEnd w:id="1336"/>
    <w:p>
      <w:pPr>
        <w:pStyle w:val="2"/>
        <w:outlineLvl w:val="3"/>
        <w:ind w:firstLine="540"/>
        <w:jc w:val="both"/>
      </w:pPr>
      <w:r>
        <w:rPr>
          <w:sz w:val="20"/>
        </w:rPr>
        <w:t xml:space="preserve">Статья 93. Нормативные значения пожарного риска для производственных объектов</w:t>
      </w:r>
    </w:p>
    <w:p>
      <w:pPr>
        <w:pStyle w:val="0"/>
        <w:ind w:firstLine="540"/>
        <w:jc w:val="both"/>
      </w:pPr>
      <w:r>
        <w:rPr>
          <w:sz w:val="20"/>
        </w:rPr>
      </w:r>
    </w:p>
    <w:p>
      <w:pPr>
        <w:pStyle w:val="0"/>
        <w:ind w:firstLine="540"/>
        <w:jc w:val="both"/>
      </w:pPr>
      <w:r>
        <w:rPr>
          <w:sz w:val="20"/>
        </w:rPr>
        <w:t xml:space="preserve">1. Величина индивидуального пожарного риска в зданиях, сооружениях и на территориях производственных объектов не должна превышать одну миллионную в год.</w:t>
      </w:r>
    </w:p>
    <w:p>
      <w:pPr>
        <w:pStyle w:val="0"/>
        <w:jc w:val="both"/>
      </w:pPr>
      <w:r>
        <w:rPr>
          <w:sz w:val="20"/>
        </w:rPr>
        <w:t xml:space="preserve">(в ред. Федерального </w:t>
      </w:r>
      <w:hyperlink w:history="0" r:id="rId39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pPr>
        <w:pStyle w:val="0"/>
        <w:jc w:val="both"/>
      </w:pPr>
      <w:r>
        <w:rPr>
          <w:sz w:val="20"/>
        </w:rPr>
        <w:t xml:space="preserve">(в ред. Федерального </w:t>
      </w:r>
      <w:hyperlink w:history="0" r:id="rId39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Для производственных объектов, на которых обеспечение величины индивидуального пожарного риска одной 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десятитысячной в год. При этом должны быть предусмотрены меры по обучению персонала действиям при пожаре и по социальной защите работников, компенсирующие их работу в условиях повышенного риска.</w:t>
      </w:r>
    </w:p>
    <w:p>
      <w:pPr>
        <w:pStyle w:val="0"/>
        <w:spacing w:before="200" w:line-rule="auto"/>
        <w:ind w:firstLine="540"/>
        <w:jc w:val="both"/>
      </w:pPr>
      <w:r>
        <w:rPr>
          <w:sz w:val="20"/>
        </w:rPr>
        <w:t xml:space="preserve">4. Величина индивидуального пожарного риска в результате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стомиллионную в год.</w:t>
      </w:r>
    </w:p>
    <w:p>
      <w:pPr>
        <w:pStyle w:val="0"/>
        <w:jc w:val="both"/>
      </w:pPr>
      <w:r>
        <w:rPr>
          <w:sz w:val="20"/>
        </w:rPr>
        <w:t xml:space="preserve">(в ред. Федерального </w:t>
      </w:r>
      <w:hyperlink w:history="0" r:id="rId39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4.1. Для производственных объектов, на которых для людей, находящихся в жилой зоне, общественно-деловой зоне или зоне рекреационного назначения вблизи объекта, обеспечение величины индивидуального пожарного риска одной стомиллионной в год и (или) величины социального пожарного риска одной десятимиллионной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миллионной в год и (или) социального пожарного риска до одной стотысячной в год соответственно. При этом должны быть предусмотрены средства оповещения людей, находящихся в жилой зоне, общественно-деловой зоне или зоне рекреационного назначения, о пожаре на производственном объекте, а также дополнительные инженерно-технические и организационные мероприятия по обеспечению их пожарной безопасности и социальной защите.</w:t>
      </w:r>
    </w:p>
    <w:p>
      <w:pPr>
        <w:pStyle w:val="0"/>
        <w:jc w:val="both"/>
      </w:pPr>
      <w:r>
        <w:rPr>
          <w:sz w:val="20"/>
        </w:rPr>
        <w:t xml:space="preserve">(часть 4.1 введена Федеральным </w:t>
      </w:r>
      <w:hyperlink w:history="0" r:id="rId39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10.07.2012 N 117-ФЗ)</w:t>
      </w:r>
    </w:p>
    <w:p>
      <w:pPr>
        <w:pStyle w:val="0"/>
        <w:spacing w:before="200" w:line-rule="auto"/>
        <w:ind w:firstLine="540"/>
        <w:jc w:val="both"/>
      </w:pPr>
      <w:r>
        <w:rPr>
          <w:sz w:val="20"/>
        </w:rPr>
        <w:t xml:space="preserve">5. Величина социального пожарного риска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десятимиллионную в год.</w:t>
      </w:r>
    </w:p>
    <w:p>
      <w:pPr>
        <w:pStyle w:val="0"/>
        <w:jc w:val="both"/>
      </w:pPr>
      <w:r>
        <w:rPr>
          <w:sz w:val="20"/>
        </w:rPr>
        <w:t xml:space="preserve">(в ред. Федерального </w:t>
      </w:r>
      <w:hyperlink w:history="0" r:id="rId39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93.1. Требования пожарной безопасности к технологическому оборудованию с обращением пожароопасных, пожаровзрывоопасных и взрывоопасных технологических сред</w:t>
      </w:r>
    </w:p>
    <w:p>
      <w:pPr>
        <w:pStyle w:val="0"/>
        <w:ind w:firstLine="540"/>
        <w:jc w:val="both"/>
      </w:pPr>
      <w:r>
        <w:rPr>
          <w:sz w:val="20"/>
        </w:rPr>
        <w:t xml:space="preserve">(введена Федеральным </w:t>
      </w:r>
      <w:hyperlink w:history="0" r:id="rId40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Разработка технологического оборудования и связанных с ним технологических процессов, разделение технологической схемы на отдельные технологические блоки, ее аппаратурное оформление, выбор типа отключающих устройств и мест их установки, средств контроля, управления и противоаварийной защиты должны обеспечивать с учетом элементов системы обеспечения пожарной безопасности непревышение значений допустимого пожарного риска для производственных объектов.</w:t>
      </w:r>
    </w:p>
    <w:p>
      <w:pPr>
        <w:pStyle w:val="0"/>
        <w:spacing w:before="200" w:line-rule="auto"/>
        <w:ind w:firstLine="540"/>
        <w:jc w:val="both"/>
      </w:pPr>
      <w:r>
        <w:rPr>
          <w:sz w:val="20"/>
        </w:rPr>
        <w:t xml:space="preserve">2. При наличии в технологическом оборудовании пожароопасных, пожаровзрывоопасных и взрывоопасных технологических сред или возможности их образования должны разрабатываться мероприятия по обеспечению пожарной безопасности.</w:t>
      </w:r>
    </w:p>
    <w:p>
      <w:pPr>
        <w:pStyle w:val="0"/>
        <w:spacing w:before="200" w:line-rule="auto"/>
        <w:ind w:firstLine="540"/>
        <w:jc w:val="both"/>
      </w:pPr>
      <w:r>
        <w:rPr>
          <w:sz w:val="20"/>
        </w:rPr>
        <w:t xml:space="preserve">3. Технологическое оборудование и связанные с ним технологические процессы должны разрабатываться так, чтобы предотвратить возможность взрыва и (или) пожара в технологическом оборудовании при регламентированных значениях их параметров при нормальном режиме работы. Регламентированные значения параметров, определяющих пожарную и взрывопожарную опасность технологического оборудования и связанных с ним технологических процессов, допустимый диапазон их изменений должны устанавливаться разработчиком указанного оборудования на основании данных о предельно допустимых значениях параметров или их совокупности для участвующих в технологических процессах технологических сред.</w:t>
      </w:r>
    </w:p>
    <w:p>
      <w:pPr>
        <w:pStyle w:val="0"/>
        <w:spacing w:before="200" w:line-rule="auto"/>
        <w:ind w:firstLine="540"/>
        <w:jc w:val="both"/>
      </w:pPr>
      <w:r>
        <w:rPr>
          <w:sz w:val="20"/>
        </w:rPr>
        <w:t xml:space="preserve">4. Конструкция технологического оборудования и условия ведения связанных с ним технологических процессов должны предусматривать необходимые режимы и соответствующие им технические средства, предназначенные для своевременного обнаружения возникновения пожароопасных аварийных ситуаций, ограничения их дальнейшего развития, а также для ограничения поступления горючих веществ и материалов из технологического оборудования в очаг возможного пожара.</w:t>
      </w:r>
    </w:p>
    <w:p>
      <w:pPr>
        <w:pStyle w:val="0"/>
        <w:ind w:firstLine="540"/>
        <w:jc w:val="both"/>
      </w:pPr>
      <w:r>
        <w:rPr>
          <w:sz w:val="20"/>
        </w:rPr>
      </w:r>
    </w:p>
    <w:p>
      <w:pPr>
        <w:pStyle w:val="2"/>
        <w:outlineLvl w:val="2"/>
        <w:jc w:val="center"/>
      </w:pPr>
      <w:r>
        <w:rPr>
          <w:sz w:val="20"/>
        </w:rPr>
        <w:t xml:space="preserve">Глава 21. ПОРЯДОК ПРОВЕДЕНИЯ АНАЛИЗА ПОЖАРНОЙ ОПАСНОСТИ</w:t>
      </w:r>
    </w:p>
    <w:p>
      <w:pPr>
        <w:pStyle w:val="2"/>
        <w:jc w:val="center"/>
      </w:pPr>
      <w:r>
        <w:rPr>
          <w:sz w:val="20"/>
        </w:rPr>
        <w:t xml:space="preserve">ПРОИЗВОДСТВЕННОГО ОБЪЕКТА И РАСЧЕТА ПОЖАРНОГО РИСКА</w:t>
      </w:r>
    </w:p>
    <w:p>
      <w:pPr>
        <w:pStyle w:val="0"/>
        <w:ind w:firstLine="540"/>
        <w:jc w:val="both"/>
      </w:pPr>
      <w:r>
        <w:rPr>
          <w:sz w:val="20"/>
        </w:rPr>
      </w:r>
    </w:p>
    <w:p>
      <w:pPr>
        <w:pStyle w:val="2"/>
        <w:outlineLvl w:val="3"/>
        <w:ind w:firstLine="540"/>
        <w:jc w:val="both"/>
      </w:pPr>
      <w:r>
        <w:rPr>
          <w:sz w:val="20"/>
        </w:rPr>
        <w:t xml:space="preserve">Статья 94. Последовательность оценки пожарного риска на производственном объекте</w:t>
      </w:r>
    </w:p>
    <w:p>
      <w:pPr>
        <w:pStyle w:val="0"/>
        <w:ind w:firstLine="540"/>
        <w:jc w:val="both"/>
      </w:pPr>
      <w:r>
        <w:rPr>
          <w:sz w:val="20"/>
        </w:rPr>
      </w:r>
    </w:p>
    <w:p>
      <w:pPr>
        <w:pStyle w:val="0"/>
        <w:ind w:firstLine="540"/>
        <w:jc w:val="both"/>
      </w:pPr>
      <w:r>
        <w:rPr>
          <w:sz w:val="20"/>
        </w:rPr>
        <w:t xml:space="preserve">1. Оценка пожарного риска на производственном объекте должна предусматривать:</w:t>
      </w:r>
    </w:p>
    <w:p>
      <w:pPr>
        <w:pStyle w:val="0"/>
        <w:spacing w:before="200" w:line-rule="auto"/>
        <w:ind w:firstLine="540"/>
        <w:jc w:val="both"/>
      </w:pPr>
      <w:r>
        <w:rPr>
          <w:sz w:val="20"/>
        </w:rPr>
        <w:t xml:space="preserve">1) анализ пожарной опасности производственного объекта;</w:t>
      </w:r>
    </w:p>
    <w:p>
      <w:pPr>
        <w:pStyle w:val="0"/>
        <w:spacing w:before="200" w:line-rule="auto"/>
        <w:ind w:firstLine="540"/>
        <w:jc w:val="both"/>
      </w:pPr>
      <w:r>
        <w:rPr>
          <w:sz w:val="20"/>
        </w:rPr>
        <w:t xml:space="preserve">2) определение частоты реализации пожароопасных аварийных ситуаций на производственном объекте;</w:t>
      </w:r>
    </w:p>
    <w:p>
      <w:pPr>
        <w:pStyle w:val="0"/>
        <w:spacing w:before="200" w:line-rule="auto"/>
        <w:ind w:firstLine="540"/>
        <w:jc w:val="both"/>
      </w:pPr>
      <w:r>
        <w:rPr>
          <w:sz w:val="20"/>
        </w:rPr>
        <w:t xml:space="preserve">3) построение полей опасных факторов пожара для различных сценариев его развития;</w:t>
      </w:r>
    </w:p>
    <w:p>
      <w:pPr>
        <w:pStyle w:val="0"/>
        <w:spacing w:before="200" w:line-rule="auto"/>
        <w:ind w:firstLine="540"/>
        <w:jc w:val="both"/>
      </w:pPr>
      <w:r>
        <w:rPr>
          <w:sz w:val="20"/>
        </w:rPr>
        <w:t xml:space="preserve">4) оценку последствий воздействия опасных факторов пожара на людей для различных сценариев его развития;</w:t>
      </w:r>
    </w:p>
    <w:p>
      <w:pPr>
        <w:pStyle w:val="0"/>
        <w:spacing w:before="200" w:line-rule="auto"/>
        <w:ind w:firstLine="540"/>
        <w:jc w:val="both"/>
      </w:pPr>
      <w:r>
        <w:rPr>
          <w:sz w:val="20"/>
        </w:rPr>
        <w:t xml:space="preserve">5) вычисление пожарного риска.</w:t>
      </w:r>
    </w:p>
    <w:p>
      <w:pPr>
        <w:pStyle w:val="0"/>
        <w:spacing w:before="200" w:line-rule="auto"/>
        <w:ind w:firstLine="540"/>
        <w:jc w:val="both"/>
      </w:pPr>
      <w:r>
        <w:rPr>
          <w:sz w:val="20"/>
        </w:rPr>
        <w:t xml:space="preserve">2. Анализ пожарной опасности производственных объектов должен предусматривать:</w:t>
      </w:r>
    </w:p>
    <w:p>
      <w:pPr>
        <w:pStyle w:val="0"/>
        <w:spacing w:before="200" w:line-rule="auto"/>
        <w:ind w:firstLine="540"/>
        <w:jc w:val="both"/>
      </w:pPr>
      <w:r>
        <w:rPr>
          <w:sz w:val="20"/>
        </w:rPr>
        <w:t xml:space="preserve">1) анализ пожарной опасности технологической среды и параметров технологических процессов на производственном объекте;</w:t>
      </w:r>
    </w:p>
    <w:p>
      <w:pPr>
        <w:pStyle w:val="0"/>
        <w:spacing w:before="200" w:line-rule="auto"/>
        <w:ind w:firstLine="540"/>
        <w:jc w:val="both"/>
      </w:pPr>
      <w:r>
        <w:rPr>
          <w:sz w:val="20"/>
        </w:rPr>
        <w:t xml:space="preserve">2) определение перечня пожароопасных аварийных ситуаций и параметров для каждого технологического процесса;</w:t>
      </w:r>
    </w:p>
    <w:p>
      <w:pPr>
        <w:pStyle w:val="0"/>
        <w:spacing w:before="200" w:line-rule="auto"/>
        <w:ind w:firstLine="540"/>
        <w:jc w:val="both"/>
      </w:pPr>
      <w:r>
        <w:rPr>
          <w:sz w:val="20"/>
        </w:rPr>
        <w:t xml:space="preserve">3) определение перечня причин, возникновение которых позволяет характеризовать ситуацию как пожароопасную, для каждого технологического процесса;</w:t>
      </w:r>
    </w:p>
    <w:p>
      <w:pPr>
        <w:pStyle w:val="0"/>
        <w:spacing w:before="200" w:line-rule="auto"/>
        <w:ind w:firstLine="540"/>
        <w:jc w:val="both"/>
      </w:pPr>
      <w:r>
        <w:rPr>
          <w:sz w:val="20"/>
        </w:rPr>
        <w:t xml:space="preserve">4) построение сценариев возникновения и развития пожаров, повлекших за собой гибель людей.</w:t>
      </w:r>
    </w:p>
    <w:p>
      <w:pPr>
        <w:pStyle w:val="0"/>
        <w:ind w:firstLine="540"/>
        <w:jc w:val="both"/>
      </w:pPr>
      <w:r>
        <w:rPr>
          <w:sz w:val="20"/>
        </w:rPr>
      </w:r>
    </w:p>
    <w:p>
      <w:pPr>
        <w:pStyle w:val="2"/>
        <w:outlineLvl w:val="3"/>
        <w:ind w:firstLine="540"/>
        <w:jc w:val="both"/>
      </w:pPr>
      <w:r>
        <w:rPr>
          <w:sz w:val="20"/>
        </w:rPr>
        <w:t xml:space="preserve">Статья 95. Анализ пожарной опасности производственных объектов</w:t>
      </w:r>
    </w:p>
    <w:p>
      <w:pPr>
        <w:pStyle w:val="0"/>
        <w:ind w:firstLine="540"/>
        <w:jc w:val="both"/>
      </w:pPr>
      <w:r>
        <w:rPr>
          <w:sz w:val="20"/>
        </w:rPr>
      </w:r>
    </w:p>
    <w:p>
      <w:pPr>
        <w:pStyle w:val="0"/>
        <w:ind w:firstLine="540"/>
        <w:jc w:val="both"/>
      </w:pPr>
      <w:r>
        <w:rPr>
          <w:sz w:val="20"/>
        </w:rPr>
        <w:t xml:space="preserve">1. Анализ пожарной опасности технологических процессов предусматривает сопоставление показателей пожарной опасности веществ и материалов, обращающихся в технологическом процессе, с параметрами технологического процесса.</w:t>
      </w:r>
    </w:p>
    <w:p>
      <w:pPr>
        <w:pStyle w:val="0"/>
        <w:spacing w:before="200" w:line-rule="auto"/>
        <w:ind w:firstLine="540"/>
        <w:jc w:val="both"/>
      </w:pPr>
      <w:r>
        <w:rPr>
          <w:sz w:val="20"/>
        </w:rPr>
        <w:t xml:space="preserve">2. Перечень показателей пожарной опасности веществ и материалов в зависимости от их агрегатного состояния, необходимых и достаточных для характеристики пожарной опасности технологической среды, приведен в </w:t>
      </w:r>
      <w:hyperlink w:history="0" w:anchor="P2003" w:tooltip="Перечень показателей для оценки">
        <w:r>
          <w:rPr>
            <w:sz w:val="20"/>
            <w:color w:val="0000ff"/>
          </w:rPr>
          <w:t xml:space="preserve">таблице 1</w:t>
        </w:r>
      </w:hyperlink>
      <w:r>
        <w:rPr>
          <w:sz w:val="20"/>
        </w:rPr>
        <w:t xml:space="preserve"> приложения к настоящему Федеральному закону. Перечень потенциальных источников зажигания пожароопасной технологической среды определяется посредством сопоставления параметров технологического процесса и иных источников зажигания с показателями пожарной опасности веществ и материалов.</w:t>
      </w:r>
    </w:p>
    <w:p>
      <w:pPr>
        <w:pStyle w:val="0"/>
        <w:spacing w:before="200" w:line-rule="auto"/>
        <w:ind w:firstLine="540"/>
        <w:jc w:val="both"/>
      </w:pPr>
      <w:r>
        <w:rPr>
          <w:sz w:val="20"/>
        </w:rPr>
        <w:t xml:space="preserve">3. Определение пожароопасных ситуаций на производственном объекте должно осуществляться на основе анализа пожарной опасности каждого из технологических процессов и предусматривать выбор ситуаций, при реализации которых возникает опасность для людей, находящихся в зоне поражения опасными факторами пожара и вторичными последствиями воздействия опасных факторов пожара. К пожароопасным ситуациям не относятся ситуации, в результате которых не возникает опасность для жизни и здоровья людей. Эти ситуации не учитываются при расчете пожарного риска.</w:t>
      </w:r>
    </w:p>
    <w:p>
      <w:pPr>
        <w:pStyle w:val="0"/>
        <w:spacing w:before="200" w:line-rule="auto"/>
        <w:ind w:firstLine="540"/>
        <w:jc w:val="both"/>
      </w:pPr>
      <w:r>
        <w:rPr>
          <w:sz w:val="20"/>
        </w:rPr>
        <w:t xml:space="preserve">4. Для каждой пожароопасной ситуации на производственном объекте должно быть приведено описание причин возникновения и развития пожароопасных ситуаций, места их возникновения и факторов пожара, представляющих опасность для жизни и здоровья людей в местах их пребывания.</w:t>
      </w:r>
    </w:p>
    <w:p>
      <w:pPr>
        <w:pStyle w:val="0"/>
        <w:spacing w:before="200" w:line-rule="auto"/>
        <w:ind w:firstLine="540"/>
        <w:jc w:val="both"/>
      </w:pPr>
      <w:r>
        <w:rPr>
          <w:sz w:val="20"/>
        </w:rPr>
        <w:t xml:space="preserve">5. Для определения причин возникновения пожароопасных ситуаций должны быть определены события, реализация которых может привести к образованию горючей среды и появлению источника зажигания.</w:t>
      </w:r>
    </w:p>
    <w:p>
      <w:pPr>
        <w:pStyle w:val="0"/>
        <w:spacing w:before="200" w:line-rule="auto"/>
        <w:ind w:firstLine="540"/>
        <w:jc w:val="both"/>
      </w:pPr>
      <w:r>
        <w:rPr>
          <w:sz w:val="20"/>
        </w:rPr>
        <w:t xml:space="preserve">6. Анализ пожарной опасности производственных объектов предусматривает определение комплекса превентивных мероприятий, изменяющих параметры технологического процесса до уровня, обеспечивающего допустимый пожарный риск.</w:t>
      </w:r>
    </w:p>
    <w:p>
      <w:pPr>
        <w:pStyle w:val="0"/>
        <w:ind w:firstLine="540"/>
        <w:jc w:val="both"/>
      </w:pPr>
      <w:r>
        <w:rPr>
          <w:sz w:val="20"/>
        </w:rPr>
      </w:r>
    </w:p>
    <w:p>
      <w:pPr>
        <w:pStyle w:val="2"/>
        <w:outlineLvl w:val="3"/>
        <w:ind w:firstLine="540"/>
        <w:jc w:val="both"/>
      </w:pPr>
      <w:r>
        <w:rPr>
          <w:sz w:val="20"/>
        </w:rPr>
        <w:t xml:space="preserve">Статья 96. Оценка пожарного риска на производственном объекте</w:t>
      </w:r>
    </w:p>
    <w:p>
      <w:pPr>
        <w:pStyle w:val="0"/>
        <w:ind w:firstLine="540"/>
        <w:jc w:val="both"/>
      </w:pPr>
      <w:r>
        <w:rPr>
          <w:sz w:val="20"/>
        </w:rPr>
      </w:r>
    </w:p>
    <w:p>
      <w:pPr>
        <w:pStyle w:val="0"/>
        <w:ind w:firstLine="540"/>
        <w:jc w:val="both"/>
      </w:pPr>
      <w:r>
        <w:rPr>
          <w:sz w:val="20"/>
        </w:rPr>
        <w:t xml:space="preserve">1. Для определения частоты реализации пожароопасных ситуаций на производственном объекте используется информация:</w:t>
      </w:r>
    </w:p>
    <w:p>
      <w:pPr>
        <w:pStyle w:val="0"/>
        <w:spacing w:before="200" w:line-rule="auto"/>
        <w:ind w:firstLine="540"/>
        <w:jc w:val="both"/>
      </w:pPr>
      <w:r>
        <w:rPr>
          <w:sz w:val="20"/>
        </w:rPr>
        <w:t xml:space="preserve">1) об отказе оборудования, используемого на производственном объекте;</w:t>
      </w:r>
    </w:p>
    <w:p>
      <w:pPr>
        <w:pStyle w:val="0"/>
        <w:spacing w:before="200" w:line-rule="auto"/>
        <w:ind w:firstLine="540"/>
        <w:jc w:val="both"/>
      </w:pPr>
      <w:r>
        <w:rPr>
          <w:sz w:val="20"/>
        </w:rPr>
        <w:t xml:space="preserve">2) о параметрах надежности используемого на производственном объекте оборудования;</w:t>
      </w:r>
    </w:p>
    <w:p>
      <w:pPr>
        <w:pStyle w:val="0"/>
        <w:spacing w:before="200" w:line-rule="auto"/>
        <w:ind w:firstLine="540"/>
        <w:jc w:val="both"/>
      </w:pPr>
      <w:r>
        <w:rPr>
          <w:sz w:val="20"/>
        </w:rPr>
        <w:t xml:space="preserve">3) об ошибочных действиях персонала производственного объекта;</w:t>
      </w:r>
    </w:p>
    <w:p>
      <w:pPr>
        <w:pStyle w:val="0"/>
        <w:spacing w:before="200" w:line-rule="auto"/>
        <w:ind w:firstLine="540"/>
        <w:jc w:val="both"/>
      </w:pPr>
      <w:r>
        <w:rPr>
          <w:sz w:val="20"/>
        </w:rPr>
        <w:t xml:space="preserve">4) о гидрометеорологической обстановке в районе размещения производственного объекта;</w:t>
      </w:r>
    </w:p>
    <w:p>
      <w:pPr>
        <w:pStyle w:val="0"/>
        <w:spacing w:before="200" w:line-rule="auto"/>
        <w:ind w:firstLine="540"/>
        <w:jc w:val="both"/>
      </w:pPr>
      <w:r>
        <w:rPr>
          <w:sz w:val="20"/>
        </w:rPr>
        <w:t xml:space="preserve">5) о географических особенностях местности в районе размещения производственного объекта.</w:t>
      </w:r>
    </w:p>
    <w:p>
      <w:pPr>
        <w:pStyle w:val="0"/>
        <w:spacing w:before="200" w:line-rule="auto"/>
        <w:ind w:firstLine="540"/>
        <w:jc w:val="both"/>
      </w:pPr>
      <w:r>
        <w:rPr>
          <w:sz w:val="20"/>
        </w:rPr>
        <w:t xml:space="preserve">2. Оценка опасных факторов пожара, взрыва для различных сценариев их развития осуществляется на основе сопоставления информации о моделировании динамики опасных факторов пожара на территории производственного объекта и прилегающей к нему территории и информации о критических для жизни и здоровья людей значениях опасных факторов анализируемых пожара, взрыва.</w:t>
      </w:r>
    </w:p>
    <w:p>
      <w:pPr>
        <w:pStyle w:val="0"/>
        <w:spacing w:before="200" w:line-rule="auto"/>
        <w:ind w:firstLine="540"/>
        <w:jc w:val="both"/>
      </w:pPr>
      <w:r>
        <w:rPr>
          <w:sz w:val="20"/>
        </w:rPr>
        <w:t xml:space="preserve">3. Оценка последствий воздействия опасных факторов пожара, взрыва на людей для различных сценариев развития пожароопасных ситуаций предусматривает определение числа людей, попавших в зону поражения опасными факторами пожара, взрыва.</w:t>
      </w:r>
    </w:p>
    <w:p>
      <w:pPr>
        <w:pStyle w:val="0"/>
        <w:ind w:firstLine="540"/>
        <w:jc w:val="both"/>
      </w:pPr>
      <w:r>
        <w:rPr>
          <w:sz w:val="20"/>
        </w:rPr>
      </w:r>
    </w:p>
    <w:p>
      <w:pPr>
        <w:pStyle w:val="2"/>
        <w:outlineLvl w:val="2"/>
        <w:jc w:val="center"/>
      </w:pPr>
      <w:r>
        <w:rPr>
          <w:sz w:val="20"/>
        </w:rPr>
        <w:t xml:space="preserve">Глава 22. ТРЕБОВАНИЯ К РАЗМЕЩЕНИЮ ПОЖАРНЫХ</w:t>
      </w:r>
    </w:p>
    <w:p>
      <w:pPr>
        <w:pStyle w:val="2"/>
        <w:jc w:val="center"/>
      </w:pPr>
      <w:r>
        <w:rPr>
          <w:sz w:val="20"/>
        </w:rPr>
        <w:t xml:space="preserve">ДЕПО, ДОРОГАМ, ВЪЕЗДАМ (ВЫЕЗДАМ) И ПРОЕЗДАМ, ИСТОЧНИКАМ</w:t>
      </w:r>
    </w:p>
    <w:p>
      <w:pPr>
        <w:pStyle w:val="2"/>
        <w:jc w:val="center"/>
      </w:pPr>
      <w:r>
        <w:rPr>
          <w:sz w:val="20"/>
        </w:rPr>
        <w:t xml:space="preserve">ВОДОСНАБЖЕНИЯ НА ТЕРРИТОРИИ ПРОИЗВОДСТВЕННОГО ОБЪЕКТА</w:t>
      </w:r>
    </w:p>
    <w:p>
      <w:pPr>
        <w:pStyle w:val="0"/>
        <w:ind w:firstLine="540"/>
        <w:jc w:val="both"/>
      </w:pPr>
      <w:r>
        <w:rPr>
          <w:sz w:val="20"/>
        </w:rPr>
      </w:r>
    </w:p>
    <w:p>
      <w:pPr>
        <w:pStyle w:val="2"/>
        <w:outlineLvl w:val="3"/>
        <w:ind w:firstLine="540"/>
        <w:jc w:val="both"/>
      </w:pPr>
      <w:r>
        <w:rPr>
          <w:sz w:val="20"/>
        </w:rPr>
        <w:t xml:space="preserve">Статья 97. Размещение подразделений пожарной охраны и зданий пожарных депо на производственных объектах</w:t>
      </w:r>
    </w:p>
    <w:p>
      <w:pPr>
        <w:pStyle w:val="0"/>
        <w:ind w:firstLine="540"/>
        <w:jc w:val="both"/>
      </w:pPr>
      <w:r>
        <w:rPr>
          <w:sz w:val="20"/>
        </w:rPr>
        <w:t xml:space="preserve">(в ред. Федерального </w:t>
      </w:r>
      <w:hyperlink w:history="0" r:id="rId40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jc w:val="both"/>
      </w:pPr>
      <w:r>
        <w:rPr>
          <w:sz w:val="20"/>
        </w:rPr>
      </w:r>
    </w:p>
    <w:bookmarkStart w:id="1402" w:name="P1402"/>
    <w:bookmarkEnd w:id="1402"/>
    <w:p>
      <w:pPr>
        <w:pStyle w:val="0"/>
        <w:ind w:firstLine="540"/>
        <w:jc w:val="both"/>
      </w:pPr>
      <w:r>
        <w:rPr>
          <w:sz w:val="20"/>
        </w:rPr>
        <w:t xml:space="preserve">1. Подразделения пожарной охраны и здания пожарных депо размещаются на производственных объектах:</w:t>
      </w:r>
    </w:p>
    <w:p>
      <w:pPr>
        <w:pStyle w:val="0"/>
        <w:spacing w:before="200" w:line-rule="auto"/>
        <w:ind w:firstLine="540"/>
        <w:jc w:val="both"/>
      </w:pPr>
      <w:r>
        <w:rPr>
          <w:sz w:val="20"/>
        </w:rPr>
        <w:t xml:space="preserve">1) с суммарным объемом зданий категорий А и Б по пожарной и взрывопожарной опасности и помещений категорий А и Б по пожарной и взрывопожарной опасности в составе зданий категории В по пожарной и взрывопожарной опасности более 100 тысяч кубических метров и (или) с единовременно обращающимися в наружных технологических установках пожароопасными, пожаровзрывоопасными и взрывоопасными технологическими средами массой более 100 тысяч тонн. Объемы зданий, помещений и масса технологических сред суммируются, при этом подразделения пожарной охраны создаются на производственных объектах с суммарным числовым значением более 100 тысяч;</w:t>
      </w:r>
    </w:p>
    <w:p>
      <w:pPr>
        <w:pStyle w:val="0"/>
        <w:spacing w:before="200" w:line-rule="auto"/>
        <w:ind w:firstLine="540"/>
        <w:jc w:val="both"/>
      </w:pPr>
      <w:r>
        <w:rPr>
          <w:sz w:val="20"/>
        </w:rPr>
        <w:t xml:space="preserve">2) с суммарным объемом зданий категории В по пожарной и взрывопожарной опасности более 2 миллионов кубических метров;</w:t>
      </w:r>
    </w:p>
    <w:p>
      <w:pPr>
        <w:pStyle w:val="0"/>
        <w:spacing w:before="200" w:line-rule="auto"/>
        <w:ind w:firstLine="540"/>
        <w:jc w:val="both"/>
      </w:pPr>
      <w:r>
        <w:rPr>
          <w:sz w:val="20"/>
        </w:rPr>
        <w:t xml:space="preserve">3) атомных электростанций вне зависимости от мощности, тепловых электростанций мощностью 1000 мегаватт и более, гидроэлектростанций мощностью 1500 мегаватт и более.</w:t>
      </w:r>
    </w:p>
    <w:bookmarkStart w:id="1406" w:name="P1406"/>
    <w:bookmarkEnd w:id="1406"/>
    <w:p>
      <w:pPr>
        <w:pStyle w:val="0"/>
        <w:spacing w:before="200" w:line-rule="auto"/>
        <w:ind w:firstLine="540"/>
        <w:jc w:val="both"/>
      </w:pPr>
      <w:r>
        <w:rPr>
          <w:sz w:val="20"/>
        </w:rPr>
        <w:t xml:space="preserve">2. Подразделения пожарной охраны оснащаются пожарными автомобилями исходя из специфики производственных объектов, требуемого расхода воды на наружное пожаротушение, однородности средств пожаротушения, а также с учетом показателей пожарной опасности, токсичности, химической активности хранящихся и обращающихся на производственных объектах веществ и материалов. Тип и количество пожарных автомобилей подразделений пожарной охраны на производственных объектах определяются с учетом привлекаемых для тушения пожара сил и средств других подразделений пожарной охраны пожарно-спасательного гарнизона исходя из установленного </w:t>
      </w:r>
      <w:hyperlink w:history="0" w:anchor="P1006" w:tooltip="1. Здания пожарных депо на территориях населенных пунктов следует размещать исходя из условия, что время прибытия первого подразделения к месту вызова в городских населенных пунктах не должно превышать 10 минут, в сельских населенных пунктах 20 минут.">
        <w:r>
          <w:rPr>
            <w:sz w:val="20"/>
            <w:color w:val="0000ff"/>
          </w:rPr>
          <w:t xml:space="preserve">частью 1 статьи 76</w:t>
        </w:r>
      </w:hyperlink>
      <w:r>
        <w:rPr>
          <w:sz w:val="20"/>
        </w:rPr>
        <w:t xml:space="preserve"> настоящего Федерального закона условия прибытия к месту пожара.</w:t>
      </w:r>
    </w:p>
    <w:p>
      <w:pPr>
        <w:pStyle w:val="0"/>
        <w:spacing w:before="200" w:line-rule="auto"/>
        <w:ind w:firstLine="540"/>
        <w:jc w:val="both"/>
      </w:pPr>
      <w:r>
        <w:rPr>
          <w:sz w:val="20"/>
        </w:rPr>
        <w:t xml:space="preserve">3. Выезды из зданий пожарных депо должны быть расположены таким образом, чтобы выезжающие пожарные автомобили не пересекали основных транспортных потоков.</w:t>
      </w:r>
    </w:p>
    <w:p>
      <w:pPr>
        <w:pStyle w:val="0"/>
        <w:spacing w:before="200" w:line-rule="auto"/>
        <w:ind w:firstLine="540"/>
        <w:jc w:val="both"/>
      </w:pPr>
      <w:r>
        <w:rPr>
          <w:sz w:val="20"/>
        </w:rPr>
        <w:t xml:space="preserve">4. Требования к месту расположения зданий пожарных депо и радиусам обслуживания пожарными депо устанавливаются нормативными документами по пожарной безопасности.</w:t>
      </w:r>
    </w:p>
    <w:p>
      <w:pPr>
        <w:pStyle w:val="0"/>
        <w:ind w:firstLine="540"/>
        <w:jc w:val="both"/>
      </w:pPr>
      <w:r>
        <w:rPr>
          <w:sz w:val="20"/>
        </w:rPr>
      </w:r>
    </w:p>
    <w:p>
      <w:pPr>
        <w:pStyle w:val="2"/>
        <w:outlineLvl w:val="3"/>
        <w:ind w:firstLine="540"/>
        <w:jc w:val="both"/>
      </w:pPr>
      <w:r>
        <w:rPr>
          <w:sz w:val="20"/>
        </w:rPr>
        <w:t xml:space="preserve">Статья 98. Требования к въездам (выездам) и проездам на территории производственного объекта</w:t>
      </w:r>
    </w:p>
    <w:p>
      <w:pPr>
        <w:pStyle w:val="0"/>
        <w:jc w:val="both"/>
      </w:pPr>
      <w:r>
        <w:rPr>
          <w:sz w:val="20"/>
        </w:rPr>
        <w:t xml:space="preserve">(в ред. Федерального </w:t>
      </w:r>
      <w:hyperlink w:history="0" r:id="rId40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ind w:firstLine="540"/>
        <w:jc w:val="both"/>
      </w:pPr>
      <w:r>
        <w:rPr>
          <w:sz w:val="20"/>
        </w:rPr>
      </w:r>
    </w:p>
    <w:p>
      <w:pPr>
        <w:pStyle w:val="0"/>
        <w:ind w:firstLine="540"/>
        <w:jc w:val="both"/>
      </w:pPr>
      <w:r>
        <w:rPr>
          <w:sz w:val="20"/>
        </w:rPr>
        <w:t xml:space="preserve">1.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p>
      <w:pPr>
        <w:pStyle w:val="0"/>
        <w:spacing w:before="200" w:line-rule="auto"/>
        <w:ind w:firstLine="540"/>
        <w:jc w:val="both"/>
      </w:pPr>
      <w:r>
        <w:rPr>
          <w:sz w:val="20"/>
        </w:rPr>
        <w:t xml:space="preserve">2. 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pPr>
        <w:pStyle w:val="0"/>
        <w:spacing w:before="200" w:line-rule="auto"/>
        <w:ind w:firstLine="540"/>
        <w:jc w:val="both"/>
      </w:pPr>
      <w:r>
        <w:rPr>
          <w:sz w:val="20"/>
        </w:rPr>
        <w:t xml:space="preserve">3. 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pPr>
        <w:pStyle w:val="0"/>
        <w:spacing w:before="200" w:line-rule="auto"/>
        <w:ind w:firstLine="540"/>
        <w:jc w:val="both"/>
      </w:pPr>
      <w:r>
        <w:rPr>
          <w:sz w:val="20"/>
        </w:rPr>
        <w:t xml:space="preserve">4 - 11. Утратили силу. - Федеральный </w:t>
      </w:r>
      <w:hyperlink w:history="0" r:id="rId40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ind w:firstLine="540"/>
        <w:jc w:val="both"/>
      </w:pPr>
      <w:r>
        <w:rPr>
          <w:sz w:val="20"/>
        </w:rPr>
      </w:r>
    </w:p>
    <w:p>
      <w:pPr>
        <w:pStyle w:val="2"/>
        <w:outlineLvl w:val="3"/>
        <w:ind w:firstLine="540"/>
        <w:jc w:val="both"/>
      </w:pPr>
      <w:r>
        <w:rPr>
          <w:sz w:val="20"/>
        </w:rPr>
        <w:t xml:space="preserve">Статья 99. </w:t>
      </w:r>
      <w:hyperlink w:history="0" r:id="rId404" w:tooltip="Приказ МЧС России от 30.03.2020 N 225 &quot;Об утверждении свода правил СП 8.13130 &quot;Системы противопожарной защиты. Наружное противопожарное водоснабжение. Требования пожарной безопасности&quot; {КонсультантПлюс}">
        <w:r>
          <w:rPr>
            <w:sz w:val="20"/>
            <w:color w:val="0000ff"/>
          </w:rPr>
          <w:t xml:space="preserve">Требования</w:t>
        </w:r>
      </w:hyperlink>
      <w:r>
        <w:rPr>
          <w:sz w:val="20"/>
        </w:rPr>
        <w:t xml:space="preserve"> к источникам противопожарного водоснабжения производственного объекта</w:t>
      </w:r>
    </w:p>
    <w:p>
      <w:pPr>
        <w:pStyle w:val="0"/>
        <w:ind w:firstLine="540"/>
        <w:jc w:val="both"/>
      </w:pPr>
      <w:r>
        <w:rPr>
          <w:sz w:val="20"/>
        </w:rPr>
      </w:r>
    </w:p>
    <w:p>
      <w:pPr>
        <w:pStyle w:val="0"/>
        <w:ind w:firstLine="540"/>
        <w:jc w:val="both"/>
      </w:pPr>
      <w:r>
        <w:rPr>
          <w:sz w:val="20"/>
        </w:rPr>
        <w:t xml:space="preserve">1. Допускается не предусматривать противопожарное водоснабжение отдельно стоящих зданий и сооружений класса функциональной пожарной опасности Ф5 и степеней огнестойкости I и II категории Д по пожарной и взрывопожарной опасности объемом не более 1000 кубических метров (либо нескольких зданий и (или) сооружений того же суммарного объема), расположенных вне населенных пунктов отдельно стоящих зданий и сооружений класса функциональной пожарной опасности Ф5 категорий А, Б и В по пожарной и взрывопожарной опасности объемом не более 500 кубических метров (либо нескольких зданий и (или) сооружений того же суммарного объема) и категорий Г и Д по пожарной и взрывопожарной опасности объемом не более 1000 кубических метров (либо нескольких зданий и (или) сооружений того же суммарного объема).</w:t>
      </w:r>
    </w:p>
    <w:p>
      <w:pPr>
        <w:pStyle w:val="0"/>
        <w:jc w:val="both"/>
      </w:pPr>
      <w:r>
        <w:rPr>
          <w:sz w:val="20"/>
        </w:rPr>
        <w:t xml:space="preserve">(часть 1 в ред. Федерального </w:t>
      </w:r>
      <w:hyperlink w:history="0" r:id="rId40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 Запас воды для целей пожаротушения в искусственных водоемах должен определяться исходя из расчетных расходов воды на наружное пожаротушение и продолжительности тушения пожаров.</w:t>
      </w:r>
    </w:p>
    <w:p>
      <w:pPr>
        <w:pStyle w:val="0"/>
        <w:ind w:firstLine="540"/>
        <w:jc w:val="both"/>
      </w:pPr>
      <w:r>
        <w:rPr>
          <w:sz w:val="20"/>
        </w:rPr>
      </w:r>
    </w:p>
    <w:p>
      <w:pPr>
        <w:pStyle w:val="2"/>
        <w:outlineLvl w:val="3"/>
        <w:ind w:firstLine="540"/>
        <w:jc w:val="both"/>
      </w:pPr>
      <w:r>
        <w:rPr>
          <w:sz w:val="20"/>
        </w:rPr>
        <w:t xml:space="preserve">Статья 100. Требования к ограничению распространения пожара на производственном объекте</w:t>
      </w:r>
    </w:p>
    <w:p>
      <w:pPr>
        <w:pStyle w:val="0"/>
        <w:ind w:firstLine="540"/>
        <w:jc w:val="both"/>
      </w:pPr>
      <w:r>
        <w:rPr>
          <w:sz w:val="20"/>
        </w:rPr>
      </w:r>
    </w:p>
    <w:p>
      <w:pPr>
        <w:pStyle w:val="0"/>
        <w:ind w:firstLine="540"/>
        <w:jc w:val="both"/>
      </w:pPr>
      <w:r>
        <w:rPr>
          <w:sz w:val="20"/>
        </w:rPr>
        <w:t xml:space="preserve">1. Расстояния между зданиями и сооружениями, от складов, открытых технологических установок, агрегатов и оборудования до зданий и сооружений между складами, открытыми технологическими установками, агрегатами и оборудованием, от газгольдеров для горючих газов до зданий и сооружений на территории производственного объекта в зависимости от степени огнестойкости, категории зданий по взрывопожарной и пожарной опасности и других характеристик должны исключать возможность перехода пожара от одного здания или сооружения к другому.</w:t>
      </w:r>
    </w:p>
    <w:p>
      <w:pPr>
        <w:pStyle w:val="0"/>
        <w:jc w:val="both"/>
      </w:pPr>
      <w:r>
        <w:rPr>
          <w:sz w:val="20"/>
        </w:rPr>
        <w:t xml:space="preserve">(в ред. Федерального </w:t>
      </w:r>
      <w:hyperlink w:history="0" r:id="rId40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Утратил силу. - Федеральный </w:t>
      </w:r>
      <w:hyperlink w:history="0" r:id="rId40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3. В случаях размещения надземных резервуаров с сжиженными горючими газами, легковоспламеняющимися и горючими жидкостями на более высоких отметках по сравнению с отметками территорий населенных пунктов, организаций, железных дорог и автомобильных дорог федерального значения, у берегов рек (водоемов), расположенных на расстоянии менее 200 метров, должны быть предусмотрены меры по предотвращению растекания разлившейся жидкости к указанным зданиям и сооружениям при авариях на резервуарах.</w:t>
      </w:r>
    </w:p>
    <w:p>
      <w:pPr>
        <w:pStyle w:val="0"/>
        <w:jc w:val="both"/>
      </w:pPr>
      <w:r>
        <w:rPr>
          <w:sz w:val="20"/>
        </w:rPr>
        <w:t xml:space="preserve">(в ред. Федеральных законов от 10.07.2012 </w:t>
      </w:r>
      <w:hyperlink w:history="0" r:id="rId40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29.07.2017 </w:t>
      </w:r>
      <w:hyperlink w:history="0" r:id="rId409"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244-ФЗ</w:t>
        </w:r>
      </w:hyperlink>
      <w:r>
        <w:rPr>
          <w:sz w:val="20"/>
        </w:rPr>
        <w:t xml:space="preserve">, от 14.07.2022 </w:t>
      </w:r>
      <w:hyperlink w:history="0" r:id="rId41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4. Размещение наружных сетей с горючими жидкостями и газами под зданиями и сооружениями производственного объекта не допускается.</w:t>
      </w:r>
    </w:p>
    <w:p>
      <w:pPr>
        <w:pStyle w:val="0"/>
        <w:jc w:val="both"/>
      </w:pPr>
      <w:r>
        <w:rPr>
          <w:sz w:val="20"/>
        </w:rPr>
        <w:t xml:space="preserve">(в ред. Федерального </w:t>
      </w:r>
      <w:hyperlink w:history="0" r:id="rId41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5 - 9. Утратили силу. - Федеральный </w:t>
      </w:r>
      <w:hyperlink w:history="0" r:id="rId412"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29.07.2017 N 244-ФЗ.</w:t>
      </w:r>
    </w:p>
    <w:p>
      <w:pPr>
        <w:pStyle w:val="0"/>
        <w:spacing w:before="200" w:line-rule="auto"/>
        <w:ind w:firstLine="540"/>
        <w:jc w:val="both"/>
      </w:pPr>
      <w:r>
        <w:rPr>
          <w:sz w:val="20"/>
        </w:rPr>
        <w:t xml:space="preserve">10. На территории производственного объекта размещение надземных сетей трубопроводов с горючими жидкостями и газами запрещается для:</w:t>
      </w:r>
    </w:p>
    <w:p>
      <w:pPr>
        <w:pStyle w:val="0"/>
        <w:spacing w:before="200" w:line-rule="auto"/>
        <w:ind w:firstLine="540"/>
        <w:jc w:val="both"/>
      </w:pPr>
      <w:r>
        <w:rPr>
          <w:sz w:val="20"/>
        </w:rPr>
        <w:t xml:space="preserve">1) транзитных внутриплощадочных трубопроводов с горючими жидкостями и газами - по эстакадам, отдельно стоящим колоннам и опорам из горючих материалов, а также по стенам и кровлям зданий, за исключением зданий I и II степеней огнестойкости;</w:t>
      </w:r>
    </w:p>
    <w:p>
      <w:pPr>
        <w:pStyle w:val="0"/>
        <w:spacing w:before="200" w:line-rule="auto"/>
        <w:ind w:firstLine="540"/>
        <w:jc w:val="both"/>
      </w:pPr>
      <w:r>
        <w:rPr>
          <w:sz w:val="20"/>
        </w:rPr>
        <w:t xml:space="preserve">2) трубопроводов с горючими жидкостями и газами - в галереях, если смешение этих продуктов может вызвать пожар или взрыв;</w:t>
      </w:r>
    </w:p>
    <w:p>
      <w:pPr>
        <w:pStyle w:val="0"/>
        <w:spacing w:before="200" w:line-rule="auto"/>
        <w:ind w:firstLine="540"/>
        <w:jc w:val="both"/>
      </w:pPr>
      <w:r>
        <w:rPr>
          <w:sz w:val="20"/>
        </w:rPr>
        <w:t xml:space="preserve">3) трубопроводов с горючими жидкостями и газами - по сгораемым покрытиям и стенам;</w:t>
      </w:r>
    </w:p>
    <w:p>
      <w:pPr>
        <w:pStyle w:val="0"/>
        <w:jc w:val="both"/>
      </w:pPr>
      <w:r>
        <w:rPr>
          <w:sz w:val="20"/>
        </w:rPr>
        <w:t xml:space="preserve">(в ред. Федерального </w:t>
      </w:r>
      <w:hyperlink w:history="0" r:id="rId41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4) транзитных газопроводов горючих газов - по территории складов твердых и жидких горючих материалов.</w:t>
      </w:r>
    </w:p>
    <w:p>
      <w:pPr>
        <w:pStyle w:val="0"/>
        <w:jc w:val="both"/>
      </w:pPr>
      <w:r>
        <w:rPr>
          <w:sz w:val="20"/>
        </w:rPr>
        <w:t xml:space="preserve">(в ред. Федерального </w:t>
      </w:r>
      <w:hyperlink w:history="0" r:id="rId41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11. Утратил силу. - Федеральный </w:t>
      </w:r>
      <w:hyperlink w:history="0" r:id="rId415"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29.07.2017 N 244-ФЗ.</w:t>
      </w:r>
    </w:p>
    <w:p>
      <w:pPr>
        <w:pStyle w:val="0"/>
        <w:ind w:firstLine="540"/>
        <w:jc w:val="both"/>
      </w:pPr>
      <w:r>
        <w:rPr>
          <w:sz w:val="20"/>
        </w:rPr>
      </w:r>
    </w:p>
    <w:p>
      <w:pPr>
        <w:pStyle w:val="2"/>
        <w:outlineLvl w:val="1"/>
        <w:jc w:val="center"/>
      </w:pPr>
      <w:r>
        <w:rPr>
          <w:sz w:val="20"/>
        </w:rPr>
        <w:t xml:space="preserve">Раздел V. ТРЕБОВАНИЯ ПОЖАРНОЙ БЕЗОПАСНОСТИ</w:t>
      </w:r>
    </w:p>
    <w:p>
      <w:pPr>
        <w:pStyle w:val="2"/>
        <w:jc w:val="center"/>
      </w:pPr>
      <w:r>
        <w:rPr>
          <w:sz w:val="20"/>
        </w:rPr>
        <w:t xml:space="preserve">К ПОЖАРНОЙ ТЕХНИКЕ</w:t>
      </w:r>
    </w:p>
    <w:p>
      <w:pPr>
        <w:pStyle w:val="0"/>
        <w:jc w:val="center"/>
      </w:pPr>
      <w:r>
        <w:rPr>
          <w:sz w:val="20"/>
        </w:rPr>
      </w:r>
    </w:p>
    <w:p>
      <w:pPr>
        <w:pStyle w:val="2"/>
        <w:outlineLvl w:val="2"/>
        <w:jc w:val="center"/>
      </w:pPr>
      <w:r>
        <w:rPr>
          <w:sz w:val="20"/>
        </w:rPr>
        <w:t xml:space="preserve">Глава 23. ОБЩИЕ ТРЕБОВАНИЯ</w:t>
      </w:r>
    </w:p>
    <w:p>
      <w:pPr>
        <w:pStyle w:val="0"/>
        <w:ind w:firstLine="540"/>
        <w:jc w:val="both"/>
      </w:pPr>
      <w:r>
        <w:rPr>
          <w:sz w:val="20"/>
        </w:rPr>
      </w:r>
    </w:p>
    <w:p>
      <w:pPr>
        <w:pStyle w:val="2"/>
        <w:outlineLvl w:val="3"/>
        <w:ind w:firstLine="540"/>
        <w:jc w:val="both"/>
      </w:pPr>
      <w:r>
        <w:rPr>
          <w:sz w:val="20"/>
        </w:rPr>
        <w:t xml:space="preserve">Статьи 101 - 102. Утратили силу. - Федеральный </w:t>
      </w:r>
      <w:hyperlink w:history="0" r:id="rId41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ind w:firstLine="540"/>
        <w:jc w:val="both"/>
      </w:pPr>
      <w:r>
        <w:rPr>
          <w:sz w:val="20"/>
        </w:rPr>
      </w:r>
    </w:p>
    <w:bookmarkStart w:id="1450" w:name="P1450"/>
    <w:bookmarkEnd w:id="1450"/>
    <w:p>
      <w:pPr>
        <w:pStyle w:val="2"/>
        <w:outlineLvl w:val="3"/>
        <w:ind w:firstLine="540"/>
        <w:jc w:val="both"/>
      </w:pPr>
      <w:r>
        <w:rPr>
          <w:sz w:val="20"/>
        </w:rPr>
        <w:t xml:space="preserve">Статья 103. Требования к автоматическим установкам пожарной сигнализации</w:t>
      </w:r>
    </w:p>
    <w:p>
      <w:pPr>
        <w:pStyle w:val="0"/>
        <w:ind w:firstLine="540"/>
        <w:jc w:val="both"/>
      </w:pPr>
      <w:r>
        <w:rPr>
          <w:sz w:val="20"/>
        </w:rPr>
      </w:r>
    </w:p>
    <w:p>
      <w:pPr>
        <w:pStyle w:val="0"/>
        <w:ind w:firstLine="540"/>
        <w:jc w:val="both"/>
      </w:pPr>
      <w:r>
        <w:rPr>
          <w:sz w:val="20"/>
        </w:rPr>
        <w:t xml:space="preserve">1. Утратил силу. - Федеральный </w:t>
      </w:r>
      <w:hyperlink w:history="0" r:id="rId41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2. Линии связи между техническими средствами автоматических установок пожарной сигнализации должны сохранять работоспособность в условиях пожара в течение времени, необходимого для выполнения их функций.</w:t>
      </w:r>
    </w:p>
    <w:p>
      <w:pPr>
        <w:pStyle w:val="0"/>
        <w:jc w:val="both"/>
      </w:pPr>
      <w:r>
        <w:rPr>
          <w:sz w:val="20"/>
        </w:rPr>
        <w:t xml:space="preserve">(в ред. Федеральных законов от 10.07.2012 </w:t>
      </w:r>
      <w:hyperlink w:history="0" r:id="rId41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14.07.2022 </w:t>
      </w:r>
      <w:hyperlink w:history="0" r:id="rId41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3. Приборы управления пожарным оборудованием автоматических установок пожарной сигнализации должны обеспечивать принцип управления в соответствии с типом управляемого оборудования и требованиями конкретного объекта.</w:t>
      </w:r>
    </w:p>
    <w:p>
      <w:pPr>
        <w:pStyle w:val="0"/>
        <w:spacing w:before="200" w:line-rule="auto"/>
        <w:ind w:firstLine="540"/>
        <w:jc w:val="both"/>
      </w:pPr>
      <w:r>
        <w:rPr>
          <w:sz w:val="20"/>
        </w:rPr>
        <w:t xml:space="preserve">4. Технические средства автоматических установок пожарной сигнализации должны быть обеспечены бесперебойным электропитанием на время выполнения ими своих функций.</w:t>
      </w:r>
    </w:p>
    <w:p>
      <w:pPr>
        <w:pStyle w:val="0"/>
        <w:spacing w:before="200" w:line-rule="auto"/>
        <w:ind w:firstLine="540"/>
        <w:jc w:val="both"/>
      </w:pPr>
      <w:r>
        <w:rPr>
          <w:sz w:val="20"/>
        </w:rPr>
        <w:t xml:space="preserve">5 - 6. Утратили силу. - Федеральный </w:t>
      </w:r>
      <w:hyperlink w:history="0" r:id="rId42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ind w:firstLine="540"/>
        <w:jc w:val="both"/>
      </w:pPr>
      <w:r>
        <w:rPr>
          <w:sz w:val="20"/>
        </w:rPr>
      </w:r>
    </w:p>
    <w:p>
      <w:pPr>
        <w:pStyle w:val="2"/>
        <w:outlineLvl w:val="3"/>
        <w:ind w:firstLine="540"/>
        <w:jc w:val="both"/>
      </w:pPr>
      <w:r>
        <w:rPr>
          <w:sz w:val="20"/>
        </w:rPr>
        <w:t xml:space="preserve">Статья 104. Требования к автоматическим установкам пожаротушения</w:t>
      </w:r>
    </w:p>
    <w:p>
      <w:pPr>
        <w:pStyle w:val="0"/>
        <w:jc w:val="both"/>
      </w:pPr>
      <w:r>
        <w:rPr>
          <w:sz w:val="20"/>
        </w:rPr>
        <w:t xml:space="preserve">(в ред. Федеральных законов от 10.07.2012 </w:t>
      </w:r>
      <w:hyperlink w:history="0" r:id="rId42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14.07.2022 </w:t>
      </w:r>
      <w:hyperlink w:history="0" r:id="rId42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ind w:firstLine="540"/>
        <w:jc w:val="both"/>
      </w:pPr>
      <w:r>
        <w:rPr>
          <w:sz w:val="20"/>
        </w:rPr>
      </w:r>
    </w:p>
    <w:p>
      <w:pPr>
        <w:pStyle w:val="0"/>
        <w:ind w:firstLine="540"/>
        <w:jc w:val="both"/>
      </w:pPr>
      <w:r>
        <w:rPr>
          <w:sz w:val="20"/>
        </w:rPr>
        <w:t xml:space="preserve">1. Автоматические, в том числе автономные, установки пожаротушения должны обеспечивать ликвидацию пожара поверхностным или объемным способом подачи огнетушащего вещества в целях создания условий, препятствующих возникновению и развитию процесса горения.</w:t>
      </w:r>
    </w:p>
    <w:p>
      <w:pPr>
        <w:pStyle w:val="0"/>
        <w:jc w:val="both"/>
      </w:pPr>
      <w:r>
        <w:rPr>
          <w:sz w:val="20"/>
        </w:rPr>
        <w:t xml:space="preserve">(в ред. Федеральных законов от 10.07.2012 </w:t>
      </w:r>
      <w:hyperlink w:history="0" r:id="rId42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14.07.2022 </w:t>
      </w:r>
      <w:hyperlink w:history="0" r:id="rId42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2. Тушение пожара объемным способом должно обеспечивать создание среды, не поддерживающей горение во всем объеме объекта защиты.</w:t>
      </w:r>
    </w:p>
    <w:p>
      <w:pPr>
        <w:pStyle w:val="0"/>
        <w:jc w:val="both"/>
      </w:pPr>
      <w:r>
        <w:rPr>
          <w:sz w:val="20"/>
        </w:rPr>
        <w:t xml:space="preserve">(в ред. Федерального </w:t>
      </w:r>
      <w:hyperlink w:history="0" r:id="rId42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Тушение пожара поверхностным способом должно обеспечивать ликвидацию процесса горения путем подачи огнетушащего вещества на защищаемую площадь.</w:t>
      </w:r>
    </w:p>
    <w:p>
      <w:pPr>
        <w:pStyle w:val="0"/>
        <w:spacing w:before="200" w:line-rule="auto"/>
        <w:ind w:firstLine="540"/>
        <w:jc w:val="both"/>
      </w:pPr>
      <w:r>
        <w:rPr>
          <w:sz w:val="20"/>
        </w:rPr>
        <w:t xml:space="preserve">4. Срабатывание автоматических, в том числе автономных, установок пожаротушения не должно приводить к возникновению пожара и (или) взрыва горючих материалов в помещениях зданий, сооружений и на открытых площадках.</w:t>
      </w:r>
    </w:p>
    <w:p>
      <w:pPr>
        <w:pStyle w:val="0"/>
        <w:jc w:val="both"/>
      </w:pPr>
      <w:r>
        <w:rPr>
          <w:sz w:val="20"/>
        </w:rPr>
        <w:t xml:space="preserve">(в ред. Федеральных законов от 10.07.2012 </w:t>
      </w:r>
      <w:hyperlink w:history="0" r:id="rId42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14.07.2022 </w:t>
      </w:r>
      <w:hyperlink w:history="0" r:id="rId42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5. На линии связи и технические средства автоматических установок пожаротушения дополнительно распространяются требования, установленные </w:t>
      </w:r>
      <w:hyperlink w:history="0" w:anchor="P1450" w:tooltip="Статья 103. Требования к автоматическим установкам пожарной сигнализации">
        <w:r>
          <w:rPr>
            <w:sz w:val="20"/>
            <w:color w:val="0000ff"/>
          </w:rPr>
          <w:t xml:space="preserve">статьей 103</w:t>
        </w:r>
      </w:hyperlink>
      <w:r>
        <w:rPr>
          <w:sz w:val="20"/>
        </w:rPr>
        <w:t xml:space="preserve"> настоящего Федерального закона.</w:t>
      </w:r>
    </w:p>
    <w:p>
      <w:pPr>
        <w:pStyle w:val="0"/>
        <w:jc w:val="both"/>
      </w:pPr>
      <w:r>
        <w:rPr>
          <w:sz w:val="20"/>
        </w:rPr>
        <w:t xml:space="preserve">(часть 5 введена Федеральным </w:t>
      </w:r>
      <w:hyperlink w:history="0" r:id="rId42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10.07.2012 N 117-ФЗ)</w:t>
      </w:r>
    </w:p>
    <w:p>
      <w:pPr>
        <w:pStyle w:val="0"/>
        <w:ind w:firstLine="540"/>
        <w:jc w:val="both"/>
      </w:pPr>
      <w:r>
        <w:rPr>
          <w:sz w:val="20"/>
        </w:rPr>
      </w:r>
    </w:p>
    <w:p>
      <w:pPr>
        <w:pStyle w:val="2"/>
        <w:outlineLvl w:val="2"/>
        <w:jc w:val="center"/>
      </w:pPr>
      <w:r>
        <w:rPr>
          <w:sz w:val="20"/>
        </w:rPr>
        <w:t xml:space="preserve">Глава 24. ТРЕБОВАНИЯ К ПЕРВИЧНЫМ СРЕДСТВАМ ПОЖАРОТУШЕНИЯ</w:t>
      </w:r>
    </w:p>
    <w:p>
      <w:pPr>
        <w:pStyle w:val="2"/>
        <w:jc w:val="center"/>
      </w:pPr>
      <w:r>
        <w:rPr>
          <w:sz w:val="20"/>
        </w:rPr>
        <w:t xml:space="preserve">(СТАТЬИ 105 - 107)</w:t>
      </w:r>
    </w:p>
    <w:p>
      <w:pPr>
        <w:pStyle w:val="0"/>
        <w:ind w:firstLine="540"/>
        <w:jc w:val="both"/>
      </w:pPr>
      <w:r>
        <w:rPr>
          <w:sz w:val="20"/>
        </w:rPr>
      </w:r>
    </w:p>
    <w:p>
      <w:pPr>
        <w:pStyle w:val="0"/>
        <w:ind w:firstLine="540"/>
        <w:jc w:val="both"/>
      </w:pPr>
      <w:r>
        <w:rPr>
          <w:sz w:val="20"/>
        </w:rPr>
        <w:t xml:space="preserve">Утратила силу. - Федеральный </w:t>
      </w:r>
      <w:hyperlink w:history="0" r:id="rId42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ind w:firstLine="540"/>
        <w:jc w:val="both"/>
      </w:pPr>
      <w:r>
        <w:rPr>
          <w:sz w:val="20"/>
        </w:rPr>
      </w:r>
    </w:p>
    <w:p>
      <w:pPr>
        <w:pStyle w:val="2"/>
        <w:outlineLvl w:val="2"/>
        <w:jc w:val="center"/>
      </w:pPr>
      <w:r>
        <w:rPr>
          <w:sz w:val="20"/>
        </w:rPr>
        <w:t xml:space="preserve">Глава 25. ТРЕБОВАНИЯ К МОБИЛЬНЫМ СРЕДСТВАМ ПОЖАРОТУШЕНИЯ</w:t>
      </w:r>
    </w:p>
    <w:p>
      <w:pPr>
        <w:pStyle w:val="2"/>
        <w:jc w:val="center"/>
      </w:pPr>
      <w:r>
        <w:rPr>
          <w:sz w:val="20"/>
        </w:rPr>
        <w:t xml:space="preserve">(СТАТЬИ 108 - 110)</w:t>
      </w:r>
    </w:p>
    <w:p>
      <w:pPr>
        <w:pStyle w:val="0"/>
        <w:ind w:firstLine="540"/>
        <w:jc w:val="both"/>
      </w:pPr>
      <w:r>
        <w:rPr>
          <w:sz w:val="20"/>
        </w:rPr>
      </w:r>
    </w:p>
    <w:p>
      <w:pPr>
        <w:pStyle w:val="0"/>
        <w:ind w:firstLine="540"/>
        <w:jc w:val="both"/>
      </w:pPr>
      <w:r>
        <w:rPr>
          <w:sz w:val="20"/>
        </w:rPr>
        <w:t xml:space="preserve">Утратила силу. - Федеральный </w:t>
      </w:r>
      <w:hyperlink w:history="0" r:id="rId43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ind w:firstLine="540"/>
        <w:jc w:val="both"/>
      </w:pPr>
      <w:r>
        <w:rPr>
          <w:sz w:val="20"/>
        </w:rPr>
      </w:r>
    </w:p>
    <w:p>
      <w:pPr>
        <w:pStyle w:val="2"/>
        <w:outlineLvl w:val="2"/>
        <w:jc w:val="center"/>
      </w:pPr>
      <w:r>
        <w:rPr>
          <w:sz w:val="20"/>
        </w:rPr>
        <w:t xml:space="preserve">Глава 26. ТРЕБОВАНИЯ К АВТОМАТИЧЕСКИМ</w:t>
      </w:r>
    </w:p>
    <w:p>
      <w:pPr>
        <w:pStyle w:val="2"/>
        <w:jc w:val="center"/>
      </w:pPr>
      <w:r>
        <w:rPr>
          <w:sz w:val="20"/>
        </w:rPr>
        <w:t xml:space="preserve">УСТАНОВКАМ ПОЖАРОТУШЕНИЯ</w:t>
      </w:r>
    </w:p>
    <w:p>
      <w:pPr>
        <w:pStyle w:val="0"/>
        <w:ind w:firstLine="540"/>
        <w:jc w:val="both"/>
      </w:pPr>
      <w:r>
        <w:rPr>
          <w:sz w:val="20"/>
        </w:rPr>
      </w:r>
    </w:p>
    <w:p>
      <w:pPr>
        <w:pStyle w:val="2"/>
        <w:outlineLvl w:val="3"/>
        <w:ind w:firstLine="540"/>
        <w:jc w:val="both"/>
      </w:pPr>
      <w:r>
        <w:rPr>
          <w:sz w:val="20"/>
        </w:rPr>
        <w:t xml:space="preserve">Статья 111. Требования к автоматическим установкам жидкостного и пенного пожаротушения</w:t>
      </w:r>
    </w:p>
    <w:p>
      <w:pPr>
        <w:pStyle w:val="0"/>
        <w:jc w:val="both"/>
      </w:pPr>
      <w:r>
        <w:rPr>
          <w:sz w:val="20"/>
        </w:rPr>
        <w:t xml:space="preserve">(в ред. Федерального </w:t>
      </w:r>
      <w:hyperlink w:history="0" r:id="rId43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Автоматические установки жидкостного и пенного пожаротушения должны обеспечивать:</w:t>
      </w:r>
    </w:p>
    <w:p>
      <w:pPr>
        <w:pStyle w:val="0"/>
        <w:jc w:val="both"/>
      </w:pPr>
      <w:r>
        <w:rPr>
          <w:sz w:val="20"/>
        </w:rPr>
        <w:t xml:space="preserve">(в ред. Федерального </w:t>
      </w:r>
      <w:hyperlink w:history="0" r:id="rId43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 своевременное обнаружение пожара и автоматический запуск установки пожаротушения;</w:t>
      </w:r>
    </w:p>
    <w:p>
      <w:pPr>
        <w:pStyle w:val="0"/>
        <w:jc w:val="both"/>
      </w:pPr>
      <w:r>
        <w:rPr>
          <w:sz w:val="20"/>
        </w:rPr>
        <w:t xml:space="preserve">(п. 1 в ред. Федерального </w:t>
      </w:r>
      <w:hyperlink w:history="0" r:id="rId43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подачу воды, водного раствора или других огнетушащих жидкостей из оросителей (спринклерных, дренчерных) либо насадков с требуемой интенсивностью подачи огнетушащей жидкости;</w:t>
      </w:r>
    </w:p>
    <w:p>
      <w:pPr>
        <w:pStyle w:val="0"/>
        <w:jc w:val="both"/>
      </w:pPr>
      <w:r>
        <w:rPr>
          <w:sz w:val="20"/>
        </w:rPr>
        <w:t xml:space="preserve">(п. 2 в ред. Федерального </w:t>
      </w:r>
      <w:hyperlink w:history="0" r:id="rId43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подачу пены из пеногенерирующих устройств автоматических установок пенного пожаротушения с требуемыми кратностью и интенсивностью подачи пены.</w:t>
      </w:r>
    </w:p>
    <w:p>
      <w:pPr>
        <w:pStyle w:val="0"/>
        <w:ind w:firstLine="540"/>
        <w:jc w:val="both"/>
      </w:pPr>
      <w:r>
        <w:rPr>
          <w:sz w:val="20"/>
        </w:rPr>
      </w:r>
    </w:p>
    <w:p>
      <w:pPr>
        <w:pStyle w:val="2"/>
        <w:outlineLvl w:val="3"/>
        <w:ind w:firstLine="540"/>
        <w:jc w:val="both"/>
      </w:pPr>
      <w:r>
        <w:rPr>
          <w:sz w:val="20"/>
        </w:rPr>
        <w:t xml:space="preserve">Статья 112. Требования к автоматическим установкам газового пожаротушения</w:t>
      </w:r>
    </w:p>
    <w:p>
      <w:pPr>
        <w:pStyle w:val="0"/>
        <w:ind w:firstLine="540"/>
        <w:jc w:val="both"/>
      </w:pPr>
      <w:r>
        <w:rPr>
          <w:sz w:val="20"/>
        </w:rPr>
      </w:r>
    </w:p>
    <w:p>
      <w:pPr>
        <w:pStyle w:val="0"/>
        <w:ind w:firstLine="540"/>
        <w:jc w:val="both"/>
      </w:pPr>
      <w:r>
        <w:rPr>
          <w:sz w:val="20"/>
        </w:rPr>
        <w:t xml:space="preserve">Автоматические установки газового пожаротушения должны обеспечивать:</w:t>
      </w:r>
    </w:p>
    <w:p>
      <w:pPr>
        <w:pStyle w:val="0"/>
        <w:spacing w:before="200" w:line-rule="auto"/>
        <w:ind w:firstLine="540"/>
        <w:jc w:val="both"/>
      </w:pPr>
      <w:r>
        <w:rPr>
          <w:sz w:val="20"/>
        </w:rPr>
        <w:t xml:space="preserve">1) своевременное обнаружение пожара автоматической установкой пожарной сигнализации, входящей в состав автоматической установки газового пожаротушения;</w:t>
      </w:r>
    </w:p>
    <w:p>
      <w:pPr>
        <w:pStyle w:val="0"/>
        <w:spacing w:before="200" w:line-rule="auto"/>
        <w:ind w:firstLine="540"/>
        <w:jc w:val="both"/>
      </w:pPr>
      <w:r>
        <w:rPr>
          <w:sz w:val="20"/>
        </w:rPr>
        <w:t xml:space="preserve">2) возможность задержки подачи газового огнетушащего вещества в течение времени, необходимого для эвакуации людей из защищаемого помещения;</w:t>
      </w:r>
    </w:p>
    <w:p>
      <w:pPr>
        <w:pStyle w:val="0"/>
        <w:spacing w:before="200" w:line-rule="auto"/>
        <w:ind w:firstLine="540"/>
        <w:jc w:val="both"/>
      </w:pPr>
      <w:r>
        <w:rPr>
          <w:sz w:val="20"/>
        </w:rPr>
        <w:t xml:space="preserve">3) создание огнетушащей концентрации газового огнетушащего вещества в защищаемом объеме или над поверхностью горящего материала за время, необходимое для тушения пожара.</w:t>
      </w:r>
    </w:p>
    <w:p>
      <w:pPr>
        <w:pStyle w:val="0"/>
        <w:ind w:firstLine="540"/>
        <w:jc w:val="both"/>
      </w:pPr>
      <w:r>
        <w:rPr>
          <w:sz w:val="20"/>
        </w:rPr>
      </w:r>
    </w:p>
    <w:p>
      <w:pPr>
        <w:pStyle w:val="2"/>
        <w:outlineLvl w:val="3"/>
        <w:ind w:firstLine="540"/>
        <w:jc w:val="both"/>
      </w:pPr>
      <w:r>
        <w:rPr>
          <w:sz w:val="20"/>
        </w:rPr>
        <w:t xml:space="preserve">Статья 113. Требования к автоматическим установкам порошкового пожаротушения</w:t>
      </w:r>
    </w:p>
    <w:p>
      <w:pPr>
        <w:pStyle w:val="0"/>
        <w:ind w:firstLine="540"/>
        <w:jc w:val="both"/>
      </w:pPr>
      <w:r>
        <w:rPr>
          <w:sz w:val="20"/>
        </w:rPr>
      </w:r>
    </w:p>
    <w:p>
      <w:pPr>
        <w:pStyle w:val="0"/>
        <w:ind w:firstLine="540"/>
        <w:jc w:val="both"/>
      </w:pPr>
      <w:r>
        <w:rPr>
          <w:sz w:val="20"/>
        </w:rPr>
        <w:t xml:space="preserve">Автоматические установки порошкового пожаротушения должны обеспечивать:</w:t>
      </w:r>
    </w:p>
    <w:p>
      <w:pPr>
        <w:pStyle w:val="0"/>
        <w:spacing w:before="200" w:line-rule="auto"/>
        <w:ind w:firstLine="540"/>
        <w:jc w:val="both"/>
      </w:pPr>
      <w:r>
        <w:rPr>
          <w:sz w:val="20"/>
        </w:rPr>
        <w:t xml:space="preserve">1) своевременное обнаружение пожара автоматической установкой пожарной сигнализации, входящей в состав автоматической установки порошкового пожаротушения;</w:t>
      </w:r>
    </w:p>
    <w:p>
      <w:pPr>
        <w:pStyle w:val="0"/>
        <w:spacing w:before="200" w:line-rule="auto"/>
        <w:ind w:firstLine="540"/>
        <w:jc w:val="both"/>
      </w:pPr>
      <w:r>
        <w:rPr>
          <w:sz w:val="20"/>
        </w:rPr>
        <w:t xml:space="preserve">2) подачу порошка из распылителей автоматических установок порошкового пожаротушения с требуемой интенсивностью подачи порошка.</w:t>
      </w:r>
    </w:p>
    <w:p>
      <w:pPr>
        <w:pStyle w:val="0"/>
        <w:ind w:firstLine="540"/>
        <w:jc w:val="both"/>
      </w:pPr>
      <w:r>
        <w:rPr>
          <w:sz w:val="20"/>
        </w:rPr>
      </w:r>
    </w:p>
    <w:p>
      <w:pPr>
        <w:pStyle w:val="2"/>
        <w:outlineLvl w:val="3"/>
        <w:ind w:firstLine="540"/>
        <w:jc w:val="both"/>
      </w:pPr>
      <w:r>
        <w:rPr>
          <w:sz w:val="20"/>
        </w:rPr>
        <w:t xml:space="preserve">Статья 114. Требования к автоматическим установкам аэрозольного пожаротушения</w:t>
      </w:r>
    </w:p>
    <w:p>
      <w:pPr>
        <w:pStyle w:val="0"/>
        <w:ind w:firstLine="540"/>
        <w:jc w:val="both"/>
      </w:pPr>
      <w:r>
        <w:rPr>
          <w:sz w:val="20"/>
        </w:rPr>
      </w:r>
    </w:p>
    <w:p>
      <w:pPr>
        <w:pStyle w:val="0"/>
        <w:ind w:firstLine="540"/>
        <w:jc w:val="both"/>
      </w:pPr>
      <w:r>
        <w:rPr>
          <w:sz w:val="20"/>
        </w:rPr>
        <w:t xml:space="preserve">Автоматические установки аэрозольного пожаротушения должны обеспечивать:</w:t>
      </w:r>
    </w:p>
    <w:p>
      <w:pPr>
        <w:pStyle w:val="0"/>
        <w:spacing w:before="200" w:line-rule="auto"/>
        <w:ind w:firstLine="540"/>
        <w:jc w:val="both"/>
      </w:pPr>
      <w:r>
        <w:rPr>
          <w:sz w:val="20"/>
        </w:rPr>
        <w:t xml:space="preserve">1) своевременное обнаружение пожара автоматической установкой пожарной сигнализации, входящей в состав автоматической установки аэрозольного пожаротушения;</w:t>
      </w:r>
    </w:p>
    <w:p>
      <w:pPr>
        <w:pStyle w:val="0"/>
        <w:spacing w:before="200" w:line-rule="auto"/>
        <w:ind w:firstLine="540"/>
        <w:jc w:val="both"/>
      </w:pPr>
      <w:r>
        <w:rPr>
          <w:sz w:val="20"/>
        </w:rPr>
        <w:t xml:space="preserve">2) возможность задержки подачи огнетушащего аэрозоля в течение времени, необходимого для эвакуации людей из защищаемого помещения;</w:t>
      </w:r>
    </w:p>
    <w:p>
      <w:pPr>
        <w:pStyle w:val="0"/>
        <w:spacing w:before="200" w:line-rule="auto"/>
        <w:ind w:firstLine="540"/>
        <w:jc w:val="both"/>
      </w:pPr>
      <w:r>
        <w:rPr>
          <w:sz w:val="20"/>
        </w:rPr>
        <w:t xml:space="preserve">3) создание огнетушащей концентрации огнетушащего аэрозоля в защищаемом объеме за время, необходимое для тушения пожара;</w:t>
      </w:r>
    </w:p>
    <w:p>
      <w:pPr>
        <w:pStyle w:val="0"/>
        <w:spacing w:before="200" w:line-rule="auto"/>
        <w:ind w:firstLine="540"/>
        <w:jc w:val="both"/>
      </w:pPr>
      <w:r>
        <w:rPr>
          <w:sz w:val="20"/>
        </w:rPr>
        <w:t xml:space="preserve">4) исключение возможности воздействия на людей и горючие материалы высокотемпературных участков поверхности генератора и струи огнетушащего аэрозоля.</w:t>
      </w:r>
    </w:p>
    <w:p>
      <w:pPr>
        <w:pStyle w:val="0"/>
        <w:ind w:firstLine="540"/>
        <w:jc w:val="both"/>
      </w:pPr>
      <w:r>
        <w:rPr>
          <w:sz w:val="20"/>
        </w:rPr>
      </w:r>
    </w:p>
    <w:p>
      <w:pPr>
        <w:pStyle w:val="2"/>
        <w:outlineLvl w:val="3"/>
        <w:ind w:firstLine="540"/>
        <w:jc w:val="both"/>
      </w:pPr>
      <w:r>
        <w:rPr>
          <w:sz w:val="20"/>
        </w:rPr>
        <w:t xml:space="preserve">Статья 115. Требования к автоматическим установкам комбинированного пожаротушения</w:t>
      </w:r>
    </w:p>
    <w:p>
      <w:pPr>
        <w:pStyle w:val="0"/>
        <w:ind w:firstLine="540"/>
        <w:jc w:val="both"/>
      </w:pPr>
      <w:r>
        <w:rPr>
          <w:sz w:val="20"/>
        </w:rPr>
      </w:r>
    </w:p>
    <w:p>
      <w:pPr>
        <w:pStyle w:val="0"/>
        <w:ind w:firstLine="540"/>
        <w:jc w:val="both"/>
      </w:pPr>
      <w:r>
        <w:rPr>
          <w:sz w:val="20"/>
        </w:rPr>
        <w:t xml:space="preserve">Автоматические установки комбинированного пожаротушения должны соответствовать требованиям, предъявляемым к установкам автоматического пожаротушения, из которых они состоят.</w:t>
      </w:r>
    </w:p>
    <w:p>
      <w:pPr>
        <w:pStyle w:val="0"/>
        <w:ind w:firstLine="540"/>
        <w:jc w:val="both"/>
      </w:pPr>
      <w:r>
        <w:rPr>
          <w:sz w:val="20"/>
        </w:rPr>
      </w:r>
    </w:p>
    <w:p>
      <w:pPr>
        <w:pStyle w:val="2"/>
        <w:outlineLvl w:val="3"/>
        <w:ind w:firstLine="540"/>
        <w:jc w:val="both"/>
      </w:pPr>
      <w:r>
        <w:rPr>
          <w:sz w:val="20"/>
        </w:rPr>
        <w:t xml:space="preserve">Статья 116. </w:t>
      </w:r>
      <w:hyperlink w:history="0" r:id="rId435" w:tooltip="&quot;Техника пожарная. Установки пожаротушения роботизированные. Общие технические требования. Методы испытаний. ГОСТ Р 53326-2009&quot; (утв. Приказом Ростехрегулирования от 18.02.2009 N 102-ст) {КонсультантПлюс}">
        <w:r>
          <w:rPr>
            <w:sz w:val="20"/>
            <w:color w:val="0000ff"/>
          </w:rPr>
          <w:t xml:space="preserve">Требования</w:t>
        </w:r>
      </w:hyperlink>
      <w:r>
        <w:rPr>
          <w:sz w:val="20"/>
        </w:rPr>
        <w:t xml:space="preserve"> к роботизированным установкам пожаротушения</w:t>
      </w:r>
    </w:p>
    <w:p>
      <w:pPr>
        <w:pStyle w:val="0"/>
        <w:ind w:firstLine="540"/>
        <w:jc w:val="both"/>
      </w:pPr>
      <w:r>
        <w:rPr>
          <w:sz w:val="20"/>
        </w:rPr>
      </w:r>
    </w:p>
    <w:p>
      <w:pPr>
        <w:pStyle w:val="0"/>
        <w:ind w:firstLine="540"/>
        <w:jc w:val="both"/>
      </w:pPr>
      <w:r>
        <w:rPr>
          <w:sz w:val="20"/>
        </w:rPr>
        <w:t xml:space="preserve">Роботизированные установки пожаротушения должны обеспечивать:</w:t>
      </w:r>
    </w:p>
    <w:p>
      <w:pPr>
        <w:pStyle w:val="0"/>
        <w:spacing w:before="200" w:line-rule="auto"/>
        <w:ind w:firstLine="540"/>
        <w:jc w:val="both"/>
      </w:pPr>
      <w:r>
        <w:rPr>
          <w:sz w:val="20"/>
        </w:rPr>
        <w:t xml:space="preserve">1) обнаружение и ликвидацию или ограничение распространения пожара за пределы очага без непосредственного присутствия человека в зоне работы установки;</w:t>
      </w:r>
    </w:p>
    <w:p>
      <w:pPr>
        <w:pStyle w:val="0"/>
        <w:spacing w:before="200" w:line-rule="auto"/>
        <w:ind w:firstLine="540"/>
        <w:jc w:val="both"/>
      </w:pPr>
      <w:r>
        <w:rPr>
          <w:sz w:val="20"/>
        </w:rPr>
        <w:t xml:space="preserve">2) возможность дистанционного управления установкой и передачи оператору информации с места работы установки;</w:t>
      </w:r>
    </w:p>
    <w:p>
      <w:pPr>
        <w:pStyle w:val="0"/>
        <w:spacing w:before="200" w:line-rule="auto"/>
        <w:ind w:firstLine="540"/>
        <w:jc w:val="both"/>
      </w:pPr>
      <w:r>
        <w:rPr>
          <w:sz w:val="20"/>
        </w:rPr>
        <w:t xml:space="preserve">3) возможность выполнения установкой своих функций в условиях воздействия опасных факторов пожара или взрыва, радиационного, химического или иного опасного для человека и окружающей среды воздействия.</w:t>
      </w:r>
    </w:p>
    <w:p>
      <w:pPr>
        <w:pStyle w:val="0"/>
        <w:ind w:firstLine="540"/>
        <w:jc w:val="both"/>
      </w:pPr>
      <w:r>
        <w:rPr>
          <w:sz w:val="20"/>
        </w:rPr>
      </w:r>
    </w:p>
    <w:p>
      <w:pPr>
        <w:pStyle w:val="2"/>
        <w:outlineLvl w:val="3"/>
        <w:ind w:firstLine="540"/>
        <w:jc w:val="both"/>
      </w:pPr>
      <w:r>
        <w:rPr>
          <w:sz w:val="20"/>
        </w:rPr>
        <w:t xml:space="preserve">Статья 117. Требования к автоматическим установкам сдерживания пожара</w:t>
      </w:r>
    </w:p>
    <w:p>
      <w:pPr>
        <w:pStyle w:val="0"/>
        <w:ind w:firstLine="540"/>
        <w:jc w:val="both"/>
      </w:pPr>
      <w:r>
        <w:rPr>
          <w:sz w:val="20"/>
        </w:rPr>
      </w:r>
    </w:p>
    <w:p>
      <w:pPr>
        <w:pStyle w:val="0"/>
        <w:ind w:firstLine="540"/>
        <w:jc w:val="both"/>
      </w:pPr>
      <w:r>
        <w:rPr>
          <w:sz w:val="20"/>
        </w:rPr>
        <w:t xml:space="preserve">1. Автоматические установки сдерживания пожара должны обеспечивать снижение скорости увеличения площади пожара и образования его опасных факторов.</w:t>
      </w:r>
    </w:p>
    <w:p>
      <w:pPr>
        <w:pStyle w:val="0"/>
        <w:spacing w:before="200" w:line-rule="auto"/>
        <w:ind w:firstLine="540"/>
        <w:jc w:val="both"/>
      </w:pPr>
      <w:r>
        <w:rPr>
          <w:sz w:val="20"/>
        </w:rPr>
        <w:t xml:space="preserve">2. Автоматические установки сдерживания пожара должны применяться в помещениях, в которых применение других автоматических установок пожаротушения нецелесообразно или технически невозможно.</w:t>
      </w:r>
    </w:p>
    <w:p>
      <w:pPr>
        <w:pStyle w:val="0"/>
        <w:spacing w:before="200" w:line-rule="auto"/>
        <w:ind w:firstLine="540"/>
        <w:jc w:val="both"/>
      </w:pPr>
      <w:r>
        <w:rPr>
          <w:sz w:val="20"/>
        </w:rPr>
        <w:t xml:space="preserve">3. Вид огнетушащих веществ, используемых в автоматических установках сдерживания пожара, определяется особенностями объекта защиты, вида и размещения пожарной нагрузки.</w:t>
      </w:r>
    </w:p>
    <w:p>
      <w:pPr>
        <w:pStyle w:val="0"/>
        <w:ind w:firstLine="540"/>
        <w:jc w:val="both"/>
      </w:pPr>
      <w:r>
        <w:rPr>
          <w:sz w:val="20"/>
        </w:rPr>
      </w:r>
    </w:p>
    <w:p>
      <w:pPr>
        <w:pStyle w:val="2"/>
        <w:outlineLvl w:val="2"/>
        <w:jc w:val="center"/>
      </w:pPr>
      <w:r>
        <w:rPr>
          <w:sz w:val="20"/>
        </w:rPr>
        <w:t xml:space="preserve">Глава 27. ТРЕБОВАНИЯ К СРЕДСТВАМ ИНДИВИДУАЛЬНОЙ ЗАЩИТЫ</w:t>
      </w:r>
    </w:p>
    <w:p>
      <w:pPr>
        <w:pStyle w:val="2"/>
        <w:jc w:val="center"/>
      </w:pPr>
      <w:r>
        <w:rPr>
          <w:sz w:val="20"/>
        </w:rPr>
        <w:t xml:space="preserve">ПОЖАРНЫХ И ГРАЖДАН ПРИ ПОЖАРЕ (СТАТЬИ 118 - 123)</w:t>
      </w:r>
    </w:p>
    <w:p>
      <w:pPr>
        <w:pStyle w:val="0"/>
        <w:ind w:firstLine="540"/>
        <w:jc w:val="both"/>
      </w:pPr>
      <w:r>
        <w:rPr>
          <w:sz w:val="20"/>
        </w:rPr>
      </w:r>
    </w:p>
    <w:p>
      <w:pPr>
        <w:pStyle w:val="0"/>
        <w:ind w:firstLine="540"/>
        <w:jc w:val="both"/>
      </w:pPr>
      <w:r>
        <w:rPr>
          <w:sz w:val="20"/>
        </w:rPr>
        <w:t xml:space="preserve">Утратила силу. - Федеральный </w:t>
      </w:r>
      <w:hyperlink w:history="0" r:id="rId43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ind w:firstLine="540"/>
        <w:jc w:val="both"/>
      </w:pPr>
      <w:r>
        <w:rPr>
          <w:sz w:val="20"/>
        </w:rPr>
      </w:r>
    </w:p>
    <w:p>
      <w:pPr>
        <w:pStyle w:val="2"/>
        <w:outlineLvl w:val="2"/>
        <w:jc w:val="center"/>
      </w:pPr>
      <w:r>
        <w:rPr>
          <w:sz w:val="20"/>
        </w:rPr>
        <w:t xml:space="preserve">Глава 28. ТРЕБОВАНИЯ К ПОЖАРНОМУ ИНСТРУМЕНТУ</w:t>
      </w:r>
    </w:p>
    <w:p>
      <w:pPr>
        <w:pStyle w:val="2"/>
        <w:jc w:val="center"/>
      </w:pPr>
      <w:r>
        <w:rPr>
          <w:sz w:val="20"/>
        </w:rPr>
        <w:t xml:space="preserve">И ДОПОЛНИТЕЛЬНОМУ СНАРЯЖЕНИЮ ПОЖАРНЫХ (СТАТЬИ 124 - 125)</w:t>
      </w:r>
    </w:p>
    <w:p>
      <w:pPr>
        <w:pStyle w:val="0"/>
        <w:ind w:firstLine="540"/>
        <w:jc w:val="both"/>
      </w:pPr>
      <w:r>
        <w:rPr>
          <w:sz w:val="20"/>
        </w:rPr>
      </w:r>
    </w:p>
    <w:p>
      <w:pPr>
        <w:pStyle w:val="0"/>
        <w:ind w:firstLine="540"/>
        <w:jc w:val="both"/>
      </w:pPr>
      <w:r>
        <w:rPr>
          <w:sz w:val="20"/>
        </w:rPr>
        <w:t xml:space="preserve">Утратила силу. - Федеральный </w:t>
      </w:r>
      <w:hyperlink w:history="0" r:id="rId43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ind w:firstLine="540"/>
        <w:jc w:val="both"/>
      </w:pPr>
      <w:r>
        <w:rPr>
          <w:sz w:val="20"/>
        </w:rPr>
      </w:r>
    </w:p>
    <w:p>
      <w:pPr>
        <w:pStyle w:val="2"/>
        <w:outlineLvl w:val="2"/>
        <w:jc w:val="center"/>
      </w:pPr>
      <w:r>
        <w:rPr>
          <w:sz w:val="20"/>
        </w:rPr>
        <w:t xml:space="preserve">Глава 29. ТРЕБОВАНИЯ К ПОЖАРНОМУ ОБОРУДОВАНИЮ</w:t>
      </w:r>
    </w:p>
    <w:p>
      <w:pPr>
        <w:pStyle w:val="2"/>
        <w:jc w:val="center"/>
      </w:pPr>
      <w:r>
        <w:rPr>
          <w:sz w:val="20"/>
        </w:rPr>
        <w:t xml:space="preserve">(СТАТЬИ 126 - 132)</w:t>
      </w:r>
    </w:p>
    <w:p>
      <w:pPr>
        <w:pStyle w:val="0"/>
        <w:ind w:firstLine="540"/>
        <w:jc w:val="both"/>
      </w:pPr>
      <w:r>
        <w:rPr>
          <w:sz w:val="20"/>
        </w:rPr>
      </w:r>
    </w:p>
    <w:p>
      <w:pPr>
        <w:pStyle w:val="0"/>
        <w:ind w:firstLine="540"/>
        <w:jc w:val="both"/>
      </w:pPr>
      <w:r>
        <w:rPr>
          <w:sz w:val="20"/>
        </w:rPr>
        <w:t xml:space="preserve">Утратила силу. - Федеральный </w:t>
      </w:r>
      <w:hyperlink w:history="0" r:id="rId43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ind w:firstLine="540"/>
        <w:jc w:val="both"/>
      </w:pPr>
      <w:r>
        <w:rPr>
          <w:sz w:val="20"/>
        </w:rPr>
      </w:r>
    </w:p>
    <w:p>
      <w:pPr>
        <w:pStyle w:val="2"/>
        <w:outlineLvl w:val="1"/>
        <w:jc w:val="center"/>
      </w:pPr>
      <w:r>
        <w:rPr>
          <w:sz w:val="20"/>
        </w:rPr>
        <w:t xml:space="preserve">Раздел VI. ТРЕБОВАНИЯ ПОЖАРНОЙ БЕЗОПАСНОСТИ К ПРОДУКЦИИ</w:t>
      </w:r>
    </w:p>
    <w:p>
      <w:pPr>
        <w:pStyle w:val="2"/>
        <w:jc w:val="center"/>
      </w:pPr>
      <w:r>
        <w:rPr>
          <w:sz w:val="20"/>
        </w:rPr>
        <w:t xml:space="preserve">ОБЩЕГО НАЗНАЧЕНИЯ</w:t>
      </w:r>
    </w:p>
    <w:p>
      <w:pPr>
        <w:pStyle w:val="0"/>
        <w:jc w:val="center"/>
      </w:pPr>
      <w:r>
        <w:rPr>
          <w:sz w:val="20"/>
        </w:rPr>
      </w:r>
    </w:p>
    <w:p>
      <w:pPr>
        <w:pStyle w:val="2"/>
        <w:outlineLvl w:val="2"/>
        <w:jc w:val="center"/>
      </w:pPr>
      <w:r>
        <w:rPr>
          <w:sz w:val="20"/>
        </w:rPr>
        <w:t xml:space="preserve">Глава 30. ТРЕБОВАНИЯ ПОЖАРНОЙ БЕЗОПАСНОСТИ</w:t>
      </w:r>
    </w:p>
    <w:p>
      <w:pPr>
        <w:pStyle w:val="2"/>
        <w:jc w:val="center"/>
      </w:pPr>
      <w:r>
        <w:rPr>
          <w:sz w:val="20"/>
        </w:rPr>
        <w:t xml:space="preserve">К ВЕЩЕСТВАМ И МАТЕРИАЛАМ</w:t>
      </w:r>
    </w:p>
    <w:p>
      <w:pPr>
        <w:pStyle w:val="0"/>
        <w:ind w:firstLine="540"/>
        <w:jc w:val="both"/>
      </w:pPr>
      <w:r>
        <w:rPr>
          <w:sz w:val="20"/>
        </w:rPr>
      </w:r>
    </w:p>
    <w:p>
      <w:pPr>
        <w:pStyle w:val="2"/>
        <w:outlineLvl w:val="3"/>
        <w:ind w:firstLine="540"/>
        <w:jc w:val="both"/>
      </w:pPr>
      <w:r>
        <w:rPr>
          <w:sz w:val="20"/>
        </w:rPr>
        <w:t xml:space="preserve">Статья 133. Требования пожарной безопасности к информации о пожарной опасности веществ и материалов</w:t>
      </w:r>
    </w:p>
    <w:p>
      <w:pPr>
        <w:pStyle w:val="0"/>
        <w:ind w:firstLine="540"/>
        <w:jc w:val="both"/>
      </w:pPr>
      <w:r>
        <w:rPr>
          <w:sz w:val="20"/>
        </w:rPr>
      </w:r>
    </w:p>
    <w:p>
      <w:pPr>
        <w:pStyle w:val="0"/>
        <w:ind w:firstLine="540"/>
        <w:jc w:val="both"/>
      </w:pPr>
      <w:r>
        <w:rPr>
          <w:sz w:val="20"/>
        </w:rPr>
        <w:t xml:space="preserve">1. Производитель (поставщик) должен разработать техническую документацию на вещества и материалы, содержащую информацию о пожарной безопасности при производстве, применении и хранении этой продукции.</w:t>
      </w:r>
    </w:p>
    <w:p>
      <w:pPr>
        <w:pStyle w:val="0"/>
        <w:jc w:val="both"/>
      </w:pPr>
      <w:r>
        <w:rPr>
          <w:sz w:val="20"/>
        </w:rPr>
        <w:t xml:space="preserve">(в ред. Федерального </w:t>
      </w:r>
      <w:hyperlink w:history="0" r:id="rId43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 Техническая документация на вещества и материалы (в том числе паспорта, технические условия, технологические регламенты) должна содержать информацию о показателях пожарной опасности веществ и материалов.</w:t>
      </w:r>
    </w:p>
    <w:p>
      <w:pPr>
        <w:pStyle w:val="0"/>
        <w:spacing w:before="200" w:line-rule="auto"/>
        <w:ind w:firstLine="540"/>
        <w:jc w:val="both"/>
      </w:pPr>
      <w:r>
        <w:rPr>
          <w:sz w:val="20"/>
        </w:rPr>
        <w:t xml:space="preserve">3. Обязательными показателями для включения в техническую документацию являются:</w:t>
      </w:r>
    </w:p>
    <w:p>
      <w:pPr>
        <w:pStyle w:val="0"/>
        <w:spacing w:before="200" w:line-rule="auto"/>
        <w:ind w:firstLine="540"/>
        <w:jc w:val="both"/>
      </w:pPr>
      <w:r>
        <w:rPr>
          <w:sz w:val="20"/>
        </w:rPr>
        <w:t xml:space="preserve">1) для газов:</w:t>
      </w:r>
    </w:p>
    <w:p>
      <w:pPr>
        <w:pStyle w:val="0"/>
        <w:spacing w:before="200" w:line-rule="auto"/>
        <w:ind w:firstLine="540"/>
        <w:jc w:val="both"/>
      </w:pPr>
      <w:r>
        <w:rPr>
          <w:sz w:val="20"/>
        </w:rPr>
        <w:t xml:space="preserve">а) группа горючести;</w:t>
      </w:r>
    </w:p>
    <w:p>
      <w:pPr>
        <w:pStyle w:val="0"/>
        <w:spacing w:before="200" w:line-rule="auto"/>
        <w:ind w:firstLine="540"/>
        <w:jc w:val="both"/>
      </w:pPr>
      <w:r>
        <w:rPr>
          <w:sz w:val="20"/>
        </w:rPr>
        <w:t xml:space="preserve">б) температура самовоспламенения;</w:t>
      </w:r>
    </w:p>
    <w:p>
      <w:pPr>
        <w:pStyle w:val="0"/>
        <w:spacing w:before="200" w:line-rule="auto"/>
        <w:ind w:firstLine="540"/>
        <w:jc w:val="both"/>
      </w:pPr>
      <w:r>
        <w:rPr>
          <w:sz w:val="20"/>
        </w:rPr>
        <w:t xml:space="preserve">в) концентрационные пределы распространения пламени;</w:t>
      </w:r>
    </w:p>
    <w:p>
      <w:pPr>
        <w:pStyle w:val="0"/>
        <w:spacing w:before="200" w:line-rule="auto"/>
        <w:ind w:firstLine="540"/>
        <w:jc w:val="both"/>
      </w:pPr>
      <w:r>
        <w:rPr>
          <w:sz w:val="20"/>
        </w:rPr>
        <w:t xml:space="preserve">г) максимальное давление взрыва;</w:t>
      </w:r>
    </w:p>
    <w:p>
      <w:pPr>
        <w:pStyle w:val="0"/>
        <w:spacing w:before="200" w:line-rule="auto"/>
        <w:ind w:firstLine="540"/>
        <w:jc w:val="both"/>
      </w:pPr>
      <w:r>
        <w:rPr>
          <w:sz w:val="20"/>
        </w:rPr>
        <w:t xml:space="preserve">д) скорость нарастания давления взрыва;</w:t>
      </w:r>
    </w:p>
    <w:p>
      <w:pPr>
        <w:pStyle w:val="0"/>
        <w:spacing w:before="200" w:line-rule="auto"/>
        <w:ind w:firstLine="540"/>
        <w:jc w:val="both"/>
      </w:pPr>
      <w:r>
        <w:rPr>
          <w:sz w:val="20"/>
        </w:rPr>
        <w:t xml:space="preserve">2) для жидкостей:</w:t>
      </w:r>
    </w:p>
    <w:p>
      <w:pPr>
        <w:pStyle w:val="0"/>
        <w:spacing w:before="200" w:line-rule="auto"/>
        <w:ind w:firstLine="540"/>
        <w:jc w:val="both"/>
      </w:pPr>
      <w:r>
        <w:rPr>
          <w:sz w:val="20"/>
        </w:rPr>
        <w:t xml:space="preserve">а) группа горючести;</w:t>
      </w:r>
    </w:p>
    <w:p>
      <w:pPr>
        <w:pStyle w:val="0"/>
        <w:spacing w:before="200" w:line-rule="auto"/>
        <w:ind w:firstLine="540"/>
        <w:jc w:val="both"/>
      </w:pPr>
      <w:r>
        <w:rPr>
          <w:sz w:val="20"/>
        </w:rPr>
        <w:t xml:space="preserve">б) температура вспышки в открытом тигле;</w:t>
      </w:r>
    </w:p>
    <w:p>
      <w:pPr>
        <w:pStyle w:val="0"/>
        <w:spacing w:before="200" w:line-rule="auto"/>
        <w:ind w:firstLine="540"/>
        <w:jc w:val="both"/>
      </w:pPr>
      <w:r>
        <w:rPr>
          <w:sz w:val="20"/>
        </w:rPr>
        <w:t xml:space="preserve">в) температура вспышки в закрытом тигле или нижний температурный предел;</w:t>
      </w:r>
    </w:p>
    <w:p>
      <w:pPr>
        <w:pStyle w:val="0"/>
        <w:spacing w:before="200" w:line-rule="auto"/>
        <w:ind w:firstLine="540"/>
        <w:jc w:val="both"/>
      </w:pPr>
      <w:r>
        <w:rPr>
          <w:sz w:val="20"/>
        </w:rPr>
        <w:t xml:space="preserve">г) температура воспламенения;</w:t>
      </w:r>
    </w:p>
    <w:p>
      <w:pPr>
        <w:pStyle w:val="0"/>
        <w:spacing w:before="200" w:line-rule="auto"/>
        <w:ind w:firstLine="540"/>
        <w:jc w:val="both"/>
      </w:pPr>
      <w:r>
        <w:rPr>
          <w:sz w:val="20"/>
        </w:rPr>
        <w:t xml:space="preserve">д) температура самовоспламенения;</w:t>
      </w:r>
    </w:p>
    <w:p>
      <w:pPr>
        <w:pStyle w:val="0"/>
        <w:jc w:val="both"/>
      </w:pPr>
      <w:r>
        <w:rPr>
          <w:sz w:val="20"/>
        </w:rPr>
        <w:t xml:space="preserve">(п. 2 в ред. Федерального </w:t>
      </w:r>
      <w:hyperlink w:history="0" r:id="rId44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3) для твердых веществ и материалов (за исключением строительных материалов):</w:t>
      </w:r>
    </w:p>
    <w:p>
      <w:pPr>
        <w:pStyle w:val="0"/>
        <w:spacing w:before="200" w:line-rule="auto"/>
        <w:ind w:firstLine="540"/>
        <w:jc w:val="both"/>
      </w:pPr>
      <w:r>
        <w:rPr>
          <w:sz w:val="20"/>
        </w:rPr>
        <w:t xml:space="preserve">а) группа горючести;</w:t>
      </w:r>
    </w:p>
    <w:p>
      <w:pPr>
        <w:pStyle w:val="0"/>
        <w:spacing w:before="200" w:line-rule="auto"/>
        <w:ind w:firstLine="540"/>
        <w:jc w:val="both"/>
      </w:pPr>
      <w:r>
        <w:rPr>
          <w:sz w:val="20"/>
        </w:rPr>
        <w:t xml:space="preserve">б) температура воспламенения;</w:t>
      </w:r>
    </w:p>
    <w:p>
      <w:pPr>
        <w:pStyle w:val="0"/>
        <w:spacing w:before="200" w:line-rule="auto"/>
        <w:ind w:firstLine="540"/>
        <w:jc w:val="both"/>
      </w:pPr>
      <w:r>
        <w:rPr>
          <w:sz w:val="20"/>
        </w:rPr>
        <w:t xml:space="preserve">в) температура самовоспламенения;</w:t>
      </w:r>
    </w:p>
    <w:p>
      <w:pPr>
        <w:pStyle w:val="0"/>
        <w:spacing w:before="200" w:line-rule="auto"/>
        <w:ind w:firstLine="540"/>
        <w:jc w:val="both"/>
      </w:pPr>
      <w:r>
        <w:rPr>
          <w:sz w:val="20"/>
        </w:rPr>
        <w:t xml:space="preserve">г) коэффициент дымообразования;</w:t>
      </w:r>
    </w:p>
    <w:p>
      <w:pPr>
        <w:pStyle w:val="0"/>
        <w:spacing w:before="200" w:line-rule="auto"/>
        <w:ind w:firstLine="540"/>
        <w:jc w:val="both"/>
      </w:pPr>
      <w:r>
        <w:rPr>
          <w:sz w:val="20"/>
        </w:rPr>
        <w:t xml:space="preserve">д) показатель токсичности продуктов горения;</w:t>
      </w:r>
    </w:p>
    <w:p>
      <w:pPr>
        <w:pStyle w:val="0"/>
        <w:spacing w:before="200" w:line-rule="auto"/>
        <w:ind w:firstLine="540"/>
        <w:jc w:val="both"/>
      </w:pPr>
      <w:r>
        <w:rPr>
          <w:sz w:val="20"/>
        </w:rPr>
        <w:t xml:space="preserve">4) для твердых дисперсных веществ:</w:t>
      </w:r>
    </w:p>
    <w:p>
      <w:pPr>
        <w:pStyle w:val="0"/>
        <w:spacing w:before="200" w:line-rule="auto"/>
        <w:ind w:firstLine="540"/>
        <w:jc w:val="both"/>
      </w:pPr>
      <w:r>
        <w:rPr>
          <w:sz w:val="20"/>
        </w:rPr>
        <w:t xml:space="preserve">а) группа горючести;</w:t>
      </w:r>
    </w:p>
    <w:p>
      <w:pPr>
        <w:pStyle w:val="0"/>
        <w:spacing w:before="200" w:line-rule="auto"/>
        <w:ind w:firstLine="540"/>
        <w:jc w:val="both"/>
      </w:pPr>
      <w:r>
        <w:rPr>
          <w:sz w:val="20"/>
        </w:rPr>
        <w:t xml:space="preserve">б) температура самовоспламенения;</w:t>
      </w:r>
    </w:p>
    <w:p>
      <w:pPr>
        <w:pStyle w:val="0"/>
        <w:spacing w:before="200" w:line-rule="auto"/>
        <w:ind w:firstLine="540"/>
        <w:jc w:val="both"/>
      </w:pPr>
      <w:r>
        <w:rPr>
          <w:sz w:val="20"/>
        </w:rPr>
        <w:t xml:space="preserve">в) максимальное давление взрыва;</w:t>
      </w:r>
    </w:p>
    <w:p>
      <w:pPr>
        <w:pStyle w:val="0"/>
        <w:spacing w:before="200" w:line-rule="auto"/>
        <w:ind w:firstLine="540"/>
        <w:jc w:val="both"/>
      </w:pPr>
      <w:r>
        <w:rPr>
          <w:sz w:val="20"/>
        </w:rPr>
        <w:t xml:space="preserve">г) скорость нарастания давления взрыва;</w:t>
      </w:r>
    </w:p>
    <w:p>
      <w:pPr>
        <w:pStyle w:val="0"/>
        <w:spacing w:before="200" w:line-rule="auto"/>
        <w:ind w:firstLine="540"/>
        <w:jc w:val="both"/>
      </w:pPr>
      <w:r>
        <w:rPr>
          <w:sz w:val="20"/>
        </w:rPr>
        <w:t xml:space="preserve">д) индекс взрывоопасности.</w:t>
      </w:r>
    </w:p>
    <w:p>
      <w:pPr>
        <w:pStyle w:val="0"/>
        <w:spacing w:before="200" w:line-rule="auto"/>
        <w:ind w:firstLine="540"/>
        <w:jc w:val="both"/>
      </w:pPr>
      <w:r>
        <w:rPr>
          <w:sz w:val="20"/>
        </w:rPr>
        <w:t xml:space="preserve">4. Необходимость включения дополнительной информации о показателях пожарной опасности определяет разработчик технической документации на вещества и материалы.</w:t>
      </w:r>
    </w:p>
    <w:p>
      <w:pPr>
        <w:pStyle w:val="0"/>
        <w:ind w:firstLine="540"/>
        <w:jc w:val="both"/>
      </w:pPr>
      <w:r>
        <w:rPr>
          <w:sz w:val="20"/>
        </w:rPr>
      </w:r>
    </w:p>
    <w:p>
      <w:pPr>
        <w:pStyle w:val="2"/>
        <w:outlineLvl w:val="3"/>
        <w:ind w:firstLine="540"/>
        <w:jc w:val="both"/>
      </w:pPr>
      <w:r>
        <w:rPr>
          <w:sz w:val="20"/>
        </w:rPr>
        <w:t xml:space="preserve">Статья 134. Требования пожарной безопасности к применению строительных материалов в зданиях и сооружениях</w:t>
      </w:r>
    </w:p>
    <w:p>
      <w:pPr>
        <w:pStyle w:val="0"/>
        <w:jc w:val="both"/>
      </w:pPr>
      <w:r>
        <w:rPr>
          <w:sz w:val="20"/>
        </w:rPr>
        <w:t xml:space="preserve">(в ред. Федерального </w:t>
      </w:r>
      <w:hyperlink w:history="0" r:id="rId44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Строительные материалы применяются в зданиях и сооружениях в зависимости от их функционального назначения и пожарной опасности.</w:t>
      </w:r>
    </w:p>
    <w:p>
      <w:pPr>
        <w:pStyle w:val="0"/>
        <w:jc w:val="both"/>
      </w:pPr>
      <w:r>
        <w:rPr>
          <w:sz w:val="20"/>
        </w:rPr>
        <w:t xml:space="preserve">(в ред. Федерального </w:t>
      </w:r>
      <w:hyperlink w:history="0" r:id="rId44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Требования пожарной безопасности к применению строительных материалов в зданиях и сооружениях устанавливаются применительно к показателям пожарной опасности этих материалов, приведенным в </w:t>
      </w:r>
      <w:hyperlink w:history="0" w:anchor="P3178" w:tooltip="Перечень показателей, необходимых для оценки">
        <w:r>
          <w:rPr>
            <w:sz w:val="20"/>
            <w:color w:val="0000ff"/>
          </w:rPr>
          <w:t xml:space="preserve">таблице 27</w:t>
        </w:r>
      </w:hyperlink>
      <w:r>
        <w:rPr>
          <w:sz w:val="20"/>
        </w:rPr>
        <w:t xml:space="preserve"> приложения к настоящему Федеральному закону.</w:t>
      </w:r>
    </w:p>
    <w:p>
      <w:pPr>
        <w:pStyle w:val="0"/>
        <w:jc w:val="both"/>
      </w:pPr>
      <w:r>
        <w:rPr>
          <w:sz w:val="20"/>
        </w:rPr>
        <w:t xml:space="preserve">(в ред. Федерального </w:t>
      </w:r>
      <w:hyperlink w:history="0" r:id="rId44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Техническая документация на строительные материалы должна содержать информацию о показателях пожарной опасности этих материалов, приведенных в </w:t>
      </w:r>
      <w:hyperlink w:history="0" w:anchor="P3178" w:tooltip="Перечень показателей, необходимых для оценки">
        <w:r>
          <w:rPr>
            <w:sz w:val="20"/>
            <w:color w:val="0000ff"/>
          </w:rPr>
          <w:t xml:space="preserve">таблице 27</w:t>
        </w:r>
      </w:hyperlink>
      <w:r>
        <w:rPr>
          <w:sz w:val="20"/>
        </w:rPr>
        <w:t xml:space="preserve"> приложения к настоящему Федеральному закону, а также о мерах пожарной безопасности при обращении с ними.</w:t>
      </w:r>
    </w:p>
    <w:p>
      <w:pPr>
        <w:pStyle w:val="0"/>
        <w:spacing w:before="200" w:line-rule="auto"/>
        <w:ind w:firstLine="540"/>
        <w:jc w:val="both"/>
      </w:pPr>
      <w:r>
        <w:rPr>
          <w:sz w:val="20"/>
        </w:rPr>
        <w:t xml:space="preserve">4. В помещениях зданий класса Ф5 категорий А, Б и В1, в которых производятся, применяются или хранятся легковоспламеняющиеся жидкости, не допускается применять материалы для покрытия полов с более высокими показателями пожарной опасности, чем В1, Д2, Т2, РП1.</w:t>
      </w:r>
    </w:p>
    <w:p>
      <w:pPr>
        <w:pStyle w:val="0"/>
        <w:jc w:val="both"/>
      </w:pPr>
      <w:r>
        <w:rPr>
          <w:sz w:val="20"/>
        </w:rPr>
        <w:t xml:space="preserve">(в ред. Федеральных законов от 29.07.2017 </w:t>
      </w:r>
      <w:hyperlink w:history="0" r:id="rId444"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244-ФЗ</w:t>
        </w:r>
      </w:hyperlink>
      <w:r>
        <w:rPr>
          <w:sz w:val="20"/>
        </w:rPr>
        <w:t xml:space="preserve">, от 14.07.2022 </w:t>
      </w:r>
      <w:hyperlink w:history="0" r:id="rId44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5. Каркасы подвесных потолков в помещениях и на путях эвакуации следует выполнять из негорючих материалов. Окрашенные лакокрасочными покрытиями каркасы из негорючих материалов должны иметь группу горючести НГ или Г1.</w:t>
      </w:r>
    </w:p>
    <w:p>
      <w:pPr>
        <w:pStyle w:val="0"/>
        <w:jc w:val="both"/>
      </w:pPr>
      <w:r>
        <w:rPr>
          <w:sz w:val="20"/>
        </w:rPr>
        <w:t xml:space="preserve">(в ред. Федерального </w:t>
      </w:r>
      <w:hyperlink w:history="0" r:id="rId44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6. Область применения декоративно-отделочных, облицовочных материалов и покрытий полов на путях эвакуации и в зальных помещениях (за исключением покрытий полов спортивных арен спортивных сооружений и полов танцевальных залов) в зданиях различных функционального назначения, этажности и вместимости приведена в </w:t>
      </w:r>
      <w:hyperlink w:history="0" w:anchor="P3226" w:tooltip="Область применения декоративно-отделочных, облицовочных">
        <w:r>
          <w:rPr>
            <w:sz w:val="20"/>
            <w:color w:val="0000ff"/>
          </w:rPr>
          <w:t xml:space="preserve">таблицах 28</w:t>
        </w:r>
      </w:hyperlink>
      <w:r>
        <w:rPr>
          <w:sz w:val="20"/>
        </w:rPr>
        <w:t xml:space="preserve"> и </w:t>
      </w:r>
      <w:hyperlink w:history="0" w:anchor="P3264" w:tooltip="Область применения декоративно-отделочных, облицовочных">
        <w:r>
          <w:rPr>
            <w:sz w:val="20"/>
            <w:color w:val="0000ff"/>
          </w:rPr>
          <w:t xml:space="preserve">29</w:t>
        </w:r>
      </w:hyperlink>
      <w:r>
        <w:rPr>
          <w:sz w:val="20"/>
        </w:rPr>
        <w:t xml:space="preserve"> приложения к настоящему Федеральному закону. Показатели пожарной опасности декоративно-отделочных, облицовочных материалов и покрытий полов в зданиях V степени огнестойкости и зданиях класса конструктивной пожарной опасности С3 не регламентируются.</w:t>
      </w:r>
    </w:p>
    <w:p>
      <w:pPr>
        <w:pStyle w:val="0"/>
        <w:jc w:val="both"/>
      </w:pPr>
      <w:r>
        <w:rPr>
          <w:sz w:val="20"/>
        </w:rPr>
        <w:t xml:space="preserve">(в ред. Федеральных законов от 10.07.2012 </w:t>
      </w:r>
      <w:hyperlink w:history="0" r:id="rId44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14.07.2022 </w:t>
      </w:r>
      <w:hyperlink w:history="0" r:id="rId44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7. В спальных и палатных помещениях, а также в помещениях зданий дошкольных образовательных организаций класса функциональной пожарной опасности Ф1.1 не допускается применять декоративно-отделочные материалы с более высокими показателями пожарной опасности, чем Г1, В2, Д2, Т2, и покрытия полов с более высокими показателями пожарной опасности, чем В2, Д2, Т2, РП1.</w:t>
      </w:r>
    </w:p>
    <w:p>
      <w:pPr>
        <w:pStyle w:val="0"/>
        <w:jc w:val="both"/>
      </w:pPr>
      <w:r>
        <w:rPr>
          <w:sz w:val="20"/>
        </w:rPr>
        <w:t xml:space="preserve">(в ред. Федеральных законов от 02.07.2013 </w:t>
      </w:r>
      <w:hyperlink w:history="0" r:id="rId449"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14.07.2022 </w:t>
      </w:r>
      <w:hyperlink w:history="0" r:id="rId45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8. Для отделки стен и потолков залов детских дошкольных образовательных организаций, предусмотренных для проведения музыкальных и физкультурных занятий, не допускается применять материалы с более высокими показателями пожарной опасности, чем Г1, В1, Д2, Т2.</w:t>
      </w:r>
    </w:p>
    <w:p>
      <w:pPr>
        <w:pStyle w:val="0"/>
        <w:jc w:val="both"/>
      </w:pPr>
      <w:r>
        <w:rPr>
          <w:sz w:val="20"/>
        </w:rPr>
        <w:t xml:space="preserve">(часть 8 в ред. Федерального </w:t>
      </w:r>
      <w:hyperlink w:history="0" r:id="rId45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9 - 10. Утратили силу. - Федеральный </w:t>
      </w:r>
      <w:hyperlink w:history="0" r:id="rId45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spacing w:before="200" w:line-rule="auto"/>
        <w:ind w:firstLine="540"/>
        <w:jc w:val="both"/>
      </w:pPr>
      <w:r>
        <w:rPr>
          <w:sz w:val="20"/>
        </w:rPr>
        <w:t xml:space="preserve">11. В операционных и реанимационных помещениях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w:t>
      </w:r>
    </w:p>
    <w:p>
      <w:pPr>
        <w:pStyle w:val="0"/>
        <w:jc w:val="both"/>
      </w:pPr>
      <w:r>
        <w:rPr>
          <w:sz w:val="20"/>
        </w:rPr>
        <w:t xml:space="preserve">(в ред. Федерального </w:t>
      </w:r>
      <w:hyperlink w:history="0" r:id="rId45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12. В жилых помещениях зданий класса функциональной пожарной опасности Ф1.2 не допускается применять материалы для отделки стен, потолков и заполнения подвесных потолков с более высокими показателями пожарной опасности, чем Г3, В2, Д3, Т3, и материалы для покрытия пола с более высокими показателями пожарной опасности, чем В2, Д3, Т3, РП2.</w:t>
      </w:r>
    </w:p>
    <w:p>
      <w:pPr>
        <w:pStyle w:val="0"/>
        <w:jc w:val="both"/>
      </w:pPr>
      <w:r>
        <w:rPr>
          <w:sz w:val="20"/>
        </w:rPr>
        <w:t xml:space="preserve">(в ред. Федерального </w:t>
      </w:r>
      <w:hyperlink w:history="0" r:id="rId45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13. В гардеробных помещениях зданий класса функциональной пожарной опасности Ф2.1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В1, Д2, Т2, и материалы для покрытия пола с более высокими показателями пожарной опасности, чем В2, Д2, Т2, РП1.</w:t>
      </w:r>
    </w:p>
    <w:p>
      <w:pPr>
        <w:pStyle w:val="0"/>
        <w:jc w:val="both"/>
      </w:pPr>
      <w:r>
        <w:rPr>
          <w:sz w:val="20"/>
        </w:rPr>
        <w:t xml:space="preserve">(в ред. Федерального </w:t>
      </w:r>
      <w:hyperlink w:history="0" r:id="rId45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14. В читальных залах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w:t>
      </w:r>
    </w:p>
    <w:p>
      <w:pPr>
        <w:pStyle w:val="0"/>
        <w:jc w:val="both"/>
      </w:pPr>
      <w:r>
        <w:rPr>
          <w:sz w:val="20"/>
        </w:rPr>
        <w:t xml:space="preserve">(в ред. Федерального </w:t>
      </w:r>
      <w:hyperlink w:history="0" r:id="rId45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15. Для отделки стен и потолков помещений книгохранилищ и архивов, в том числе помещений, в которых содержатся служебные каталоги и описи, не допускается применять материалы с более высокими показателями пожарной опасности, чем Г1, В1, Д2, Т2.</w:t>
      </w:r>
    </w:p>
    <w:p>
      <w:pPr>
        <w:pStyle w:val="0"/>
        <w:jc w:val="both"/>
      </w:pPr>
      <w:r>
        <w:rPr>
          <w:sz w:val="20"/>
        </w:rPr>
        <w:t xml:space="preserve">(часть 15 в ред. Федерального </w:t>
      </w:r>
      <w:hyperlink w:history="0" r:id="rId45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16. В демонстрационных залах помещений зданий класса функциональной пожарной опасности Ф2.2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w:t>
      </w:r>
    </w:p>
    <w:p>
      <w:pPr>
        <w:pStyle w:val="0"/>
        <w:jc w:val="both"/>
      </w:pPr>
      <w:r>
        <w:rPr>
          <w:sz w:val="20"/>
        </w:rPr>
        <w:t xml:space="preserve">(в ред. Федерального </w:t>
      </w:r>
      <w:hyperlink w:history="0" r:id="rId45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17. Утратил силу. - Федеральный </w:t>
      </w:r>
      <w:hyperlink w:history="0" r:id="rId45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spacing w:before="200" w:line-rule="auto"/>
        <w:ind w:firstLine="540"/>
        <w:jc w:val="both"/>
      </w:pPr>
      <w:r>
        <w:rPr>
          <w:sz w:val="20"/>
        </w:rPr>
        <w:t xml:space="preserve">18. В торговых залах зданий класса функциональной пожарной опасности Ф3.1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w:t>
      </w:r>
    </w:p>
    <w:p>
      <w:pPr>
        <w:pStyle w:val="0"/>
        <w:jc w:val="both"/>
      </w:pPr>
      <w:r>
        <w:rPr>
          <w:sz w:val="20"/>
        </w:rPr>
        <w:t xml:space="preserve">(в ред. Федерального </w:t>
      </w:r>
      <w:hyperlink w:history="0" r:id="rId46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19. В залах ожидания зданий класса функциональной пожарной опасности Ф3.3 отделка стен, потолков, заполнение подвесных потолков и покрытие пола должны выполняться из негорючих материалов.</w:t>
      </w:r>
    </w:p>
    <w:p>
      <w:pPr>
        <w:pStyle w:val="0"/>
        <w:jc w:val="both"/>
      </w:pPr>
      <w:r>
        <w:rPr>
          <w:sz w:val="20"/>
        </w:rPr>
        <w:t xml:space="preserve">(в ред. Федерального </w:t>
      </w:r>
      <w:hyperlink w:history="0" r:id="rId46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20. Утратил силу. - Федеральный </w:t>
      </w:r>
      <w:hyperlink w:history="0" r:id="rId46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135. Требования пожарной безопасности к применению текстильных и кожевенных материалов, к информации об их пожарной опасности</w:t>
      </w:r>
    </w:p>
    <w:p>
      <w:pPr>
        <w:pStyle w:val="0"/>
        <w:ind w:firstLine="540"/>
        <w:jc w:val="both"/>
      </w:pPr>
      <w:r>
        <w:rPr>
          <w:sz w:val="20"/>
        </w:rPr>
      </w:r>
    </w:p>
    <w:p>
      <w:pPr>
        <w:pStyle w:val="0"/>
        <w:ind w:firstLine="540"/>
        <w:jc w:val="both"/>
      </w:pPr>
      <w:r>
        <w:rPr>
          <w:sz w:val="20"/>
        </w:rPr>
        <w:t xml:space="preserve">1. Текстильные и кожевенные материалы применяются в зависимости от функционального назначения и пожарной опасности здания, сооружения или функционального назначения изделий, для изготовления которых используются данные материалы.</w:t>
      </w:r>
    </w:p>
    <w:p>
      <w:pPr>
        <w:pStyle w:val="0"/>
        <w:jc w:val="both"/>
      </w:pPr>
      <w:r>
        <w:rPr>
          <w:sz w:val="20"/>
        </w:rPr>
        <w:t xml:space="preserve">(в ред. Федерального </w:t>
      </w:r>
      <w:hyperlink w:history="0" r:id="rId46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Утратил силу. - Федеральный </w:t>
      </w:r>
      <w:hyperlink w:history="0" r:id="rId46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spacing w:before="200" w:line-rule="auto"/>
        <w:ind w:firstLine="540"/>
        <w:jc w:val="both"/>
      </w:pPr>
      <w:r>
        <w:rPr>
          <w:sz w:val="20"/>
        </w:rPr>
        <w:t xml:space="preserve">3. </w:t>
      </w:r>
      <w:hyperlink w:history="0" r:id="rId465"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 {КонсультантПлюс}">
        <w:r>
          <w:rPr>
            <w:sz w:val="20"/>
            <w:color w:val="0000ff"/>
          </w:rPr>
          <w:t xml:space="preserve">Методы</w:t>
        </w:r>
      </w:hyperlink>
      <w:r>
        <w:rPr>
          <w:sz w:val="20"/>
        </w:rPr>
        <w:t xml:space="preserve"> определения классификационных признаков устойчивости материалов специальной защитной одежды к воздействию открытого пламени устанавливаются нормативными документами по пожарной безопасности.</w:t>
      </w:r>
    </w:p>
    <w:p>
      <w:pPr>
        <w:pStyle w:val="0"/>
        <w:spacing w:before="200" w:line-rule="auto"/>
        <w:ind w:firstLine="540"/>
        <w:jc w:val="both"/>
      </w:pPr>
      <w:r>
        <w:rPr>
          <w:sz w:val="20"/>
        </w:rPr>
        <w:t xml:space="preserve">4. В сопроводительных документах к текстильным и кожевенным материалам необходимо указывать информацию об их пожарной опасности и применении в зданиях и сооружениях или изделиях различного функционального назначения в соответствии с показателями, указанными в </w:t>
      </w:r>
      <w:hyperlink w:history="0" w:anchor="P3303" w:tooltip="Перечень показателей, необходимых для оценки">
        <w:r>
          <w:rPr>
            <w:sz w:val="20"/>
            <w:color w:val="0000ff"/>
          </w:rPr>
          <w:t xml:space="preserve">таблице 30</w:t>
        </w:r>
      </w:hyperlink>
      <w:r>
        <w:rPr>
          <w:sz w:val="20"/>
        </w:rPr>
        <w:t xml:space="preserve"> приложения к настоящему Федеральному закону.</w:t>
      </w:r>
    </w:p>
    <w:p>
      <w:pPr>
        <w:pStyle w:val="0"/>
        <w:jc w:val="both"/>
      </w:pPr>
      <w:r>
        <w:rPr>
          <w:sz w:val="20"/>
        </w:rPr>
        <w:t xml:space="preserve">(в ред. Федерального </w:t>
      </w:r>
      <w:hyperlink w:history="0" r:id="rId46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136. Утратила силу. - Федеральный </w:t>
      </w:r>
      <w:hyperlink w:history="0" r:id="rId46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ind w:firstLine="540"/>
        <w:jc w:val="both"/>
      </w:pPr>
      <w:r>
        <w:rPr>
          <w:sz w:val="20"/>
        </w:rPr>
      </w:r>
    </w:p>
    <w:p>
      <w:pPr>
        <w:pStyle w:val="2"/>
        <w:outlineLvl w:val="2"/>
        <w:jc w:val="center"/>
      </w:pPr>
      <w:r>
        <w:rPr>
          <w:sz w:val="20"/>
        </w:rPr>
        <w:t xml:space="preserve">Глава 31. ТРЕБОВАНИЯ ПОЖАРНОЙ БЕЗОПАСНОСТИ</w:t>
      </w:r>
    </w:p>
    <w:p>
      <w:pPr>
        <w:pStyle w:val="2"/>
        <w:jc w:val="center"/>
      </w:pPr>
      <w:r>
        <w:rPr>
          <w:sz w:val="20"/>
        </w:rPr>
        <w:t xml:space="preserve">К СТРОИТЕЛЬНЫМ КОНСТРУКЦИЯМ И ИНЖЕНЕРНОМУ ОБОРУДОВАНИЮ</w:t>
      </w:r>
    </w:p>
    <w:p>
      <w:pPr>
        <w:pStyle w:val="2"/>
        <w:jc w:val="center"/>
      </w:pPr>
      <w:r>
        <w:rPr>
          <w:sz w:val="20"/>
        </w:rPr>
        <w:t xml:space="preserve">ЗДАНИЙ И СООРУЖЕНИЙ</w:t>
      </w:r>
    </w:p>
    <w:p>
      <w:pPr>
        <w:pStyle w:val="0"/>
        <w:jc w:val="center"/>
      </w:pPr>
      <w:r>
        <w:rPr>
          <w:sz w:val="20"/>
        </w:rPr>
        <w:t xml:space="preserve">(в ред. Федерального </w:t>
      </w:r>
      <w:hyperlink w:history="0" r:id="rId46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137. Требования пожарной безопасности к строительным конструкциям</w:t>
      </w:r>
    </w:p>
    <w:p>
      <w:pPr>
        <w:pStyle w:val="0"/>
        <w:ind w:firstLine="540"/>
        <w:jc w:val="both"/>
      </w:pPr>
      <w:r>
        <w:rPr>
          <w:sz w:val="20"/>
        </w:rPr>
      </w:r>
    </w:p>
    <w:p>
      <w:pPr>
        <w:pStyle w:val="0"/>
        <w:ind w:firstLine="540"/>
        <w:jc w:val="both"/>
      </w:pPr>
      <w:r>
        <w:rPr>
          <w:sz w:val="20"/>
        </w:rPr>
        <w:t xml:space="preserve">1. Конструктивное исполнение строительных элементов зданий, сооружений не должно являться причиной скрытого распространения горения по зданию, сооружению.</w:t>
      </w:r>
    </w:p>
    <w:p>
      <w:pPr>
        <w:pStyle w:val="0"/>
        <w:jc w:val="both"/>
      </w:pPr>
      <w:r>
        <w:rPr>
          <w:sz w:val="20"/>
        </w:rPr>
        <w:t xml:space="preserve">(в ред. Федерального </w:t>
      </w:r>
      <w:hyperlink w:history="0" r:id="rId46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Предел огнестойкости узлов крепления и сочленения строительных конструкций между собой должен быть не менее минимального требуемого предела огнестойкости стыкуемых строительных элементов.</w:t>
      </w:r>
    </w:p>
    <w:p>
      <w:pPr>
        <w:pStyle w:val="0"/>
        <w:spacing w:before="200" w:line-rule="auto"/>
        <w:ind w:firstLine="540"/>
        <w:jc w:val="both"/>
      </w:pPr>
      <w:r>
        <w:rPr>
          <w:sz w:val="20"/>
        </w:rPr>
        <w:t xml:space="preserve">3. Конструктивные элементы, образующие уклон пола в помещениях зданий, сооружений класса функциональной опасности Ф2, должны соответствовать требованиям, предъявляемым к междуэтажным перекрытиям этих зданий.</w:t>
      </w:r>
    </w:p>
    <w:p>
      <w:pPr>
        <w:pStyle w:val="0"/>
        <w:jc w:val="both"/>
      </w:pPr>
      <w:r>
        <w:rPr>
          <w:sz w:val="20"/>
        </w:rPr>
        <w:t xml:space="preserve">(в ред. Федерального </w:t>
      </w:r>
      <w:hyperlink w:history="0" r:id="rId47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4. Узлы пересечения ограждающих строительных конструкций кабелями, трубопроводами и другим технологическим оборудованием должны иметь предел огнестойкости не ниже требуемых пределов, установленных для этих конструкций.</w:t>
      </w:r>
    </w:p>
    <w:p>
      <w:pPr>
        <w:pStyle w:val="0"/>
        <w:spacing w:before="200" w:line-rule="auto"/>
        <w:ind w:firstLine="540"/>
        <w:jc w:val="both"/>
      </w:pPr>
      <w:r>
        <w:rPr>
          <w:sz w:val="20"/>
        </w:rPr>
        <w:t xml:space="preserve">5. Противопожарные перегородки в помещениях с подвесными потолками должны разделять пространство над ними.</w:t>
      </w:r>
    </w:p>
    <w:p>
      <w:pPr>
        <w:pStyle w:val="0"/>
        <w:spacing w:before="200" w:line-rule="auto"/>
        <w:ind w:firstLine="540"/>
        <w:jc w:val="both"/>
      </w:pPr>
      <w:r>
        <w:rPr>
          <w:sz w:val="20"/>
        </w:rPr>
        <w:t xml:space="preserve">6. В пространстве над подвесными потолками не допускается предусматривать размещение каналов и трубопроводов для транспортирования горючих газов, пылевоздушных смесей, жидких и твердых материалов.</w:t>
      </w:r>
    </w:p>
    <w:p>
      <w:pPr>
        <w:pStyle w:val="0"/>
        <w:spacing w:before="200" w:line-rule="auto"/>
        <w:ind w:firstLine="540"/>
        <w:jc w:val="both"/>
      </w:pPr>
      <w:r>
        <w:rPr>
          <w:sz w:val="20"/>
        </w:rPr>
        <w:t xml:space="preserve">7. Подвесные потолки не допускается предусматривать в помещениях категорий А и Б по пожаровзрывоопасности и пожарной опасности.</w:t>
      </w:r>
    </w:p>
    <w:p>
      <w:pPr>
        <w:pStyle w:val="0"/>
        <w:ind w:firstLine="540"/>
        <w:jc w:val="both"/>
      </w:pPr>
      <w:r>
        <w:rPr>
          <w:sz w:val="20"/>
        </w:rPr>
      </w:r>
    </w:p>
    <w:p>
      <w:pPr>
        <w:pStyle w:val="2"/>
        <w:outlineLvl w:val="3"/>
        <w:ind w:firstLine="540"/>
        <w:jc w:val="both"/>
      </w:pPr>
      <w:r>
        <w:rPr>
          <w:sz w:val="20"/>
        </w:rPr>
        <w:t xml:space="preserve">Статья 138. Утратила силу. - Федеральный </w:t>
      </w:r>
      <w:hyperlink w:history="0" r:id="rId47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ind w:firstLine="540"/>
        <w:jc w:val="both"/>
      </w:pPr>
      <w:r>
        <w:rPr>
          <w:sz w:val="20"/>
        </w:rPr>
      </w:r>
    </w:p>
    <w:p>
      <w:pPr>
        <w:pStyle w:val="2"/>
        <w:outlineLvl w:val="3"/>
        <w:ind w:firstLine="540"/>
        <w:jc w:val="both"/>
      </w:pPr>
      <w:r>
        <w:rPr>
          <w:sz w:val="20"/>
        </w:rPr>
        <w:t xml:space="preserve">Статья 139. Требования пожарной безопасности к конструкциям и оборудованию систем мусороудаления</w:t>
      </w:r>
    </w:p>
    <w:p>
      <w:pPr>
        <w:pStyle w:val="0"/>
        <w:ind w:firstLine="540"/>
        <w:jc w:val="both"/>
      </w:pPr>
      <w:r>
        <w:rPr>
          <w:sz w:val="20"/>
        </w:rPr>
      </w:r>
    </w:p>
    <w:p>
      <w:pPr>
        <w:pStyle w:val="0"/>
        <w:ind w:firstLine="540"/>
        <w:jc w:val="both"/>
      </w:pPr>
      <w:r>
        <w:rPr>
          <w:sz w:val="20"/>
        </w:rPr>
        <w:t xml:space="preserve">1. Стволы систем мусороудаления должны изготавливаться из негорючих материалов и обеспечивать требуемые пределы огнестойкости и сопротивления дымогазопроницанию.</w:t>
      </w:r>
    </w:p>
    <w:p>
      <w:pPr>
        <w:pStyle w:val="0"/>
        <w:jc w:val="both"/>
      </w:pPr>
      <w:r>
        <w:rPr>
          <w:sz w:val="20"/>
        </w:rPr>
        <w:t xml:space="preserve">(в ред. Федерального </w:t>
      </w:r>
      <w:hyperlink w:history="0" r:id="rId47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Загрузочные клапаны стволов мусороудаления должны выполняться из негорючих материалов и обеспечивать минимально необходимые значения сопротивления дымогазопроницанию. Для уплотнения загрузочных клапанов допускается применение материалов группы горючести не ниже Г2.</w:t>
      </w:r>
    </w:p>
    <w:p>
      <w:pPr>
        <w:pStyle w:val="0"/>
        <w:spacing w:before="200" w:line-rule="auto"/>
        <w:ind w:firstLine="540"/>
        <w:jc w:val="both"/>
      </w:pPr>
      <w:r>
        <w:rPr>
          <w:sz w:val="20"/>
        </w:rPr>
        <w:t xml:space="preserve">3. Шиберы стволов мусороудаления, устанавливаемые в мусоросборных камерах, должны оснащаться приводами самозакрывания при пожаре. Требуемые пределы огнестойкости шиберов должны быть не менее пределов, установленных для стволов мусороудаления.</w:t>
      </w:r>
    </w:p>
    <w:p>
      <w:pPr>
        <w:pStyle w:val="0"/>
        <w:ind w:firstLine="540"/>
        <w:jc w:val="both"/>
      </w:pPr>
      <w:r>
        <w:rPr>
          <w:sz w:val="20"/>
        </w:rPr>
      </w:r>
    </w:p>
    <w:p>
      <w:pPr>
        <w:pStyle w:val="2"/>
        <w:outlineLvl w:val="3"/>
        <w:ind w:firstLine="540"/>
        <w:jc w:val="both"/>
      </w:pPr>
      <w:r>
        <w:rPr>
          <w:sz w:val="20"/>
        </w:rPr>
        <w:t xml:space="preserve">Статья 140. Требования пожарной безопасности к лифтам</w:t>
      </w:r>
    </w:p>
    <w:p>
      <w:pPr>
        <w:pStyle w:val="0"/>
        <w:ind w:firstLine="540"/>
        <w:jc w:val="both"/>
      </w:pPr>
      <w:r>
        <w:rPr>
          <w:sz w:val="20"/>
        </w:rPr>
      </w:r>
    </w:p>
    <w:p>
      <w:pPr>
        <w:pStyle w:val="0"/>
        <w:ind w:firstLine="540"/>
        <w:jc w:val="both"/>
      </w:pPr>
      <w:r>
        <w:rPr>
          <w:sz w:val="20"/>
        </w:rPr>
        <w:t xml:space="preserve">1. Утратил силу. - Федеральный </w:t>
      </w:r>
      <w:hyperlink w:history="0" r:id="rId473"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29.07.2017 N 244-ФЗ.</w:t>
      </w:r>
    </w:p>
    <w:p>
      <w:pPr>
        <w:pStyle w:val="0"/>
        <w:spacing w:before="200" w:line-rule="auto"/>
        <w:ind w:firstLine="540"/>
        <w:jc w:val="both"/>
      </w:pPr>
      <w:r>
        <w:rPr>
          <w:sz w:val="20"/>
        </w:rPr>
        <w:t xml:space="preserve">2. При выходе из лифтов в коридор, лифтовый холл или тамбур, не отвечающий требованиям, предъявляемым к тамбур-шлюзам 1-го типа, двери шахт лифтов должны иметь предел огнестойкости не ниже чем EI30 (в зданиях высотой не более 28 метров допускается применять двери шахт лифтов, имеющие предел огнестойкости E30). При выходе из лифтов в коридор, лифтовый холл или тамбур, отвечающий требованиям, предъявляемым к тамбур-шлюзам 1-го типа, и при выходе из лифтов на лестничную клетку предел огнестойкости дверей шахт лифтов не нормируется. Условия размещения лифтовых шахт в объемах лестничных клеток определяются нормативными документами по пожарной безопасности.</w:t>
      </w:r>
    </w:p>
    <w:p>
      <w:pPr>
        <w:pStyle w:val="0"/>
        <w:jc w:val="both"/>
      </w:pPr>
      <w:r>
        <w:rPr>
          <w:sz w:val="20"/>
        </w:rPr>
        <w:t xml:space="preserve">(в ред. Федерального </w:t>
      </w:r>
      <w:hyperlink w:history="0" r:id="rId47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3 - 4. Утратили силу. - Федеральный </w:t>
      </w:r>
      <w:hyperlink w:history="0" r:id="rId475"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29.07.2017 N 244-ФЗ.</w:t>
      </w:r>
    </w:p>
    <w:p>
      <w:pPr>
        <w:pStyle w:val="0"/>
        <w:ind w:firstLine="540"/>
        <w:jc w:val="both"/>
      </w:pPr>
      <w:r>
        <w:rPr>
          <w:sz w:val="20"/>
        </w:rPr>
      </w:r>
    </w:p>
    <w:p>
      <w:pPr>
        <w:pStyle w:val="2"/>
        <w:outlineLvl w:val="2"/>
        <w:jc w:val="center"/>
      </w:pPr>
      <w:r>
        <w:rPr>
          <w:sz w:val="20"/>
        </w:rPr>
        <w:t xml:space="preserve">Глава 32. ТРЕБОВАНИЯ ПОЖАРНОЙ БЕЗОПАСНОСТИ</w:t>
      </w:r>
    </w:p>
    <w:p>
      <w:pPr>
        <w:pStyle w:val="2"/>
        <w:jc w:val="center"/>
      </w:pPr>
      <w:r>
        <w:rPr>
          <w:sz w:val="20"/>
        </w:rPr>
        <w:t xml:space="preserve">К ЭЛЕКТРОТЕХНИЧЕСКОЙ ПРОДУКЦИИ</w:t>
      </w:r>
    </w:p>
    <w:p>
      <w:pPr>
        <w:pStyle w:val="2"/>
        <w:jc w:val="center"/>
      </w:pPr>
      <w:r>
        <w:rPr>
          <w:sz w:val="20"/>
        </w:rPr>
        <w:t xml:space="preserve">(СТАТЬИ 141 - 143)</w:t>
      </w:r>
    </w:p>
    <w:p>
      <w:pPr>
        <w:pStyle w:val="0"/>
        <w:ind w:firstLine="540"/>
        <w:jc w:val="both"/>
      </w:pPr>
      <w:r>
        <w:rPr>
          <w:sz w:val="20"/>
        </w:rPr>
      </w:r>
    </w:p>
    <w:p>
      <w:pPr>
        <w:pStyle w:val="0"/>
        <w:ind w:firstLine="540"/>
        <w:jc w:val="both"/>
      </w:pPr>
      <w:r>
        <w:rPr>
          <w:sz w:val="20"/>
        </w:rPr>
        <w:t xml:space="preserve">Утратила силу. - Федеральный </w:t>
      </w:r>
      <w:hyperlink w:history="0" r:id="rId476"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29.07.2017 N 244-ФЗ.</w:t>
      </w:r>
    </w:p>
    <w:p>
      <w:pPr>
        <w:pStyle w:val="0"/>
        <w:ind w:firstLine="540"/>
        <w:jc w:val="both"/>
      </w:pPr>
      <w:r>
        <w:rPr>
          <w:sz w:val="20"/>
        </w:rPr>
      </w:r>
    </w:p>
    <w:p>
      <w:pPr>
        <w:pStyle w:val="2"/>
        <w:outlineLvl w:val="1"/>
        <w:jc w:val="center"/>
      </w:pPr>
      <w:r>
        <w:rPr>
          <w:sz w:val="20"/>
        </w:rPr>
        <w:t xml:space="preserve">Раздел VII. ОЦЕНКА СООТВЕТСТВИЯ ОБЪЕКТОВ ЗАЩИТЫ (ПРОДУКЦИИ)</w:t>
      </w:r>
    </w:p>
    <w:p>
      <w:pPr>
        <w:pStyle w:val="2"/>
        <w:jc w:val="center"/>
      </w:pPr>
      <w:r>
        <w:rPr>
          <w:sz w:val="20"/>
        </w:rPr>
        <w:t xml:space="preserve">ТРЕБОВАНИЯМ ПОЖАРНОЙ БЕЗОПАСНОСТИ</w:t>
      </w:r>
    </w:p>
    <w:p>
      <w:pPr>
        <w:pStyle w:val="0"/>
        <w:jc w:val="center"/>
      </w:pPr>
      <w:r>
        <w:rPr>
          <w:sz w:val="20"/>
        </w:rPr>
      </w:r>
    </w:p>
    <w:p>
      <w:pPr>
        <w:pStyle w:val="2"/>
        <w:outlineLvl w:val="2"/>
        <w:jc w:val="center"/>
      </w:pPr>
      <w:r>
        <w:rPr>
          <w:sz w:val="20"/>
        </w:rPr>
        <w:t xml:space="preserve">Глава 33. ОЦЕНКА СООТВЕТСТВИЯ ОБЪЕКТОВ ЗАЩИТЫ (ПРОДУКЦИИ)</w:t>
      </w:r>
    </w:p>
    <w:p>
      <w:pPr>
        <w:pStyle w:val="2"/>
        <w:jc w:val="center"/>
      </w:pPr>
      <w:r>
        <w:rPr>
          <w:sz w:val="20"/>
        </w:rPr>
        <w:t xml:space="preserve">ТРЕБОВАНИЯМ ПОЖАРНОЙ БЕЗОПАСНОСТИ</w:t>
      </w:r>
    </w:p>
    <w:p>
      <w:pPr>
        <w:pStyle w:val="0"/>
        <w:ind w:firstLine="540"/>
        <w:jc w:val="both"/>
      </w:pPr>
      <w:r>
        <w:rPr>
          <w:sz w:val="20"/>
        </w:rPr>
      </w:r>
    </w:p>
    <w:p>
      <w:pPr>
        <w:pStyle w:val="2"/>
        <w:outlineLvl w:val="3"/>
        <w:ind w:firstLine="540"/>
        <w:jc w:val="both"/>
      </w:pPr>
      <w:r>
        <w:rPr>
          <w:sz w:val="20"/>
        </w:rPr>
        <w:t xml:space="preserve">Статья 144. Формы оценки соответствия объектов защиты (продукции) требованиям пожарной безопасности</w:t>
      </w:r>
    </w:p>
    <w:p>
      <w:pPr>
        <w:pStyle w:val="0"/>
        <w:ind w:firstLine="540"/>
        <w:jc w:val="both"/>
      </w:pPr>
      <w:r>
        <w:rPr>
          <w:sz w:val="20"/>
        </w:rPr>
      </w:r>
    </w:p>
    <w:p>
      <w:pPr>
        <w:pStyle w:val="0"/>
        <w:ind w:firstLine="540"/>
        <w:jc w:val="both"/>
      </w:pPr>
      <w:r>
        <w:rPr>
          <w:sz w:val="20"/>
        </w:rPr>
        <w:t xml:space="preserve">1. Оценка соответствия объектов защиты (продукции), организаций, осуществляющих подтверждение соответствия процессов проектирования, производства, строительства, монтажа, наладки, эксплуатации, хранения, перевозки, реализации и утилизации, требованиям пожарной безопасности, установленным техническими регламентами, принятыми в соответствии с Федеральным </w:t>
      </w:r>
      <w:hyperlink w:history="0" r:id="rId477"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 техническом регулировании", нормативными документами по пожарной безопасности, и условиям договоров проводится в формах:</w:t>
      </w:r>
    </w:p>
    <w:p>
      <w:pPr>
        <w:pStyle w:val="0"/>
        <w:jc w:val="both"/>
      </w:pPr>
      <w:r>
        <w:rPr>
          <w:sz w:val="20"/>
        </w:rPr>
        <w:t xml:space="preserve">(в ред. Федерального </w:t>
      </w:r>
      <w:hyperlink w:history="0" r:id="rId47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 аккредитации;</w:t>
      </w:r>
    </w:p>
    <w:p>
      <w:pPr>
        <w:pStyle w:val="0"/>
        <w:spacing w:before="200" w:line-rule="auto"/>
        <w:ind w:firstLine="540"/>
        <w:jc w:val="both"/>
      </w:pPr>
      <w:r>
        <w:rPr>
          <w:sz w:val="20"/>
        </w:rPr>
        <w:t xml:space="preserve">2) независимой оценки пожарного риска (аудита пожарной безопасности);</w:t>
      </w:r>
    </w:p>
    <w:p>
      <w:pPr>
        <w:pStyle w:val="0"/>
        <w:spacing w:before="200" w:line-rule="auto"/>
        <w:ind w:firstLine="540"/>
        <w:jc w:val="both"/>
      </w:pPr>
      <w:r>
        <w:rPr>
          <w:sz w:val="20"/>
        </w:rPr>
        <w:t xml:space="preserve">3) федерального государственного пожарного надзора;</w:t>
      </w:r>
    </w:p>
    <w:p>
      <w:pPr>
        <w:pStyle w:val="0"/>
        <w:jc w:val="both"/>
      </w:pPr>
      <w:r>
        <w:rPr>
          <w:sz w:val="20"/>
        </w:rPr>
        <w:t xml:space="preserve">(п. 3 в ред. Федерального </w:t>
      </w:r>
      <w:hyperlink w:history="0" r:id="rId47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4) декларирования пожарной безопасности;</w:t>
      </w:r>
    </w:p>
    <w:p>
      <w:pPr>
        <w:pStyle w:val="0"/>
        <w:spacing w:before="200" w:line-rule="auto"/>
        <w:ind w:firstLine="540"/>
        <w:jc w:val="both"/>
      </w:pPr>
      <w:r>
        <w:rPr>
          <w:sz w:val="20"/>
        </w:rPr>
        <w:t xml:space="preserve">5) исследований (испытаний);</w:t>
      </w:r>
    </w:p>
    <w:p>
      <w:pPr>
        <w:pStyle w:val="0"/>
        <w:spacing w:before="200" w:line-rule="auto"/>
        <w:ind w:firstLine="540"/>
        <w:jc w:val="both"/>
      </w:pPr>
      <w:r>
        <w:rPr>
          <w:sz w:val="20"/>
        </w:rPr>
        <w:t xml:space="preserve">6) подтверждения соответствия объектов защиты (продукции);</w:t>
      </w:r>
    </w:p>
    <w:p>
      <w:pPr>
        <w:pStyle w:val="0"/>
        <w:spacing w:before="200" w:line-rule="auto"/>
        <w:ind w:firstLine="540"/>
        <w:jc w:val="both"/>
      </w:pPr>
      <w:r>
        <w:rPr>
          <w:sz w:val="20"/>
        </w:rPr>
        <w:t xml:space="preserve">7) приемки и ввода в эксплуатацию объектов защиты (продукции), а также систем пожарной безопасности;</w:t>
      </w:r>
    </w:p>
    <w:p>
      <w:pPr>
        <w:pStyle w:val="0"/>
        <w:spacing w:before="200" w:line-rule="auto"/>
        <w:ind w:firstLine="540"/>
        <w:jc w:val="both"/>
      </w:pPr>
      <w:r>
        <w:rPr>
          <w:sz w:val="20"/>
        </w:rPr>
        <w:t xml:space="preserve">8) производственного контроля;</w:t>
      </w:r>
    </w:p>
    <w:p>
      <w:pPr>
        <w:pStyle w:val="0"/>
        <w:spacing w:before="200" w:line-rule="auto"/>
        <w:ind w:firstLine="540"/>
        <w:jc w:val="both"/>
      </w:pPr>
      <w:r>
        <w:rPr>
          <w:sz w:val="20"/>
        </w:rPr>
        <w:t xml:space="preserve">9) экспертизы.</w:t>
      </w:r>
    </w:p>
    <w:p>
      <w:pPr>
        <w:pStyle w:val="0"/>
        <w:spacing w:before="200" w:line-rule="auto"/>
        <w:ind w:firstLine="540"/>
        <w:jc w:val="both"/>
      </w:pPr>
      <w:r>
        <w:rPr>
          <w:sz w:val="20"/>
        </w:rPr>
        <w:t xml:space="preserve">2. </w:t>
      </w:r>
      <w:hyperlink w:history="0" r:id="rId480" w:tooltip="Постановление Правительства РФ от 31.08.2020 N 1325 &quot;Об утверждении Правил оценки соответствия объектов защиты (продукции) установленным требованиям пожарной безопасности путем независимой оценки пожарного риска&quot; {КонсультантПлюс}">
        <w:r>
          <w:rPr>
            <w:sz w:val="20"/>
            <w:color w:val="0000ff"/>
          </w:rPr>
          <w:t xml:space="preserve">Порядок</w:t>
        </w:r>
      </w:hyperlink>
      <w:r>
        <w:rPr>
          <w:sz w:val="20"/>
        </w:rPr>
        <w:t xml:space="preserve"> оценки соответствия объектов защиты (продукции) установленным требованиям пожарной безопасности путем независимой оценки пожарного риска устанавливается нормативными правовыми актами Российской Федерации.</w:t>
      </w:r>
    </w:p>
    <w:p>
      <w:pPr>
        <w:pStyle w:val="0"/>
        <w:ind w:firstLine="540"/>
        <w:jc w:val="both"/>
      </w:pPr>
      <w:r>
        <w:rPr>
          <w:sz w:val="20"/>
        </w:rPr>
      </w:r>
    </w:p>
    <w:p>
      <w:pPr>
        <w:pStyle w:val="2"/>
        <w:outlineLvl w:val="3"/>
        <w:ind w:firstLine="540"/>
        <w:jc w:val="both"/>
      </w:pPr>
      <w:r>
        <w:rPr>
          <w:sz w:val="20"/>
        </w:rPr>
        <w:t xml:space="preserve">Статья 145. Подтверждение соответствия объектов защиты (продукции) требованиям пожарной безопасности</w:t>
      </w:r>
    </w:p>
    <w:p>
      <w:pPr>
        <w:pStyle w:val="0"/>
        <w:ind w:firstLine="540"/>
        <w:jc w:val="both"/>
      </w:pPr>
      <w:r>
        <w:rPr>
          <w:sz w:val="20"/>
        </w:rPr>
      </w:r>
    </w:p>
    <w:p>
      <w:pPr>
        <w:pStyle w:val="0"/>
        <w:ind w:firstLine="540"/>
        <w:jc w:val="both"/>
      </w:pPr>
      <w:r>
        <w:rPr>
          <w:sz w:val="20"/>
        </w:rPr>
        <w:t xml:space="preserve">1. Подтверждение соответствия объектов защиты (продукции) требованиям пожарной безопасности на территории Российской Федерации осуществляется в добровольном или обязательном порядке, установленном </w:t>
      </w:r>
      <w:hyperlink w:history="0" r:id="rId481"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Добровольное подтверждение соответствия объектов защиты (продукции) требованиям пожарной безопасности осуществляется в форме добровольной сертификации.</w:t>
      </w:r>
    </w:p>
    <w:p>
      <w:pPr>
        <w:pStyle w:val="0"/>
        <w:spacing w:before="200" w:line-rule="auto"/>
        <w:ind w:firstLine="540"/>
        <w:jc w:val="both"/>
      </w:pPr>
      <w:r>
        <w:rPr>
          <w:sz w:val="20"/>
        </w:rPr>
        <w:t xml:space="preserve">3. Обязательное подтверждение соответствия объектов защиты (продукции) требованиям настоящего Федерального закона осуществляется в форме декларирования соответствия или в форме обязательной сертификации.</w:t>
      </w:r>
    </w:p>
    <w:p>
      <w:pPr>
        <w:pStyle w:val="0"/>
        <w:spacing w:before="200" w:line-rule="auto"/>
        <w:ind w:firstLine="540"/>
        <w:jc w:val="both"/>
      </w:pPr>
      <w:r>
        <w:rPr>
          <w:sz w:val="20"/>
        </w:rPr>
        <w:t xml:space="preserve">4. Обязательному подтверждению соответствия требованиям пожарной безопасности подлежат объекты защиты (продукция) общего назначения и пожарная техника, требования пожарной безопасности к которым устанавливаются настоящим Федеральным законом и (или) техническими регламентами, принятыми в соответствии с Федеральным </w:t>
      </w:r>
      <w:hyperlink w:history="0" r:id="rId482"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 техническом регулировании", содержащими требования к отдельным видам продукции.</w:t>
      </w:r>
    </w:p>
    <w:p>
      <w:pPr>
        <w:pStyle w:val="0"/>
        <w:jc w:val="both"/>
      </w:pPr>
      <w:r>
        <w:rPr>
          <w:sz w:val="20"/>
        </w:rPr>
        <w:t xml:space="preserve">(в ред. Федерального </w:t>
      </w:r>
      <w:hyperlink w:history="0" r:id="rId48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5. Декларирование соответствия продукции требованиям настоящего Федерального закона может осуществляться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которые являются изготовителями (продавцами) продукции, либо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выполняющими по договору функции иностранного изготовителя (продавца) в части обеспечения соответствия поставляемой продукции требованиям настоящего Федерального закона, а также несущими ответственность за нарушение указанных требований.</w:t>
      </w:r>
    </w:p>
    <w:p>
      <w:pPr>
        <w:pStyle w:val="0"/>
        <w:spacing w:before="200" w:line-rule="auto"/>
        <w:ind w:firstLine="540"/>
        <w:jc w:val="both"/>
      </w:pPr>
      <w:r>
        <w:rPr>
          <w:sz w:val="20"/>
        </w:rPr>
        <w:t xml:space="preserve">6. Подтверждение соответствия объектов защиты (продукции) требованиям пожарной безопасности в форме декларирования с привлечением третьей стороны проводится только в организациях, аккредитованных на право проведения таких работ.</w:t>
      </w:r>
    </w:p>
    <w:p>
      <w:pPr>
        <w:pStyle w:val="0"/>
        <w:spacing w:before="200" w:line-rule="auto"/>
        <w:ind w:firstLine="540"/>
        <w:jc w:val="both"/>
      </w:pPr>
      <w:r>
        <w:rPr>
          <w:sz w:val="20"/>
        </w:rPr>
        <w:t xml:space="preserve">7. Продукция, соответствие требованиям пожарной безопасности которой подтверждено в установленном настоящим Федеральным законом порядке, маркируется </w:t>
      </w:r>
      <w:hyperlink w:history="0" r:id="rId484" w:tooltip="Постановление Правительства РФ от 19.11.2003 N 696 (ред. от 21.06.2021) &quot;О знаке обращения на рынке&quot; {КонсультантПлюс}">
        <w:r>
          <w:rPr>
            <w:sz w:val="20"/>
            <w:color w:val="0000ff"/>
          </w:rPr>
          <w:t xml:space="preserve">знаком</w:t>
        </w:r>
      </w:hyperlink>
      <w:r>
        <w:rPr>
          <w:sz w:val="20"/>
        </w:rPr>
        <w:t xml:space="preserve"> обращения на рынке. Если к продукции предъявляются требования различных технических регламентов, то знак обращения на рынке проставляется только после подтверждения соответствия этой продукции требованиям соответствующих технических регламентов.</w:t>
      </w:r>
    </w:p>
    <w:p>
      <w:pPr>
        <w:pStyle w:val="0"/>
        <w:spacing w:before="200" w:line-rule="auto"/>
        <w:ind w:firstLine="540"/>
        <w:jc w:val="both"/>
      </w:pPr>
      <w:r>
        <w:rPr>
          <w:sz w:val="20"/>
        </w:rPr>
        <w:t xml:space="preserve">8. Знак обращения на рынке применяется изготовителями (продавцами) на основании сертификата соответствия или декларации соответствия. Знак обращения на рынке проставляется на продукции и (или) на ее упаковке (таре), а также в сопроводительной технической документации, поступающей к потребителю при реализации.</w:t>
      </w:r>
    </w:p>
    <w:p>
      <w:pPr>
        <w:pStyle w:val="0"/>
        <w:ind w:firstLine="540"/>
        <w:jc w:val="both"/>
      </w:pPr>
      <w:r>
        <w:rPr>
          <w:sz w:val="20"/>
        </w:rPr>
      </w:r>
    </w:p>
    <w:p>
      <w:pPr>
        <w:pStyle w:val="2"/>
        <w:outlineLvl w:val="3"/>
        <w:ind w:firstLine="540"/>
        <w:jc w:val="both"/>
      </w:pPr>
      <w:r>
        <w:rPr>
          <w:sz w:val="20"/>
        </w:rPr>
        <w:t xml:space="preserve">Статья 146. Схемы подтверждения соответствия продукции требованиям пожарной безопасности</w:t>
      </w:r>
    </w:p>
    <w:p>
      <w:pPr>
        <w:pStyle w:val="0"/>
        <w:ind w:firstLine="540"/>
        <w:jc w:val="both"/>
      </w:pPr>
      <w:r>
        <w:rPr>
          <w:sz w:val="20"/>
        </w:rPr>
      </w:r>
    </w:p>
    <w:p>
      <w:pPr>
        <w:pStyle w:val="0"/>
        <w:ind w:firstLine="540"/>
        <w:jc w:val="both"/>
      </w:pPr>
      <w:r>
        <w:rPr>
          <w:sz w:val="20"/>
        </w:rPr>
        <w:t xml:space="preserve">1. Подтверждение соответствия продукции требованиям пожарной безопасности осуществляется по схемам обязательного подтверждения соответствия требованиям пожарной безопасности (далее - схемы), каждая из которых представляет собой полный набор операций и условий их выполнения. Схемы могут включать одну или несколько операций, результаты которых необходимы для подтверждения соответствия продукции установленным требованиям.</w:t>
      </w:r>
    </w:p>
    <w:p>
      <w:pPr>
        <w:pStyle w:val="0"/>
        <w:spacing w:before="200" w:line-rule="auto"/>
        <w:ind w:firstLine="540"/>
        <w:jc w:val="both"/>
      </w:pPr>
      <w:r>
        <w:rPr>
          <w:sz w:val="20"/>
        </w:rPr>
        <w:t xml:space="preserve">2. Подтверждение соответствия продукции требованиям настоящего Федерального закона проводится по следующим схемам:</w:t>
      </w:r>
    </w:p>
    <w:p>
      <w:pPr>
        <w:pStyle w:val="0"/>
        <w:spacing w:before="200" w:line-rule="auto"/>
        <w:ind w:firstLine="540"/>
        <w:jc w:val="both"/>
      </w:pPr>
      <w:r>
        <w:rPr>
          <w:sz w:val="20"/>
        </w:rPr>
        <w:t xml:space="preserve">1) для серийно выпускаемой продукции:</w:t>
      </w:r>
    </w:p>
    <w:p>
      <w:pPr>
        <w:pStyle w:val="0"/>
        <w:spacing w:before="200" w:line-rule="auto"/>
        <w:ind w:firstLine="540"/>
        <w:jc w:val="both"/>
      </w:pPr>
      <w:r>
        <w:rPr>
          <w:sz w:val="20"/>
        </w:rPr>
        <w:t xml:space="preserve">а) декларация соответствия заявителя на основе собственных доказательств (схема 1д);</w:t>
      </w:r>
    </w:p>
    <w:p>
      <w:pPr>
        <w:pStyle w:val="0"/>
        <w:spacing w:before="200" w:line-rule="auto"/>
        <w:ind w:firstLine="540"/>
        <w:jc w:val="both"/>
      </w:pPr>
      <w:r>
        <w:rPr>
          <w:sz w:val="20"/>
        </w:rPr>
        <w:t xml:space="preserve">б) декларация соответствия изготовителя (продавца) на основе собственных доказательств и испытаний типового образца продукции в аккредитованной испытательной лаборатории (схема 2д);</w:t>
      </w:r>
    </w:p>
    <w:p>
      <w:pPr>
        <w:pStyle w:val="0"/>
        <w:spacing w:before="200" w:line-rule="auto"/>
        <w:ind w:firstLine="540"/>
        <w:jc w:val="both"/>
      </w:pPr>
      <w:r>
        <w:rPr>
          <w:sz w:val="20"/>
        </w:rPr>
        <w:t xml:space="preserve">в) декларация соответствия изготовителя (продавца) на основе собственных доказательств, испытаний типового образца продукции в аккредитованной испытательной лаборатории и сертификации системы качества применительно к производству продукции (схема 3д);</w:t>
      </w:r>
    </w:p>
    <w:p>
      <w:pPr>
        <w:pStyle w:val="0"/>
        <w:spacing w:before="200" w:line-rule="auto"/>
        <w:ind w:firstLine="540"/>
        <w:jc w:val="both"/>
      </w:pPr>
      <w:r>
        <w:rPr>
          <w:sz w:val="20"/>
        </w:rPr>
        <w:t xml:space="preserve">г)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(схема 2с);</w:t>
      </w:r>
    </w:p>
    <w:p>
      <w:pPr>
        <w:pStyle w:val="0"/>
        <w:spacing w:before="200" w:line-rule="auto"/>
        <w:ind w:firstLine="540"/>
        <w:jc w:val="both"/>
      </w:pPr>
      <w:r>
        <w:rPr>
          <w:sz w:val="20"/>
        </w:rPr>
        <w:t xml:space="preserve">д) сертификация продукции на основе испытаний типового образца продукции в аккредитованной испытательной лаборатории с последующим инспекционным контролем (схема 3с);</w:t>
      </w:r>
    </w:p>
    <w:p>
      <w:pPr>
        <w:pStyle w:val="0"/>
        <w:spacing w:before="200" w:line-rule="auto"/>
        <w:ind w:firstLine="540"/>
        <w:jc w:val="both"/>
      </w:pPr>
      <w:r>
        <w:rPr>
          <w:sz w:val="20"/>
        </w:rPr>
        <w:t xml:space="preserve">е)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 последующим инспекционным контролем (схема 4с);</w:t>
      </w:r>
    </w:p>
    <w:p>
      <w:pPr>
        <w:pStyle w:val="0"/>
        <w:spacing w:before="200" w:line-rule="auto"/>
        <w:ind w:firstLine="540"/>
        <w:jc w:val="both"/>
      </w:pPr>
      <w:r>
        <w:rPr>
          <w:sz w:val="20"/>
        </w:rPr>
        <w:t xml:space="preserve">ж) утратил силу. - Федеральный </w:t>
      </w:r>
      <w:hyperlink w:history="0" r:id="rId48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2) для ограниченной партии продукции:</w:t>
      </w:r>
    </w:p>
    <w:p>
      <w:pPr>
        <w:pStyle w:val="0"/>
        <w:spacing w:before="200" w:line-rule="auto"/>
        <w:ind w:firstLine="540"/>
        <w:jc w:val="both"/>
      </w:pPr>
      <w:r>
        <w:rPr>
          <w:sz w:val="20"/>
        </w:rPr>
        <w:t xml:space="preserve">а) декларация изготовителя (продавца) на основе собственных доказательств, испытаний в аккредитованной испытательной лаборатории представительной выборки образцов из партии продукции (схема 5д);</w:t>
      </w:r>
    </w:p>
    <w:p>
      <w:pPr>
        <w:pStyle w:val="0"/>
        <w:spacing w:before="200" w:line-rule="auto"/>
        <w:ind w:firstLine="540"/>
        <w:jc w:val="both"/>
      </w:pPr>
      <w:r>
        <w:rPr>
          <w:sz w:val="20"/>
        </w:rPr>
        <w:t xml:space="preserve">б) сертификация партии продукции на основе испытаний представительной выборки образцов из этой партии в аккредитованной испытательной лаборатории (схема 6с);</w:t>
      </w:r>
    </w:p>
    <w:p>
      <w:pPr>
        <w:pStyle w:val="0"/>
        <w:spacing w:before="200" w:line-rule="auto"/>
        <w:ind w:firstLine="540"/>
        <w:jc w:val="both"/>
      </w:pPr>
      <w:r>
        <w:rPr>
          <w:sz w:val="20"/>
        </w:rPr>
        <w:t xml:space="preserve">в) сертификация единиц продукции на основе испытаний единицы продукции в аккредитованной испытательной лаборатории (схема 7с).</w:t>
      </w:r>
    </w:p>
    <w:p>
      <w:pPr>
        <w:pStyle w:val="0"/>
        <w:spacing w:before="200" w:line-rule="auto"/>
        <w:ind w:firstLine="540"/>
        <w:jc w:val="both"/>
      </w:pPr>
      <w:r>
        <w:rPr>
          <w:sz w:val="20"/>
        </w:rPr>
        <w:t xml:space="preserve">3. Представительная выборка образцов для проведения испытаний в целях подтверждения соответствия продукции требованиям пожарной безопасности определяется в соответствии с законодательством Российской Федерации.</w:t>
      </w:r>
    </w:p>
    <w:p>
      <w:pPr>
        <w:pStyle w:val="0"/>
        <w:spacing w:before="200" w:line-rule="auto"/>
        <w:ind w:firstLine="540"/>
        <w:jc w:val="both"/>
      </w:pPr>
      <w:r>
        <w:rPr>
          <w:sz w:val="20"/>
        </w:rPr>
        <w:t xml:space="preserve">4. Схемы 1д и 5д применяются для подтверждения соответствия продукции требованиям пожарной безопасности веществ и материалов, за исключением:</w:t>
      </w:r>
    </w:p>
    <w:p>
      <w:pPr>
        <w:pStyle w:val="0"/>
        <w:spacing w:before="200" w:line-rule="auto"/>
        <w:ind w:firstLine="540"/>
        <w:jc w:val="both"/>
      </w:pPr>
      <w:r>
        <w:rPr>
          <w:sz w:val="20"/>
        </w:rPr>
        <w:t xml:space="preserve">1) строительных материалов;</w:t>
      </w:r>
    </w:p>
    <w:p>
      <w:pPr>
        <w:pStyle w:val="0"/>
        <w:spacing w:before="200" w:line-rule="auto"/>
        <w:ind w:firstLine="540"/>
        <w:jc w:val="both"/>
      </w:pPr>
      <w:r>
        <w:rPr>
          <w:sz w:val="20"/>
        </w:rPr>
        <w:t xml:space="preserve">2) отделочных материалов для подвижного состава железнодорожного транспорта и метрополитена;</w:t>
      </w:r>
    </w:p>
    <w:p>
      <w:pPr>
        <w:pStyle w:val="0"/>
        <w:spacing w:before="200" w:line-rule="auto"/>
        <w:ind w:firstLine="540"/>
        <w:jc w:val="both"/>
      </w:pPr>
      <w:r>
        <w:rPr>
          <w:sz w:val="20"/>
        </w:rPr>
        <w:t xml:space="preserve">3) утратил силу. - Федеральный </w:t>
      </w:r>
      <w:hyperlink w:history="0" r:id="rId48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5. Схемы 2д, 3д и 5д применяются по выбору изготовителя (продавца) для подтверждения соответствия требованиям пожарной безопасности строительных материалов, не применяемых для отделки путей эвакуации людей непосредственно наружу или в безопасную зону.</w:t>
      </w:r>
    </w:p>
    <w:p>
      <w:pPr>
        <w:pStyle w:val="0"/>
        <w:jc w:val="both"/>
      </w:pPr>
      <w:r>
        <w:rPr>
          <w:sz w:val="20"/>
        </w:rPr>
        <w:t xml:space="preserve">(часть 5 в ред. Федерального </w:t>
      </w:r>
      <w:hyperlink w:history="0" r:id="rId48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6. Утратил силу. - Федеральный </w:t>
      </w:r>
      <w:hyperlink w:history="0" r:id="rId48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7. Схемы 2с, 3с, 4с и 6с применяются по выбору заявителя для подтверждения соответствия требованиям пожарной безопасности:</w:t>
      </w:r>
    </w:p>
    <w:p>
      <w:pPr>
        <w:pStyle w:val="0"/>
        <w:jc w:val="both"/>
      </w:pPr>
      <w:r>
        <w:rPr>
          <w:sz w:val="20"/>
        </w:rPr>
        <w:t xml:space="preserve">(в ред. Федерального </w:t>
      </w:r>
      <w:hyperlink w:history="0" r:id="rId48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 - 9) утратили силу. - Федеральный </w:t>
      </w:r>
      <w:hyperlink w:history="0" r:id="rId49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10) строительных материалов, применяемых для отделки путей эвакуации людей непосредственно наружу или в безопасную зону;</w:t>
      </w:r>
    </w:p>
    <w:p>
      <w:pPr>
        <w:pStyle w:val="0"/>
        <w:spacing w:before="200" w:line-rule="auto"/>
        <w:ind w:firstLine="540"/>
        <w:jc w:val="both"/>
      </w:pPr>
      <w:r>
        <w:rPr>
          <w:sz w:val="20"/>
        </w:rPr>
        <w:t xml:space="preserve">11) отделочных материалов для подвижного состава железнодорожного транспорта и метрополитена;</w:t>
      </w:r>
    </w:p>
    <w:p>
      <w:pPr>
        <w:pStyle w:val="0"/>
        <w:spacing w:before="200" w:line-rule="auto"/>
        <w:ind w:firstLine="540"/>
        <w:jc w:val="both"/>
      </w:pPr>
      <w:r>
        <w:rPr>
          <w:sz w:val="20"/>
        </w:rPr>
        <w:t xml:space="preserve">12) - 15) утратили силу. - Федеральный </w:t>
      </w:r>
      <w:hyperlink w:history="0" r:id="rId49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16) кабельных изделий, к которым предъявляются требования пожарной безопасности:</w:t>
      </w:r>
    </w:p>
    <w:p>
      <w:pPr>
        <w:pStyle w:val="0"/>
        <w:spacing w:before="200" w:line-rule="auto"/>
        <w:ind w:firstLine="540"/>
        <w:jc w:val="both"/>
      </w:pPr>
      <w:r>
        <w:rPr>
          <w:sz w:val="20"/>
        </w:rPr>
        <w:t xml:space="preserve">а) кабелей и проводов, не распространяющих горение при одиночной и (или) групповой прокладках;</w:t>
      </w:r>
    </w:p>
    <w:p>
      <w:pPr>
        <w:pStyle w:val="0"/>
        <w:spacing w:before="200" w:line-rule="auto"/>
        <w:ind w:firstLine="540"/>
        <w:jc w:val="both"/>
      </w:pPr>
      <w:r>
        <w:rPr>
          <w:sz w:val="20"/>
        </w:rPr>
        <w:t xml:space="preserve">б) кабелей огнестойких;</w:t>
      </w:r>
    </w:p>
    <w:p>
      <w:pPr>
        <w:pStyle w:val="0"/>
        <w:spacing w:before="200" w:line-rule="auto"/>
        <w:ind w:firstLine="540"/>
        <w:jc w:val="both"/>
      </w:pPr>
      <w:r>
        <w:rPr>
          <w:sz w:val="20"/>
        </w:rPr>
        <w:t xml:space="preserve">в) кабелей с пониженным дымо- и газовыделением;</w:t>
      </w:r>
    </w:p>
    <w:p>
      <w:pPr>
        <w:pStyle w:val="0"/>
        <w:jc w:val="both"/>
      </w:pPr>
      <w:r>
        <w:rPr>
          <w:sz w:val="20"/>
        </w:rPr>
        <w:t xml:space="preserve">(п. 16 в ред. Федерального </w:t>
      </w:r>
      <w:hyperlink w:history="0" r:id="rId49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17) - 18) утратили силу. - Федеральный </w:t>
      </w:r>
      <w:hyperlink w:history="0" r:id="rId49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8. Схема 3с применяется только при проведении сертификации ранее сертифицированной продукции после завершения срока действия сертификата.</w:t>
      </w:r>
    </w:p>
    <w:p>
      <w:pPr>
        <w:pStyle w:val="0"/>
        <w:spacing w:before="200" w:line-rule="auto"/>
        <w:ind w:firstLine="540"/>
        <w:jc w:val="both"/>
      </w:pPr>
      <w:r>
        <w:rPr>
          <w:sz w:val="20"/>
        </w:rPr>
        <w:t xml:space="preserve">9. Схема 7с применяется для подтверждения соответствия продукции требованиям пожарной безопасности в случае, если отсутствует возможность представительной выборки типовых образцов для проведения испытаний.</w:t>
      </w:r>
    </w:p>
    <w:p>
      <w:pPr>
        <w:pStyle w:val="0"/>
        <w:spacing w:before="200" w:line-rule="auto"/>
        <w:ind w:firstLine="540"/>
        <w:jc w:val="both"/>
      </w:pPr>
      <w:r>
        <w:rPr>
          <w:sz w:val="20"/>
        </w:rPr>
        <w:t xml:space="preserve">10. По желанию заявителя подтверждение соответствия продукции требованиям пожарной безопасности путем декларирования может быть заменено обязательной сертификацией.</w:t>
      </w:r>
    </w:p>
    <w:p>
      <w:pPr>
        <w:pStyle w:val="0"/>
        <w:spacing w:before="200" w:line-rule="auto"/>
        <w:ind w:firstLine="540"/>
        <w:jc w:val="both"/>
      </w:pPr>
      <w:r>
        <w:rPr>
          <w:sz w:val="20"/>
        </w:rPr>
        <w:t xml:space="preserve">11. Действие декларации соответствия продукции требованиям пожарной безопасности устанавливается на срок не более 5 лет.</w:t>
      </w:r>
    </w:p>
    <w:p>
      <w:pPr>
        <w:pStyle w:val="0"/>
        <w:spacing w:before="200" w:line-rule="auto"/>
        <w:ind w:firstLine="540"/>
        <w:jc w:val="both"/>
      </w:pPr>
      <w:r>
        <w:rPr>
          <w:sz w:val="20"/>
        </w:rPr>
        <w:t xml:space="preserve">12. Декларирование соответствия продукции требованиям пожарной безопасности проводится в </w:t>
      </w:r>
      <w:hyperlink w:history="0" r:id="rId494"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13. Если техническими регламентами, принятыми в соответствии с Федеральным </w:t>
      </w:r>
      <w:hyperlink w:history="0" r:id="rId495"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 техническом регулировании", предусмотрены схемы сертификации для продукции, отличные от схем, установленных настоящим Федеральным законом, подтверждение соответствия продукции требованиям пожарной безопасности проводится по схеме, обеспечивающей наиболее полный контроль и объективность исследований, испытаний и измерений, в том числе правил отбора образцов.</w:t>
      </w:r>
    </w:p>
    <w:p>
      <w:pPr>
        <w:pStyle w:val="0"/>
        <w:jc w:val="both"/>
      </w:pPr>
      <w:r>
        <w:rPr>
          <w:sz w:val="20"/>
        </w:rPr>
        <w:t xml:space="preserve">(часть 13 в ред. Федерального </w:t>
      </w:r>
      <w:hyperlink w:history="0" r:id="rId49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14. Подтверждение соответствия продукции требованиям пожарной безопасности строительных материалов, имеющих предельные (наиболее опасные) значения показателей пожарной опасности, может осуществляться по схеме 1д. Информация об этих показателях должна быть приведена в технической документации на данную продукцию.</w:t>
      </w:r>
    </w:p>
    <w:p>
      <w:pPr>
        <w:pStyle w:val="0"/>
        <w:jc w:val="both"/>
      </w:pPr>
      <w:r>
        <w:rPr>
          <w:sz w:val="20"/>
        </w:rPr>
        <w:t xml:space="preserve">(часть 14 введена Федеральным </w:t>
      </w:r>
      <w:hyperlink w:history="0" r:id="rId497"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29.07.2017 N 244-ФЗ)</w:t>
      </w:r>
    </w:p>
    <w:p>
      <w:pPr>
        <w:pStyle w:val="0"/>
        <w:ind w:firstLine="540"/>
        <w:jc w:val="both"/>
      </w:pPr>
      <w:r>
        <w:rPr>
          <w:sz w:val="20"/>
        </w:rPr>
      </w:r>
    </w:p>
    <w:p>
      <w:pPr>
        <w:pStyle w:val="2"/>
        <w:outlineLvl w:val="3"/>
        <w:ind w:firstLine="540"/>
        <w:jc w:val="both"/>
      </w:pPr>
      <w:r>
        <w:rPr>
          <w:sz w:val="20"/>
        </w:rPr>
        <w:t xml:space="preserve">Статья 147. Порядок проведения сертификации</w:t>
      </w:r>
    </w:p>
    <w:p>
      <w:pPr>
        <w:pStyle w:val="0"/>
        <w:ind w:firstLine="540"/>
        <w:jc w:val="both"/>
      </w:pPr>
      <w:r>
        <w:rPr>
          <w:sz w:val="20"/>
        </w:rPr>
      </w:r>
    </w:p>
    <w:p>
      <w:pPr>
        <w:pStyle w:val="0"/>
        <w:ind w:firstLine="540"/>
        <w:jc w:val="both"/>
      </w:pPr>
      <w:r>
        <w:rPr>
          <w:sz w:val="20"/>
        </w:rPr>
        <w:t xml:space="preserve">1. Сертификация продукции проводится органами, аккредитованными в соответствии с </w:t>
      </w:r>
      <w:hyperlink w:history="0" r:id="rId498" w:tooltip="Справочная информация: &quot;Основные виды систем аккредитации&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об аккредитации в национальной системе аккредитации и дополнительными требованиями, изложенными в </w:t>
      </w:r>
      <w:hyperlink w:history="0" w:anchor="P1941" w:tooltip="Статья 148. Дополнительные требования, учитываемые при аккредитации органов по сертификации, испытательных лабораторий (центров)">
        <w:r>
          <w:rPr>
            <w:sz w:val="20"/>
            <w:color w:val="0000ff"/>
          </w:rPr>
          <w:t xml:space="preserve">статье 148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99" w:tooltip="Федеральный закон от 23.06.2014 N 160-ФЗ (ред. от 29.07.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160-ФЗ)</w:t>
      </w:r>
    </w:p>
    <w:p>
      <w:pPr>
        <w:pStyle w:val="0"/>
        <w:spacing w:before="200" w:line-rule="auto"/>
        <w:ind w:firstLine="540"/>
        <w:jc w:val="both"/>
      </w:pPr>
      <w:r>
        <w:rPr>
          <w:sz w:val="20"/>
        </w:rPr>
        <w:t xml:space="preserve">2. Сертификация включает в себя:</w:t>
      </w:r>
    </w:p>
    <w:p>
      <w:pPr>
        <w:pStyle w:val="0"/>
        <w:spacing w:before="200" w:line-rule="auto"/>
        <w:ind w:firstLine="540"/>
        <w:jc w:val="both"/>
      </w:pPr>
      <w:r>
        <w:rPr>
          <w:sz w:val="20"/>
        </w:rPr>
        <w:t xml:space="preserve">1) подачу изготовителем (продавцом) заявки на проведение сертификации и рассмотрение представленных материалов аккредитованным органом по сертификации;</w:t>
      </w:r>
    </w:p>
    <w:p>
      <w:pPr>
        <w:pStyle w:val="0"/>
        <w:spacing w:before="200" w:line-rule="auto"/>
        <w:ind w:firstLine="540"/>
        <w:jc w:val="both"/>
      </w:pPr>
      <w:r>
        <w:rPr>
          <w:sz w:val="20"/>
        </w:rPr>
        <w:t xml:space="preserve">2) принятие аккредитованным органом по сертификации решения по заявке на проведение сертификации с указанием ее схемы;</w:t>
      </w:r>
    </w:p>
    <w:p>
      <w:pPr>
        <w:pStyle w:val="0"/>
        <w:spacing w:before="200" w:line-rule="auto"/>
        <w:ind w:firstLine="540"/>
        <w:jc w:val="both"/>
      </w:pPr>
      <w:r>
        <w:rPr>
          <w:sz w:val="20"/>
        </w:rPr>
        <w:t xml:space="preserve">3) оценку соответствия продукции требованиям пожарной безопасности;</w:t>
      </w:r>
    </w:p>
    <w:p>
      <w:pPr>
        <w:pStyle w:val="0"/>
        <w:spacing w:before="200" w:line-rule="auto"/>
        <w:ind w:firstLine="540"/>
        <w:jc w:val="both"/>
      </w:pPr>
      <w:r>
        <w:rPr>
          <w:sz w:val="20"/>
        </w:rPr>
        <w:t xml:space="preserve">4) выдачу аккредитованным органом по сертификации сертификата или мотивированный отказ в выдаче сертификата;</w:t>
      </w:r>
    </w:p>
    <w:p>
      <w:pPr>
        <w:pStyle w:val="0"/>
        <w:spacing w:before="200" w:line-rule="auto"/>
        <w:ind w:firstLine="540"/>
        <w:jc w:val="both"/>
      </w:pPr>
      <w:r>
        <w:rPr>
          <w:sz w:val="20"/>
        </w:rPr>
        <w:t xml:space="preserve">5) осуществление аккредитованным органом по сертификации инспекционного контроля сертифицированной продукции, если он предусмотрен схемой сертификации;</w:t>
      </w:r>
    </w:p>
    <w:p>
      <w:pPr>
        <w:pStyle w:val="0"/>
        <w:spacing w:before="200" w:line-rule="auto"/>
        <w:ind w:firstLine="540"/>
        <w:jc w:val="both"/>
      </w:pPr>
      <w:r>
        <w:rPr>
          <w:sz w:val="20"/>
        </w:rPr>
        <w:t xml:space="preserve">6) осуществление изготовителем (продавцом) корректирующих мероприятий при выявлении несоответствия продукции требованиям пожарной безопасности и при неправильном применении знака обращения на рынке.</w:t>
      </w:r>
    </w:p>
    <w:p>
      <w:pPr>
        <w:pStyle w:val="0"/>
        <w:spacing w:before="200" w:line-rule="auto"/>
        <w:ind w:firstLine="540"/>
        <w:jc w:val="both"/>
      </w:pPr>
      <w:r>
        <w:rPr>
          <w:sz w:val="20"/>
        </w:rPr>
        <w:t xml:space="preserve">3. Процедура подтверждения соответствия продукции требованиям настоящего Федерального закона включает в себя:</w:t>
      </w:r>
    </w:p>
    <w:p>
      <w:pPr>
        <w:pStyle w:val="0"/>
        <w:spacing w:before="200" w:line-rule="auto"/>
        <w:ind w:firstLine="540"/>
        <w:jc w:val="both"/>
      </w:pPr>
      <w:r>
        <w:rPr>
          <w:sz w:val="20"/>
        </w:rPr>
        <w:t xml:space="preserve">1) отбор и идентификацию образцов продукции;</w:t>
      </w:r>
    </w:p>
    <w:p>
      <w:pPr>
        <w:pStyle w:val="0"/>
        <w:spacing w:before="200" w:line-rule="auto"/>
        <w:ind w:firstLine="540"/>
        <w:jc w:val="both"/>
      </w:pPr>
      <w:r>
        <w:rPr>
          <w:sz w:val="20"/>
        </w:rPr>
        <w:t xml:space="preserve">2) оценку производства, если это предусмотрено схемой сертификации;</w:t>
      </w:r>
    </w:p>
    <w:p>
      <w:pPr>
        <w:pStyle w:val="0"/>
        <w:jc w:val="both"/>
      </w:pPr>
      <w:r>
        <w:rPr>
          <w:sz w:val="20"/>
        </w:rPr>
        <w:t xml:space="preserve">(в ред. Федерального </w:t>
      </w:r>
      <w:hyperlink w:history="0" r:id="rId50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3) проведение испытаний образцов продукции в аккредитованной испытательной лаборатории;</w:t>
      </w:r>
    </w:p>
    <w:p>
      <w:pPr>
        <w:pStyle w:val="0"/>
        <w:spacing w:before="200" w:line-rule="auto"/>
        <w:ind w:firstLine="540"/>
        <w:jc w:val="both"/>
      </w:pPr>
      <w:r>
        <w:rPr>
          <w:sz w:val="20"/>
        </w:rPr>
        <w:t xml:space="preserve">4) экспертизу документов, представленных изготовителем (продавцом) (в том числе технической документации, документов о качестве, заключений, сертификатов и протоколов испытаний), в целях определения возможности признания соответствия продукции требованиям пожарной безопасности;</w:t>
      </w:r>
    </w:p>
    <w:p>
      <w:pPr>
        <w:pStyle w:val="0"/>
        <w:spacing w:before="200" w:line-rule="auto"/>
        <w:ind w:firstLine="540"/>
        <w:jc w:val="both"/>
      </w:pPr>
      <w:r>
        <w:rPr>
          <w:sz w:val="20"/>
        </w:rPr>
        <w:t xml:space="preserve">5) анализ полученных результатов и принятие решения о возможности выдачи сертификата.</w:t>
      </w:r>
    </w:p>
    <w:p>
      <w:pPr>
        <w:pStyle w:val="0"/>
        <w:spacing w:before="200" w:line-rule="auto"/>
        <w:ind w:firstLine="540"/>
        <w:jc w:val="both"/>
      </w:pPr>
      <w:r>
        <w:rPr>
          <w:sz w:val="20"/>
        </w:rPr>
        <w:t xml:space="preserve">4. Заявитель может обратиться с заявкой на проведение сертификации в любой аккредитованный орган по сертификации, имеющий право проведения таких работ.</w:t>
      </w:r>
    </w:p>
    <w:p>
      <w:pPr>
        <w:pStyle w:val="0"/>
        <w:spacing w:before="200" w:line-rule="auto"/>
        <w:ind w:firstLine="540"/>
        <w:jc w:val="both"/>
      </w:pPr>
      <w:r>
        <w:rPr>
          <w:sz w:val="20"/>
        </w:rPr>
        <w:t xml:space="preserve">5. Заявка на проведение сертификации оформляется заявителем на русском языке и должна содержать:</w:t>
      </w:r>
    </w:p>
    <w:p>
      <w:pPr>
        <w:pStyle w:val="0"/>
        <w:spacing w:before="200" w:line-rule="auto"/>
        <w:ind w:firstLine="540"/>
        <w:jc w:val="both"/>
      </w:pPr>
      <w:r>
        <w:rPr>
          <w:sz w:val="20"/>
        </w:rPr>
        <w:t xml:space="preserve">1) наименование и местонахождение заявителя;</w:t>
      </w:r>
    </w:p>
    <w:p>
      <w:pPr>
        <w:pStyle w:val="0"/>
        <w:spacing w:before="200" w:line-rule="auto"/>
        <w:ind w:firstLine="540"/>
        <w:jc w:val="both"/>
      </w:pPr>
      <w:r>
        <w:rPr>
          <w:sz w:val="20"/>
        </w:rPr>
        <w:t xml:space="preserve">2) наименование и местонахождение изготовителя (продавца);</w:t>
      </w:r>
    </w:p>
    <w:p>
      <w:pPr>
        <w:pStyle w:val="0"/>
        <w:spacing w:before="200" w:line-rule="auto"/>
        <w:ind w:firstLine="540"/>
        <w:jc w:val="both"/>
      </w:pPr>
      <w:r>
        <w:rPr>
          <w:sz w:val="20"/>
        </w:rPr>
        <w:t xml:space="preserve">3) сведения о продукции и идентифицирующие ее признаки (наименование, код по общероссийскому </w:t>
      </w:r>
      <w:hyperlink w:history="0" r:id="rId501"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классификатору</w:t>
        </w:r>
      </w:hyperlink>
      <w:r>
        <w:rPr>
          <w:sz w:val="20"/>
        </w:rPr>
        <w:t xml:space="preserve"> продукции или код импортной продукции в соответствии с Товарной </w:t>
      </w:r>
      <w:hyperlink w:history="0" r:id="rId502" w:tooltip="Решение Совета Евразийской экономической комиссии от 14.09.2021 N 80 (ред. от 25.10.2022)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номенклатурой</w:t>
        </w:r>
      </w:hyperlink>
      <w:r>
        <w:rPr>
          <w:sz w:val="20"/>
        </w:rPr>
        <w:t xml:space="preserve"> внешнеэкономической деятельности, применяемой в Российской Федерации), техническое описание продукции, инструкцию по ее применению (эксплуатации) и другую техническую документацию, описывающую продукцию, а также декларируемое количество (серийное производство, партия или единица продукции);</w:t>
      </w:r>
    </w:p>
    <w:p>
      <w:pPr>
        <w:pStyle w:val="0"/>
        <w:spacing w:before="200" w:line-rule="auto"/>
        <w:ind w:firstLine="540"/>
        <w:jc w:val="both"/>
      </w:pPr>
      <w:r>
        <w:rPr>
          <w:sz w:val="20"/>
        </w:rPr>
        <w:t xml:space="preserve">4) указание на нормативные документы по пожарной безопасности;</w:t>
      </w:r>
    </w:p>
    <w:p>
      <w:pPr>
        <w:pStyle w:val="0"/>
        <w:spacing w:before="200" w:line-rule="auto"/>
        <w:ind w:firstLine="540"/>
        <w:jc w:val="both"/>
      </w:pPr>
      <w:r>
        <w:rPr>
          <w:sz w:val="20"/>
        </w:rPr>
        <w:t xml:space="preserve">5) схему сертификации;</w:t>
      </w:r>
    </w:p>
    <w:p>
      <w:pPr>
        <w:pStyle w:val="0"/>
        <w:spacing w:before="200" w:line-rule="auto"/>
        <w:ind w:firstLine="540"/>
        <w:jc w:val="both"/>
      </w:pPr>
      <w:r>
        <w:rPr>
          <w:sz w:val="20"/>
        </w:rPr>
        <w:t xml:space="preserve">6) обязательства заявителя о выполнении правил и условий сертификации.</w:t>
      </w:r>
    </w:p>
    <w:p>
      <w:pPr>
        <w:pStyle w:val="0"/>
        <w:spacing w:before="200" w:line-rule="auto"/>
        <w:ind w:firstLine="540"/>
        <w:jc w:val="both"/>
      </w:pPr>
      <w:r>
        <w:rPr>
          <w:sz w:val="20"/>
        </w:rPr>
        <w:t xml:space="preserve">6. Аккредитованный орган, осуществляющий сертификацию, в течение 30 суток со дня подачи заявки на проведение сертификации направляет заявителю положительное или отрицательное решение по его заявке.</w:t>
      </w:r>
    </w:p>
    <w:p>
      <w:pPr>
        <w:pStyle w:val="0"/>
        <w:jc w:val="both"/>
      </w:pPr>
      <w:r>
        <w:rPr>
          <w:sz w:val="20"/>
        </w:rPr>
        <w:t xml:space="preserve">(в ред. Федерального </w:t>
      </w:r>
      <w:hyperlink w:history="0" r:id="rId50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7. Отрицательное решение по заявке на проведение сертификации должно содержать мотивированный отказ в проведении сертификации.</w:t>
      </w:r>
    </w:p>
    <w:p>
      <w:pPr>
        <w:pStyle w:val="0"/>
        <w:spacing w:before="200" w:line-rule="auto"/>
        <w:ind w:firstLine="540"/>
        <w:jc w:val="both"/>
      </w:pPr>
      <w:r>
        <w:rPr>
          <w:sz w:val="20"/>
        </w:rPr>
        <w:t xml:space="preserve">8. Положительное решение по заявке на проведение сертификации должно включать в себя основные условия сертификации, в том числе информацию:</w:t>
      </w:r>
    </w:p>
    <w:p>
      <w:pPr>
        <w:pStyle w:val="0"/>
        <w:spacing w:before="200" w:line-rule="auto"/>
        <w:ind w:firstLine="540"/>
        <w:jc w:val="both"/>
      </w:pPr>
      <w:r>
        <w:rPr>
          <w:sz w:val="20"/>
        </w:rPr>
        <w:t xml:space="preserve">1) о схеме сертификации;</w:t>
      </w:r>
    </w:p>
    <w:p>
      <w:pPr>
        <w:pStyle w:val="0"/>
        <w:spacing w:before="200" w:line-rule="auto"/>
        <w:ind w:firstLine="540"/>
        <w:jc w:val="both"/>
      </w:pPr>
      <w:r>
        <w:rPr>
          <w:sz w:val="20"/>
        </w:rPr>
        <w:t xml:space="preserve">2) о нормативных документах, на основании которых будет проводиться сертификация соответствия продукции требованиям пожарной безопасности;</w:t>
      </w:r>
    </w:p>
    <w:p>
      <w:pPr>
        <w:pStyle w:val="0"/>
        <w:spacing w:before="200" w:line-rule="auto"/>
        <w:ind w:firstLine="540"/>
        <w:jc w:val="both"/>
      </w:pPr>
      <w:r>
        <w:rPr>
          <w:sz w:val="20"/>
        </w:rPr>
        <w:t xml:space="preserve">3) об организации, которая будет проводить анализ состояния производства, если это предусмотрено схемой сертификации;</w:t>
      </w:r>
    </w:p>
    <w:p>
      <w:pPr>
        <w:pStyle w:val="0"/>
        <w:spacing w:before="200" w:line-rule="auto"/>
        <w:ind w:firstLine="540"/>
        <w:jc w:val="both"/>
      </w:pPr>
      <w:r>
        <w:rPr>
          <w:sz w:val="20"/>
        </w:rPr>
        <w:t xml:space="preserve">4) о порядке отбора образцов продукции;</w:t>
      </w:r>
    </w:p>
    <w:p>
      <w:pPr>
        <w:pStyle w:val="0"/>
        <w:spacing w:before="200" w:line-rule="auto"/>
        <w:ind w:firstLine="540"/>
        <w:jc w:val="both"/>
      </w:pPr>
      <w:r>
        <w:rPr>
          <w:sz w:val="20"/>
        </w:rPr>
        <w:t xml:space="preserve">5) о порядке проведения испытаний образцов продукции;</w:t>
      </w:r>
    </w:p>
    <w:p>
      <w:pPr>
        <w:pStyle w:val="0"/>
        <w:spacing w:before="200" w:line-rule="auto"/>
        <w:ind w:firstLine="540"/>
        <w:jc w:val="both"/>
      </w:pPr>
      <w:r>
        <w:rPr>
          <w:sz w:val="20"/>
        </w:rPr>
        <w:t xml:space="preserve">6) о порядке оценки стабильности условий производства;</w:t>
      </w:r>
    </w:p>
    <w:p>
      <w:pPr>
        <w:pStyle w:val="0"/>
        <w:spacing w:before="200" w:line-rule="auto"/>
        <w:ind w:firstLine="540"/>
        <w:jc w:val="both"/>
      </w:pPr>
      <w:r>
        <w:rPr>
          <w:sz w:val="20"/>
        </w:rPr>
        <w:t xml:space="preserve">7) о критериях оценки соответствия продукции требованиям пожарной безопасности;</w:t>
      </w:r>
    </w:p>
    <w:p>
      <w:pPr>
        <w:pStyle w:val="0"/>
        <w:spacing w:before="200" w:line-rule="auto"/>
        <w:ind w:firstLine="540"/>
        <w:jc w:val="both"/>
      </w:pPr>
      <w:r>
        <w:rPr>
          <w:sz w:val="20"/>
        </w:rPr>
        <w:t xml:space="preserve">8) о необходимости предоставления дополнительных документов, подтверждающих безопасность продукции.</w:t>
      </w:r>
    </w:p>
    <w:p>
      <w:pPr>
        <w:pStyle w:val="0"/>
        <w:spacing w:before="200" w:line-rule="auto"/>
        <w:ind w:firstLine="540"/>
        <w:jc w:val="both"/>
      </w:pPr>
      <w:r>
        <w:rPr>
          <w:sz w:val="20"/>
        </w:rPr>
        <w:t xml:space="preserve">9. Подтверждение соответствия продукции требованиям настоящего Федерального закона включает в себя, если это предусмотрено схемой сертификации:</w:t>
      </w:r>
    </w:p>
    <w:p>
      <w:pPr>
        <w:pStyle w:val="0"/>
        <w:spacing w:before="200" w:line-rule="auto"/>
        <w:ind w:firstLine="540"/>
        <w:jc w:val="both"/>
      </w:pPr>
      <w:r>
        <w:rPr>
          <w:sz w:val="20"/>
        </w:rPr>
        <w:t xml:space="preserve">1) отбор контрольных образцов и образцов для испытаний;</w:t>
      </w:r>
    </w:p>
    <w:p>
      <w:pPr>
        <w:pStyle w:val="0"/>
        <w:spacing w:before="200" w:line-rule="auto"/>
        <w:ind w:firstLine="540"/>
        <w:jc w:val="both"/>
      </w:pPr>
      <w:r>
        <w:rPr>
          <w:sz w:val="20"/>
        </w:rPr>
        <w:t xml:space="preserve">2) идентификацию продукции;</w:t>
      </w:r>
    </w:p>
    <w:p>
      <w:pPr>
        <w:pStyle w:val="0"/>
        <w:spacing w:before="200" w:line-rule="auto"/>
        <w:ind w:firstLine="540"/>
        <w:jc w:val="both"/>
      </w:pPr>
      <w:r>
        <w:rPr>
          <w:sz w:val="20"/>
        </w:rPr>
        <w:t xml:space="preserve">3) испытания образцов продукции в аккредитованной испытательной лаборатории;</w:t>
      </w:r>
    </w:p>
    <w:p>
      <w:pPr>
        <w:pStyle w:val="0"/>
        <w:spacing w:before="200" w:line-rule="auto"/>
        <w:ind w:firstLine="540"/>
        <w:jc w:val="both"/>
      </w:pPr>
      <w:r>
        <w:rPr>
          <w:sz w:val="20"/>
        </w:rPr>
        <w:t xml:space="preserve">4) оценку стабильности условий производства;</w:t>
      </w:r>
    </w:p>
    <w:p>
      <w:pPr>
        <w:pStyle w:val="0"/>
        <w:spacing w:before="200" w:line-rule="auto"/>
        <w:ind w:firstLine="540"/>
        <w:jc w:val="both"/>
      </w:pPr>
      <w:r>
        <w:rPr>
          <w:sz w:val="20"/>
        </w:rPr>
        <w:t xml:space="preserve">5) анализ представленных документов.</w:t>
      </w:r>
    </w:p>
    <w:p>
      <w:pPr>
        <w:pStyle w:val="0"/>
        <w:spacing w:before="200" w:line-rule="auto"/>
        <w:ind w:firstLine="540"/>
        <w:jc w:val="both"/>
      </w:pPr>
      <w:r>
        <w:rPr>
          <w:sz w:val="20"/>
        </w:rPr>
        <w:t xml:space="preserve">10. Отбор образцов продукции (контрольных образцов и образцов для испытаний) проводится в соответствии с требованиями, установленными законодательством Российской Федерации.</w:t>
      </w:r>
    </w:p>
    <w:p>
      <w:pPr>
        <w:pStyle w:val="0"/>
        <w:spacing w:before="200" w:line-rule="auto"/>
        <w:ind w:firstLine="540"/>
        <w:jc w:val="both"/>
      </w:pPr>
      <w:r>
        <w:rPr>
          <w:sz w:val="20"/>
        </w:rPr>
        <w:t xml:space="preserve">11. Допускается в качестве контрольных образцов использовать образцы продукции, подвергшиеся сертификационным испытаниям, если их идентификационные признаки и показатели, проверяемые при сертификации, остались неизменными.</w:t>
      </w:r>
    </w:p>
    <w:p>
      <w:pPr>
        <w:pStyle w:val="0"/>
        <w:spacing w:before="200" w:line-rule="auto"/>
        <w:ind w:firstLine="540"/>
        <w:jc w:val="both"/>
      </w:pPr>
      <w:r>
        <w:rPr>
          <w:sz w:val="20"/>
        </w:rPr>
        <w:t xml:space="preserve">12. Образцы продукции, отобранные для испытаний и в качестве контрольных, должны быть по конструкции, составу и технологии изготовления идентичны продукции, поставляемой потребителю (заказчику).</w:t>
      </w:r>
    </w:p>
    <w:p>
      <w:pPr>
        <w:pStyle w:val="0"/>
        <w:spacing w:before="200" w:line-rule="auto"/>
        <w:ind w:firstLine="540"/>
        <w:jc w:val="both"/>
      </w:pPr>
      <w:r>
        <w:rPr>
          <w:sz w:val="20"/>
        </w:rPr>
        <w:t xml:space="preserve">13. Заявитель (изготовитель, продавец) прилагает к образцам документы, подтверждающие приемку продукции изготовителем (продавцом) и ее соответствие нормативным документам, по которым выпускается продукция (или их копии), а также необходимые технические документы, состав и содержание которых приведены в решении аккредитованного органа по сертификации по заявке на проведение сертификации.</w:t>
      </w:r>
    </w:p>
    <w:p>
      <w:pPr>
        <w:pStyle w:val="0"/>
        <w:spacing w:before="200" w:line-rule="auto"/>
        <w:ind w:firstLine="540"/>
        <w:jc w:val="both"/>
      </w:pPr>
      <w:r>
        <w:rPr>
          <w:sz w:val="20"/>
        </w:rPr>
        <w:t xml:space="preserve">14. После отбора образцов должны быть приняты меры защиты от подмены образцов или ошибок в их идентификации.</w:t>
      </w:r>
    </w:p>
    <w:p>
      <w:pPr>
        <w:pStyle w:val="0"/>
        <w:spacing w:before="200" w:line-rule="auto"/>
        <w:ind w:firstLine="540"/>
        <w:jc w:val="both"/>
      </w:pPr>
      <w:r>
        <w:rPr>
          <w:sz w:val="20"/>
        </w:rPr>
        <w:t xml:space="preserve">15. Контрольные образцы подлежат хранению в течение срока действия сертификата.</w:t>
      </w:r>
    </w:p>
    <w:p>
      <w:pPr>
        <w:pStyle w:val="0"/>
        <w:spacing w:before="200" w:line-rule="auto"/>
        <w:ind w:firstLine="540"/>
        <w:jc w:val="both"/>
      </w:pPr>
      <w:r>
        <w:rPr>
          <w:sz w:val="20"/>
        </w:rPr>
        <w:t xml:space="preserve">16. Идентификацию проводят как при отборе образцов, так и при испытании продукции с целью удостоверения, что представленные образцы действительно относятся к сертифицируемой продукции.</w:t>
      </w:r>
    </w:p>
    <w:p>
      <w:pPr>
        <w:pStyle w:val="0"/>
        <w:spacing w:before="200" w:line-rule="auto"/>
        <w:ind w:firstLine="540"/>
        <w:jc w:val="both"/>
      </w:pPr>
      <w:r>
        <w:rPr>
          <w:sz w:val="20"/>
        </w:rPr>
        <w:t xml:space="preserve">17. Идентификация состоит в сравнении основных характеристик образцов продукции, указанных в заявке на проведение сертификации продукции и технической (сопроводительной) документации на нее, и маркированных характеристик на образце, упаковке (таре) и в сопроводительных документах.</w:t>
      </w:r>
    </w:p>
    <w:p>
      <w:pPr>
        <w:pStyle w:val="0"/>
        <w:spacing w:before="200" w:line-rule="auto"/>
        <w:ind w:firstLine="540"/>
        <w:jc w:val="both"/>
      </w:pPr>
      <w:r>
        <w:rPr>
          <w:sz w:val="20"/>
        </w:rPr>
        <w:t xml:space="preserve">18. При сертификации партии продукции дополнительно проверяется соответствие ее фактического объема заявляемому объему.</w:t>
      </w:r>
    </w:p>
    <w:p>
      <w:pPr>
        <w:pStyle w:val="0"/>
        <w:spacing w:before="200" w:line-rule="auto"/>
        <w:ind w:firstLine="540"/>
        <w:jc w:val="both"/>
      </w:pPr>
      <w:r>
        <w:rPr>
          <w:sz w:val="20"/>
        </w:rPr>
        <w:t xml:space="preserve">19. Результаты идентификации при проведении испытаний отражаются в протоколе испытаний (отчете об испытаниях).</w:t>
      </w:r>
    </w:p>
    <w:p>
      <w:pPr>
        <w:pStyle w:val="0"/>
        <w:spacing w:before="200" w:line-rule="auto"/>
        <w:ind w:firstLine="540"/>
        <w:jc w:val="both"/>
      </w:pPr>
      <w:r>
        <w:rPr>
          <w:sz w:val="20"/>
        </w:rPr>
        <w:t xml:space="preserve">20. Испытания в целях сертификации проводятся по заказу аккредитованного органа по сертификации.</w:t>
      </w:r>
    </w:p>
    <w:p>
      <w:pPr>
        <w:pStyle w:val="0"/>
        <w:spacing w:before="200" w:line-rule="auto"/>
        <w:ind w:firstLine="540"/>
        <w:jc w:val="both"/>
      </w:pPr>
      <w:r>
        <w:rPr>
          <w:sz w:val="20"/>
        </w:rPr>
        <w:t xml:space="preserve">21. Испытания проводятся испытательными лабораториями, прошедшими аккредитацию на право проведения работ.</w:t>
      </w:r>
    </w:p>
    <w:p>
      <w:pPr>
        <w:pStyle w:val="0"/>
        <w:spacing w:before="200" w:line-rule="auto"/>
        <w:ind w:firstLine="540"/>
        <w:jc w:val="both"/>
      </w:pPr>
      <w:r>
        <w:rPr>
          <w:sz w:val="20"/>
        </w:rPr>
        <w:t xml:space="preserve">22. В случае отсутствия испытательной лаборатории, аккредитованной на техническую компетентность и независимость, или значительной ее удаленности, усложняющей транспортирование образцов, увеличивающей стоимость испытаний и удлиняющей сроки их проведения, допускается проведение испытаний в целях сертификации испытательными лабораториями, аккредитованными только на техническую компетентность, независимыми от изготовителя или потребителя сертифицируемой продукции. Такие испытания проводятся под контролем представителей аккредитованного органа по сертификации. Объективность таких испытаний наряду с испытательной лабораторией обеспечивает аккредитованный орган по сертификации, поручивший испытательной лаборатории их проведение.</w:t>
      </w:r>
    </w:p>
    <w:p>
      <w:pPr>
        <w:pStyle w:val="0"/>
        <w:spacing w:before="200" w:line-rule="auto"/>
        <w:ind w:firstLine="540"/>
        <w:jc w:val="both"/>
      </w:pPr>
      <w:r>
        <w:rPr>
          <w:sz w:val="20"/>
        </w:rPr>
        <w:t xml:space="preserve">23. По результатам испытаний испытательные лаборатории оформляют протоколы испытаний и передают их в аккредитованный орган по сертификации. Копии протоколов испытаний подлежат хранению в испытательной лаборатории в течение срока службы (годности) сертифицированной продукции, но не менее 3 лет после окончания срока действия выданных на их основании сертификатов или решений об отказе в выдаче сертификатов.</w:t>
      </w:r>
    </w:p>
    <w:p>
      <w:pPr>
        <w:pStyle w:val="0"/>
        <w:spacing w:before="200" w:line-rule="auto"/>
        <w:ind w:firstLine="540"/>
        <w:jc w:val="both"/>
      </w:pPr>
      <w:r>
        <w:rPr>
          <w:sz w:val="20"/>
        </w:rPr>
        <w:t xml:space="preserve">24. Протокол испытаний (отчет об испытаниях) должен содержать следующую информацию:</w:t>
      </w:r>
    </w:p>
    <w:p>
      <w:pPr>
        <w:pStyle w:val="0"/>
        <w:spacing w:before="200" w:line-rule="auto"/>
        <w:ind w:firstLine="540"/>
        <w:jc w:val="both"/>
      </w:pPr>
      <w:r>
        <w:rPr>
          <w:sz w:val="20"/>
        </w:rPr>
        <w:t xml:space="preserve">1) обозначение протокола испытаний (отчета об испытаниях), порядковый номер и нумерацию каждой страницы протокола, а также общее количество страниц;</w:t>
      </w:r>
    </w:p>
    <w:p>
      <w:pPr>
        <w:pStyle w:val="0"/>
        <w:spacing w:before="200" w:line-rule="auto"/>
        <w:ind w:firstLine="540"/>
        <w:jc w:val="both"/>
      </w:pPr>
      <w:r>
        <w:rPr>
          <w:sz w:val="20"/>
        </w:rPr>
        <w:t xml:space="preserve">2) сведения об испытательной лаборатории, проводившей испытания;</w:t>
      </w:r>
    </w:p>
    <w:p>
      <w:pPr>
        <w:pStyle w:val="0"/>
        <w:spacing w:before="200" w:line-rule="auto"/>
        <w:ind w:firstLine="540"/>
        <w:jc w:val="both"/>
      </w:pPr>
      <w:r>
        <w:rPr>
          <w:sz w:val="20"/>
        </w:rPr>
        <w:t xml:space="preserve">3) сведения об аккредитованном органе по сертификации, поручившем проведение испытаний;</w:t>
      </w:r>
    </w:p>
    <w:p>
      <w:pPr>
        <w:pStyle w:val="0"/>
        <w:spacing w:before="200" w:line-rule="auto"/>
        <w:ind w:firstLine="540"/>
        <w:jc w:val="both"/>
      </w:pPr>
      <w:r>
        <w:rPr>
          <w:sz w:val="20"/>
        </w:rPr>
        <w:t xml:space="preserve">4) идентификационные сведения о представленной на испытания продукции, в том числе об изготовителе продукции;</w:t>
      </w:r>
    </w:p>
    <w:p>
      <w:pPr>
        <w:pStyle w:val="0"/>
        <w:spacing w:before="200" w:line-rule="auto"/>
        <w:ind w:firstLine="540"/>
        <w:jc w:val="both"/>
      </w:pPr>
      <w:r>
        <w:rPr>
          <w:sz w:val="20"/>
        </w:rPr>
        <w:t xml:space="preserve">5) основание для проведения испытаний;</w:t>
      </w:r>
    </w:p>
    <w:p>
      <w:pPr>
        <w:pStyle w:val="0"/>
        <w:spacing w:before="200" w:line-rule="auto"/>
        <w:ind w:firstLine="540"/>
        <w:jc w:val="both"/>
      </w:pPr>
      <w:r>
        <w:rPr>
          <w:sz w:val="20"/>
        </w:rPr>
        <w:t xml:space="preserve">6) описание программы и методов испытаний или ссылки на стандартные методы испытаний;</w:t>
      </w:r>
    </w:p>
    <w:p>
      <w:pPr>
        <w:pStyle w:val="0"/>
        <w:spacing w:before="200" w:line-rule="auto"/>
        <w:ind w:firstLine="540"/>
        <w:jc w:val="both"/>
      </w:pPr>
      <w:r>
        <w:rPr>
          <w:sz w:val="20"/>
        </w:rPr>
        <w:t xml:space="preserve">7) сведения об отборе образцов;</w:t>
      </w:r>
    </w:p>
    <w:p>
      <w:pPr>
        <w:pStyle w:val="0"/>
        <w:spacing w:before="200" w:line-rule="auto"/>
        <w:ind w:firstLine="540"/>
        <w:jc w:val="both"/>
      </w:pPr>
      <w:r>
        <w:rPr>
          <w:sz w:val="20"/>
        </w:rPr>
        <w:t xml:space="preserve">8) условия проведения испытаний;</w:t>
      </w:r>
    </w:p>
    <w:p>
      <w:pPr>
        <w:pStyle w:val="0"/>
        <w:spacing w:before="200" w:line-rule="auto"/>
        <w:ind w:firstLine="540"/>
        <w:jc w:val="both"/>
      </w:pPr>
      <w:r>
        <w:rPr>
          <w:sz w:val="20"/>
        </w:rPr>
        <w:t xml:space="preserve">9) сведения об использованных средствах измерений и испытательном оборудовании;</w:t>
      </w:r>
    </w:p>
    <w:p>
      <w:pPr>
        <w:pStyle w:val="0"/>
        <w:spacing w:before="200" w:line-rule="auto"/>
        <w:ind w:firstLine="540"/>
        <w:jc w:val="both"/>
      </w:pPr>
      <w:r>
        <w:rPr>
          <w:sz w:val="20"/>
        </w:rPr>
        <w:t xml:space="preserve">10) проверяемые показатели и требования к ним, сведения о нормативных документах, содержащих эти требования;</w:t>
      </w:r>
    </w:p>
    <w:p>
      <w:pPr>
        <w:pStyle w:val="0"/>
        <w:spacing w:before="200" w:line-rule="auto"/>
        <w:ind w:firstLine="540"/>
        <w:jc w:val="both"/>
      </w:pPr>
      <w:r>
        <w:rPr>
          <w:sz w:val="20"/>
        </w:rPr>
        <w:t xml:space="preserve">11) фактические значения показателей испытанных образцов, в том числе промежуточные, в соответствии с необходимыми критериями оценки и с указанием расчетной или фактической погрешности измерений;</w:t>
      </w:r>
    </w:p>
    <w:p>
      <w:pPr>
        <w:pStyle w:val="0"/>
        <w:spacing w:before="200" w:line-rule="auto"/>
        <w:ind w:firstLine="540"/>
        <w:jc w:val="both"/>
      </w:pPr>
      <w:r>
        <w:rPr>
          <w:sz w:val="20"/>
        </w:rPr>
        <w:t xml:space="preserve">12) сведения об испытаниях, выполненных другой испытательной лабораторией;</w:t>
      </w:r>
    </w:p>
    <w:p>
      <w:pPr>
        <w:pStyle w:val="0"/>
        <w:spacing w:before="200" w:line-rule="auto"/>
        <w:ind w:firstLine="540"/>
        <w:jc w:val="both"/>
      </w:pPr>
      <w:r>
        <w:rPr>
          <w:sz w:val="20"/>
        </w:rPr>
        <w:t xml:space="preserve">13) дату выпуска протокола испытаний (отчета об испытаниях).</w:t>
      </w:r>
    </w:p>
    <w:p>
      <w:pPr>
        <w:pStyle w:val="0"/>
        <w:spacing w:before="200" w:line-rule="auto"/>
        <w:ind w:firstLine="540"/>
        <w:jc w:val="both"/>
      </w:pPr>
      <w:r>
        <w:rPr>
          <w:sz w:val="20"/>
        </w:rPr>
        <w:t xml:space="preserve">25. Протокол испытаний (отчет об испытаниях) должен быть подписан всеми лицами, ответственными за их проведение, утвержден руководителем (заместителем руководителя) аккредитованной испытательной лаборатории (центра) и скреплен печатью аккредитованной испытательной лаборатории (центра). К протоколу испытаний (отчету об испытаниях) прилагается акт отбора образцов со всеми приложениями к нему.</w:t>
      </w:r>
    </w:p>
    <w:p>
      <w:pPr>
        <w:pStyle w:val="0"/>
        <w:jc w:val="both"/>
      </w:pPr>
      <w:r>
        <w:rPr>
          <w:sz w:val="20"/>
        </w:rPr>
        <w:t xml:space="preserve">(в ред. Федерального </w:t>
      </w:r>
      <w:hyperlink w:history="0" r:id="rId50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26. Протокол испытаний (отчет об испытаниях) должен включать необходимый объем информации, позволяющей получить аналогичные результаты в случае проведения повторных испытаний. Если результатом какого-либо испытания является качественная оценка соответствия продукции установленному требованию, в протоколе испытаний (отчете об испытаниях) приводится информация, на основании которой получен результат.</w:t>
      </w:r>
    </w:p>
    <w:p>
      <w:pPr>
        <w:pStyle w:val="0"/>
        <w:spacing w:before="200" w:line-rule="auto"/>
        <w:ind w:firstLine="540"/>
        <w:jc w:val="both"/>
      </w:pPr>
      <w:r>
        <w:rPr>
          <w:sz w:val="20"/>
        </w:rPr>
        <w:t xml:space="preserve">27. Не допускаются исправления и изменения в тексте протокола испытаний (отчета об испытаниях) после его выпуска.</w:t>
      </w:r>
    </w:p>
    <w:p>
      <w:pPr>
        <w:pStyle w:val="0"/>
        <w:spacing w:before="200" w:line-rule="auto"/>
        <w:ind w:firstLine="540"/>
        <w:jc w:val="both"/>
      </w:pPr>
      <w:r>
        <w:rPr>
          <w:sz w:val="20"/>
        </w:rPr>
        <w:t xml:space="preserve">28. Не допускается размещение в протоколе испытаний (отчете об испытаниях) общих оценок, рекомендаций и советов по устранению недостатков или совершенствованию испытанных изделий.</w:t>
      </w:r>
    </w:p>
    <w:p>
      <w:pPr>
        <w:pStyle w:val="0"/>
        <w:spacing w:before="200" w:line-rule="auto"/>
        <w:ind w:firstLine="540"/>
        <w:jc w:val="both"/>
      </w:pPr>
      <w:r>
        <w:rPr>
          <w:sz w:val="20"/>
        </w:rPr>
        <w:t xml:space="preserve">29. Протокол испытаний (отчет об испытаниях) распространяется только на образцы, подвергнутые испытаниям.</w:t>
      </w:r>
    </w:p>
    <w:p>
      <w:pPr>
        <w:pStyle w:val="0"/>
        <w:spacing w:before="200" w:line-rule="auto"/>
        <w:ind w:firstLine="540"/>
        <w:jc w:val="both"/>
      </w:pPr>
      <w:r>
        <w:rPr>
          <w:sz w:val="20"/>
        </w:rPr>
        <w:t xml:space="preserve">30. Анализ производства проводится с целью установления необходимых условий для изготовления продукции со стабильными характеристиками, проверяемыми при сертификации.</w:t>
      </w:r>
    </w:p>
    <w:p>
      <w:pPr>
        <w:pStyle w:val="0"/>
        <w:spacing w:before="200" w:line-rule="auto"/>
        <w:ind w:firstLine="540"/>
        <w:jc w:val="both"/>
      </w:pPr>
      <w:r>
        <w:rPr>
          <w:sz w:val="20"/>
        </w:rPr>
        <w:t xml:space="preserve">31. Оценка стабильности условий производства должна выполняться не ранее чем за 12 месяцев до дня выдачи сертификата на основе анализа состояния производства (схемы 2с и 4с).</w:t>
      </w:r>
    </w:p>
    <w:p>
      <w:pPr>
        <w:pStyle w:val="0"/>
        <w:jc w:val="both"/>
      </w:pPr>
      <w:r>
        <w:rPr>
          <w:sz w:val="20"/>
        </w:rPr>
        <w:t xml:space="preserve">(в ред. Федерального </w:t>
      </w:r>
      <w:hyperlink w:history="0" r:id="rId50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32. Основанием для проведения анализа состояния производства является решение аккредитованного органа по сертификации. Аккредитованный орган по сертификации может поручить проведение проверки состояния производства организации, имеющей в своем штате экспертов по сертификации данной продукции или экспертов по сертификации производства. В этом случае оформляется обоснованное письменное поручение аккредитованного органа по сертификации.</w:t>
      </w:r>
    </w:p>
    <w:p>
      <w:pPr>
        <w:pStyle w:val="0"/>
        <w:jc w:val="both"/>
      </w:pPr>
      <w:r>
        <w:rPr>
          <w:sz w:val="20"/>
        </w:rPr>
        <w:t xml:space="preserve">(в ред. Федерального </w:t>
      </w:r>
      <w:hyperlink w:history="0" r:id="rId50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33. При проведении анализа состояния производства должны проверяться:</w:t>
      </w:r>
    </w:p>
    <w:p>
      <w:pPr>
        <w:pStyle w:val="0"/>
        <w:spacing w:before="200" w:line-rule="auto"/>
        <w:ind w:firstLine="540"/>
        <w:jc w:val="both"/>
      </w:pPr>
      <w:r>
        <w:rPr>
          <w:sz w:val="20"/>
        </w:rPr>
        <w:t xml:space="preserve">1) технологические процессы;</w:t>
      </w:r>
    </w:p>
    <w:p>
      <w:pPr>
        <w:pStyle w:val="0"/>
        <w:spacing w:before="200" w:line-rule="auto"/>
        <w:ind w:firstLine="540"/>
        <w:jc w:val="both"/>
      </w:pPr>
      <w:r>
        <w:rPr>
          <w:sz w:val="20"/>
        </w:rPr>
        <w:t xml:space="preserve">2) технологическая документация;</w:t>
      </w:r>
    </w:p>
    <w:p>
      <w:pPr>
        <w:pStyle w:val="0"/>
        <w:spacing w:before="200" w:line-rule="auto"/>
        <w:ind w:firstLine="540"/>
        <w:jc w:val="both"/>
      </w:pPr>
      <w:r>
        <w:rPr>
          <w:sz w:val="20"/>
        </w:rPr>
        <w:t xml:space="preserve">3) средства технологического оснащения;</w:t>
      </w:r>
    </w:p>
    <w:p>
      <w:pPr>
        <w:pStyle w:val="0"/>
        <w:spacing w:before="200" w:line-rule="auto"/>
        <w:ind w:firstLine="540"/>
        <w:jc w:val="both"/>
      </w:pPr>
      <w:r>
        <w:rPr>
          <w:sz w:val="20"/>
        </w:rPr>
        <w:t xml:space="preserve">4) технологические режимы;</w:t>
      </w:r>
    </w:p>
    <w:p>
      <w:pPr>
        <w:pStyle w:val="0"/>
        <w:spacing w:before="200" w:line-rule="auto"/>
        <w:ind w:firstLine="540"/>
        <w:jc w:val="both"/>
      </w:pPr>
      <w:r>
        <w:rPr>
          <w:sz w:val="20"/>
        </w:rPr>
        <w:t xml:space="preserve">5) управление средствами технологического оснащения;</w:t>
      </w:r>
    </w:p>
    <w:p>
      <w:pPr>
        <w:pStyle w:val="0"/>
        <w:spacing w:before="200" w:line-rule="auto"/>
        <w:ind w:firstLine="540"/>
        <w:jc w:val="both"/>
      </w:pPr>
      <w:r>
        <w:rPr>
          <w:sz w:val="20"/>
        </w:rPr>
        <w:t xml:space="preserve">6) управление метрологическим оборудованием;</w:t>
      </w:r>
    </w:p>
    <w:p>
      <w:pPr>
        <w:pStyle w:val="0"/>
        <w:spacing w:before="200" w:line-rule="auto"/>
        <w:ind w:firstLine="540"/>
        <w:jc w:val="both"/>
      </w:pPr>
      <w:r>
        <w:rPr>
          <w:sz w:val="20"/>
        </w:rPr>
        <w:t xml:space="preserve">7) методики испытаний и измерений;</w:t>
      </w:r>
    </w:p>
    <w:p>
      <w:pPr>
        <w:pStyle w:val="0"/>
        <w:spacing w:before="200" w:line-rule="auto"/>
        <w:ind w:firstLine="540"/>
        <w:jc w:val="both"/>
      </w:pPr>
      <w:r>
        <w:rPr>
          <w:sz w:val="20"/>
        </w:rPr>
        <w:t xml:space="preserve">8) порядок проведения контроля сырья и комплектующих изделий;</w:t>
      </w:r>
    </w:p>
    <w:p>
      <w:pPr>
        <w:pStyle w:val="0"/>
        <w:spacing w:before="200" w:line-rule="auto"/>
        <w:ind w:firstLine="540"/>
        <w:jc w:val="both"/>
      </w:pPr>
      <w:r>
        <w:rPr>
          <w:sz w:val="20"/>
        </w:rPr>
        <w:t xml:space="preserve">9) порядок проведения контроля продукции в процессе ее производства;</w:t>
      </w:r>
    </w:p>
    <w:p>
      <w:pPr>
        <w:pStyle w:val="0"/>
        <w:spacing w:before="200" w:line-rule="auto"/>
        <w:ind w:firstLine="540"/>
        <w:jc w:val="both"/>
      </w:pPr>
      <w:r>
        <w:rPr>
          <w:sz w:val="20"/>
        </w:rPr>
        <w:t xml:space="preserve">10) управление несоответствующей продукцией;</w:t>
      </w:r>
    </w:p>
    <w:p>
      <w:pPr>
        <w:pStyle w:val="0"/>
        <w:spacing w:before="200" w:line-rule="auto"/>
        <w:ind w:firstLine="540"/>
        <w:jc w:val="both"/>
      </w:pPr>
      <w:r>
        <w:rPr>
          <w:sz w:val="20"/>
        </w:rPr>
        <w:t xml:space="preserve">11) порядок работы с рекламациями.</w:t>
      </w:r>
    </w:p>
    <w:p>
      <w:pPr>
        <w:pStyle w:val="0"/>
        <w:spacing w:before="200" w:line-rule="auto"/>
        <w:ind w:firstLine="540"/>
        <w:jc w:val="both"/>
      </w:pPr>
      <w:r>
        <w:rPr>
          <w:sz w:val="20"/>
        </w:rPr>
        <w:t xml:space="preserve">34. Недостатки, выявленные в процессе проверки, классифицируются как существенные или несущественные несоответствия.</w:t>
      </w:r>
    </w:p>
    <w:p>
      <w:pPr>
        <w:pStyle w:val="0"/>
        <w:spacing w:before="200" w:line-rule="auto"/>
        <w:ind w:firstLine="540"/>
        <w:jc w:val="both"/>
      </w:pPr>
      <w:r>
        <w:rPr>
          <w:sz w:val="20"/>
        </w:rPr>
        <w:t xml:space="preserve">35. К существенным несоответствиям относятся:</w:t>
      </w:r>
    </w:p>
    <w:p>
      <w:pPr>
        <w:pStyle w:val="0"/>
        <w:spacing w:before="200" w:line-rule="auto"/>
        <w:ind w:firstLine="540"/>
        <w:jc w:val="both"/>
      </w:pPr>
      <w:r>
        <w:rPr>
          <w:sz w:val="20"/>
        </w:rPr>
        <w:t xml:space="preserve">1) отсутствие нормативной и технологической документации на продукцию;</w:t>
      </w:r>
    </w:p>
    <w:p>
      <w:pPr>
        <w:pStyle w:val="0"/>
        <w:spacing w:before="200" w:line-rule="auto"/>
        <w:ind w:firstLine="540"/>
        <w:jc w:val="both"/>
      </w:pPr>
      <w:r>
        <w:rPr>
          <w:sz w:val="20"/>
        </w:rPr>
        <w:t xml:space="preserve">2) отсутствие описания выполняемых операций с указанием средств технологического оснащения, точек и порядка контроля;</w:t>
      </w:r>
    </w:p>
    <w:p>
      <w:pPr>
        <w:pStyle w:val="0"/>
        <w:spacing w:before="200" w:line-rule="auto"/>
        <w:ind w:firstLine="540"/>
        <w:jc w:val="both"/>
      </w:pPr>
      <w:r>
        <w:rPr>
          <w:sz w:val="20"/>
        </w:rPr>
        <w:t xml:space="preserve">3) отсутствие необходимых средств технического оснащения и средств контроля и испытаний;</w:t>
      </w:r>
    </w:p>
    <w:p>
      <w:pPr>
        <w:pStyle w:val="0"/>
        <w:spacing w:before="200" w:line-rule="auto"/>
        <w:ind w:firstLine="540"/>
        <w:jc w:val="both"/>
      </w:pPr>
      <w:r>
        <w:rPr>
          <w:sz w:val="20"/>
        </w:rPr>
        <w:t xml:space="preserve">4) использование средств контроля и испытаний, не прошедших метрологический контроль в установленном порядке и в установленные сроки;</w:t>
      </w:r>
    </w:p>
    <w:p>
      <w:pPr>
        <w:pStyle w:val="0"/>
        <w:spacing w:before="200" w:line-rule="auto"/>
        <w:ind w:firstLine="540"/>
        <w:jc w:val="both"/>
      </w:pPr>
      <w:r>
        <w:rPr>
          <w:sz w:val="20"/>
        </w:rPr>
        <w:t xml:space="preserve">5) отсутствие документированных процедур контроля, обеспечивающих стабильность характеристик продукции, или их невыполнение.</w:t>
      </w:r>
    </w:p>
    <w:p>
      <w:pPr>
        <w:pStyle w:val="0"/>
        <w:spacing w:before="200" w:line-rule="auto"/>
        <w:ind w:firstLine="540"/>
        <w:jc w:val="both"/>
      </w:pPr>
      <w:r>
        <w:rPr>
          <w:sz w:val="20"/>
        </w:rPr>
        <w:t xml:space="preserve">36. Наличие существенных несоответствий свидетельствует о неудовлетворительном состоянии производства.</w:t>
      </w:r>
    </w:p>
    <w:p>
      <w:pPr>
        <w:pStyle w:val="0"/>
        <w:spacing w:before="200" w:line-rule="auto"/>
        <w:ind w:firstLine="540"/>
        <w:jc w:val="both"/>
      </w:pPr>
      <w:r>
        <w:rPr>
          <w:sz w:val="20"/>
        </w:rPr>
        <w:t xml:space="preserve">37. При наличии одного или нескольких существенных несоответствий организация должна провести корректирующие мероприятия в сроки, согласованные с аккредитованным органом по сертификации.</w:t>
      </w:r>
    </w:p>
    <w:p>
      <w:pPr>
        <w:pStyle w:val="0"/>
        <w:spacing w:before="200" w:line-rule="auto"/>
        <w:ind w:firstLine="540"/>
        <w:jc w:val="both"/>
      </w:pPr>
      <w:r>
        <w:rPr>
          <w:sz w:val="20"/>
        </w:rPr>
        <w:t xml:space="preserve">38. Несущественные замечания должны быть устранены не позднее дня проведения очередного инспекционного контроля.</w:t>
      </w:r>
    </w:p>
    <w:p>
      <w:pPr>
        <w:pStyle w:val="0"/>
        <w:spacing w:before="200" w:line-rule="auto"/>
        <w:ind w:firstLine="540"/>
        <w:jc w:val="both"/>
      </w:pPr>
      <w:r>
        <w:rPr>
          <w:sz w:val="20"/>
        </w:rPr>
        <w:t xml:space="preserve">39. По результатам проверки составляется акт о результатах анализа состояния производства сертифицируемой продукции. В акте указываются:</w:t>
      </w:r>
    </w:p>
    <w:p>
      <w:pPr>
        <w:pStyle w:val="0"/>
        <w:spacing w:before="200" w:line-rule="auto"/>
        <w:ind w:firstLine="540"/>
        <w:jc w:val="both"/>
      </w:pPr>
      <w:r>
        <w:rPr>
          <w:sz w:val="20"/>
        </w:rPr>
        <w:t xml:space="preserve">1) результаты проверки;</w:t>
      </w:r>
    </w:p>
    <w:p>
      <w:pPr>
        <w:pStyle w:val="0"/>
        <w:spacing w:before="200" w:line-rule="auto"/>
        <w:ind w:firstLine="540"/>
        <w:jc w:val="both"/>
      </w:pPr>
      <w:r>
        <w:rPr>
          <w:sz w:val="20"/>
        </w:rPr>
        <w:t xml:space="preserve">2) дополнительные материалы, использованные при анализе состояния производства сертифицируемой продукции;</w:t>
      </w:r>
    </w:p>
    <w:p>
      <w:pPr>
        <w:pStyle w:val="0"/>
        <w:spacing w:before="200" w:line-rule="auto"/>
        <w:ind w:firstLine="540"/>
        <w:jc w:val="both"/>
      </w:pPr>
      <w:r>
        <w:rPr>
          <w:sz w:val="20"/>
        </w:rPr>
        <w:t xml:space="preserve">3) общая оценка состояния производства;</w:t>
      </w:r>
    </w:p>
    <w:p>
      <w:pPr>
        <w:pStyle w:val="0"/>
        <w:spacing w:before="200" w:line-rule="auto"/>
        <w:ind w:firstLine="540"/>
        <w:jc w:val="both"/>
      </w:pPr>
      <w:r>
        <w:rPr>
          <w:sz w:val="20"/>
        </w:rPr>
        <w:t xml:space="preserve">4) необходимость и сроки выполнения корректирующих мероприятий.</w:t>
      </w:r>
    </w:p>
    <w:p>
      <w:pPr>
        <w:pStyle w:val="0"/>
        <w:spacing w:before="200" w:line-rule="auto"/>
        <w:ind w:firstLine="540"/>
        <w:jc w:val="both"/>
      </w:pPr>
      <w:r>
        <w:rPr>
          <w:sz w:val="20"/>
        </w:rPr>
        <w:t xml:space="preserve">40. Акт о результатах анализа состояния производства сертифицируемой продукции хранится аккредитованным органом по сертификации, а его копия направляется заявителю (изготовителю, продавцу).</w:t>
      </w:r>
    </w:p>
    <w:p>
      <w:pPr>
        <w:pStyle w:val="0"/>
        <w:spacing w:before="200" w:line-rule="auto"/>
        <w:ind w:firstLine="540"/>
        <w:jc w:val="both"/>
      </w:pPr>
      <w:r>
        <w:rPr>
          <w:sz w:val="20"/>
        </w:rPr>
        <w:t xml:space="preserve">41. Решение о конфиденциальности информации, полученной в ходе проверки, принимает проверяемая организация.</w:t>
      </w:r>
    </w:p>
    <w:p>
      <w:pPr>
        <w:pStyle w:val="0"/>
        <w:spacing w:before="200" w:line-rule="auto"/>
        <w:ind w:firstLine="540"/>
        <w:jc w:val="both"/>
      </w:pPr>
      <w:r>
        <w:rPr>
          <w:sz w:val="20"/>
        </w:rPr>
        <w:t xml:space="preserve">42. Аккредитованный орган по сертификации учитывает результаты анализа состояния производства наряду с протоколом испытаний (отчетом об испытаниях) при принятии решения о возможности и об условиях выдачи сертификата.</w:t>
      </w:r>
    </w:p>
    <w:p>
      <w:pPr>
        <w:pStyle w:val="0"/>
        <w:spacing w:before="200" w:line-rule="auto"/>
        <w:ind w:firstLine="540"/>
        <w:jc w:val="both"/>
      </w:pPr>
      <w:r>
        <w:rPr>
          <w:sz w:val="20"/>
        </w:rPr>
        <w:t xml:space="preserve">43. Аккредитованный орган по сертификации после анализа протокола испытаний (отчета об испытаниях), результатов анализа состояния производства (если это установлено схемой сертификации), других документов о соответствии продукции требованиям пожарной безопасности готовит решение о выдаче (об отказе в выдаче) сертификата.</w:t>
      </w:r>
    </w:p>
    <w:p>
      <w:pPr>
        <w:pStyle w:val="0"/>
        <w:spacing w:before="200" w:line-rule="auto"/>
        <w:ind w:firstLine="540"/>
        <w:jc w:val="both"/>
      </w:pPr>
      <w:r>
        <w:rPr>
          <w:sz w:val="20"/>
        </w:rPr>
        <w:t xml:space="preserve">44. На основании решения о выдаче сертификата соответствия продукции требованиям пожарной безопасности аккредитованный орган по сертификации оформляет сертификат, регистрирует его в едином реестре в установленном </w:t>
      </w:r>
      <w:hyperlink w:history="0" r:id="rId507" w:tooltip="Решение Комиссии Таможенного союза от 18.06.2010 N 319 (ред. от 05.12.2018) &quot;О техническом регулировании в таможенном союзе&quot; (вместе с &quot;Положением о порядке включения органов по сертификации и испытательных лабораторий (центров) в Единый реестр органов по сертификации и испытательных лабораторий (центров) таможенного союза, а также его формирования и ведения&quot;, &quot;Положением о формировании и ведении Единого реестра выданных сертификатов соответствия и зарегистрированных деклараций о соответствии&quot;) {КонсультантПлюс}">
        <w:r>
          <w:rPr>
            <w:sz w:val="20"/>
            <w:color w:val="0000ff"/>
          </w:rPr>
          <w:t xml:space="preserve">порядке</w:t>
        </w:r>
      </w:hyperlink>
      <w:r>
        <w:rPr>
          <w:sz w:val="20"/>
        </w:rPr>
        <w:t xml:space="preserve"> и выдает заявителю (изготовителю, продавцу). Сертификат действителен только при наличии регистрационного номера.</w:t>
      </w:r>
    </w:p>
    <w:p>
      <w:pPr>
        <w:pStyle w:val="0"/>
        <w:spacing w:before="200" w:line-rule="auto"/>
        <w:ind w:firstLine="540"/>
        <w:jc w:val="both"/>
      </w:pPr>
      <w:r>
        <w:rPr>
          <w:sz w:val="20"/>
        </w:rPr>
        <w:t xml:space="preserve">45. При отрицательных результатах оценки соответствия продукции установленным требованиям аккредитованный орган по сертификации выдает решение об отказе в выдаче сертификата с указанием причин.</w:t>
      </w:r>
    </w:p>
    <w:p>
      <w:pPr>
        <w:pStyle w:val="0"/>
        <w:spacing w:before="200" w:line-rule="auto"/>
        <w:ind w:firstLine="540"/>
        <w:jc w:val="both"/>
      </w:pPr>
      <w:r>
        <w:rPr>
          <w:sz w:val="20"/>
        </w:rPr>
        <w:t xml:space="preserve">46. Сертификат соответствия продукции требованиям настоящего Федерального закона оформляется в соответствии с </w:t>
      </w:r>
      <w:hyperlink w:history="0" r:id="rId508"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47. Сертификат соответствия продукции требованиям пожарной безопасности может иметь приложение, содержащее перечень конкретных видов и типов продукции, на которые распространяется его действие.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действия документов об оценке соответствия обязательным требованиям, истекающий с 14.03.2022 до 01.09.2022, продлевается на 12 месяцев (</w:t>
            </w:r>
            <w:hyperlink w:history="0" r:id="rId509" w:tooltip="Постановление Правительства РФ от 12.03.2022 N 353 (ред. от 15.10.2022) &quot;Об особенностях разрешительной деятельности в Российской Федерации в 2022 и 2023 годах&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48. Для продукции, выпускаемой серийно, срок действия сертификата соответствия продукции требованиям пожарной безопасности устанавливается для схем:</w:t>
      </w:r>
    </w:p>
    <w:p>
      <w:pPr>
        <w:pStyle w:val="0"/>
        <w:spacing w:before="200" w:line-rule="auto"/>
        <w:ind w:firstLine="540"/>
        <w:jc w:val="both"/>
      </w:pPr>
      <w:r>
        <w:rPr>
          <w:sz w:val="20"/>
        </w:rPr>
        <w:t xml:space="preserve">1) 2с - не более 1 года;</w:t>
      </w:r>
    </w:p>
    <w:p>
      <w:pPr>
        <w:pStyle w:val="0"/>
        <w:spacing w:before="200" w:line-rule="auto"/>
        <w:ind w:firstLine="540"/>
        <w:jc w:val="both"/>
      </w:pPr>
      <w:r>
        <w:rPr>
          <w:sz w:val="20"/>
        </w:rPr>
        <w:t xml:space="preserve">2) 3с - не более 3 лет;</w:t>
      </w:r>
    </w:p>
    <w:p>
      <w:pPr>
        <w:pStyle w:val="0"/>
        <w:spacing w:before="200" w:line-rule="auto"/>
        <w:ind w:firstLine="540"/>
        <w:jc w:val="both"/>
      </w:pPr>
      <w:r>
        <w:rPr>
          <w:sz w:val="20"/>
        </w:rPr>
        <w:t xml:space="preserve">3) 4с - не более 5 лет.</w:t>
      </w:r>
    </w:p>
    <w:p>
      <w:pPr>
        <w:pStyle w:val="0"/>
        <w:jc w:val="both"/>
      </w:pPr>
      <w:r>
        <w:rPr>
          <w:sz w:val="20"/>
        </w:rPr>
        <w:t xml:space="preserve">(в ред. Федерального </w:t>
      </w:r>
      <w:hyperlink w:history="0" r:id="rId51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действия документов об оценке соответствия обязательным требованиям, истекающий с 14.03.2022 до 01.09.2022, продлевается на 12 месяцев (</w:t>
            </w:r>
            <w:hyperlink w:history="0" r:id="rId511" w:tooltip="Постановление Правительства РФ от 12.03.2022 N 353 (ред. от 15.10.2022) &quot;Об особенностях разрешительной деятельности в Российской Федерации в 2022 и 2023 годах&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49. Для продукции, выпускаемой единично или партиями (схемы 6с и 7с), срок действия выданного сертификата соответствия продукции требованиям пожарной безопасности устанавливается до окончания срока годности (службы) указанной продукции,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По истечении указанного срока продукция может перестать удовлетворять требованиям пожарной безопасности. Если такой срок изготовителем не установлен, срок действия сертификата составляет 1 год.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действия документов об оценке соответствия обязательным требованиям, истекающий с 14.03.2022 до 01.09.2022, продлевается на 12 месяцев (</w:t>
            </w:r>
            <w:hyperlink w:history="0" r:id="rId512" w:tooltip="Постановление Правительства РФ от 12.03.2022 N 353 (ред. от 15.10.2022) &quot;Об особенностях разрешительной деятельности в Российской Федерации в 2022 и 2023 годах&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50. Для продукции, реализуемой изготовителем в течение срока действия сертификата на серийно выпускаемую продукцию (серийный выпуск), сертификат действителен после ее поставки, продажи в течение срока годности (службы),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Если срок изготовителем не установлен, то для данной продукции сертификат действителен в течение 1 года после даты окончания его действия. В течение этих же сроков действителен и сертификат на партию продукции.</w:t>
      </w:r>
    </w:p>
    <w:p>
      <w:pPr>
        <w:pStyle w:val="0"/>
        <w:spacing w:before="200" w:line-rule="auto"/>
        <w:ind w:firstLine="540"/>
        <w:jc w:val="both"/>
      </w:pPr>
      <w:r>
        <w:rPr>
          <w:sz w:val="20"/>
        </w:rPr>
        <w:t xml:space="preserve">51. По истечении срока действия сертификата на серийно выпускаемую продукцию, сертифицированную по схеме 4с, срок действия сертификата на ту же продукцию может быть продлен по решению аккредитованного органа по сертификации, проводившего предыдущую сертификацию, на основании положительных результатов инспекционного контроля этой продукции и протокола испытаний (отчета об испытаниях), проведенных с учетом ранее проведенных испытаний по сокращенной программе. Для продления срока действия сертификата соответствия заявитель направляет в аккредитованный орган по сертификации запрос о продлении срока действия сертификата соответствия, содержащий заявление о том, что с момента проведения инспекционного контроля изменения в рецептуру и процесс изготовления сертифицированной продукции, влияющие на ее безопасность, не вносились. К запросу должен быть приложен оригинал ранее выданного сертификата соответствия.</w:t>
      </w:r>
    </w:p>
    <w:p>
      <w:pPr>
        <w:pStyle w:val="0"/>
        <w:jc w:val="both"/>
      </w:pPr>
      <w:r>
        <w:rPr>
          <w:sz w:val="20"/>
        </w:rPr>
        <w:t xml:space="preserve">(в ред. Федерального </w:t>
      </w:r>
      <w:hyperlink w:history="0" r:id="rId51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52. При внесении изменений в конструкцию (состав) продукции или технологию ее производства изготовитель должен известить об этом аккредитованный орган по сертификации, выдавший сертификат. Аккредитованный орган по сертификации принимает решение о распространении действия сертификата на модернизированную продукцию или о необходимости проведения новых испытаний или дополнительной оценки производства этой продукции.</w:t>
      </w:r>
    </w:p>
    <w:p>
      <w:pPr>
        <w:pStyle w:val="0"/>
        <w:spacing w:before="200" w:line-rule="auto"/>
        <w:ind w:firstLine="540"/>
        <w:jc w:val="both"/>
      </w:pPr>
      <w:r>
        <w:rPr>
          <w:sz w:val="20"/>
        </w:rPr>
        <w:t xml:space="preserve">53. Инспекционный контроль за сертифицированной продукцией осуществляют аккредитованные органы по сертификации, проводившие ее сертификацию, с привлечением при необходимости представителей испытательной лаборатории, проводившей испытания. Инспекционный контроль проводится в форме периодических и внеплановых проверок, обеспечивающих получение информации о сертифицированной продукции в виде результатов испытаний и анализа состояния производства, о соблюдении условий и правил применения сертификата и знака обращения на рынке в целях подтверждения того, что продукция в течение времени действия сертификата продолжает соответствовать требованиям пожарной безопасности.</w:t>
      </w:r>
    </w:p>
    <w:p>
      <w:pPr>
        <w:pStyle w:val="0"/>
        <w:spacing w:before="200" w:line-rule="auto"/>
        <w:ind w:firstLine="540"/>
        <w:jc w:val="both"/>
      </w:pPr>
      <w:r>
        <w:rPr>
          <w:sz w:val="20"/>
        </w:rPr>
        <w:t xml:space="preserve">54. Инспекционный контроль за сертифицированной продукцией проводится при сроке действия сертификата более 1 года:</w:t>
      </w:r>
    </w:p>
    <w:p>
      <w:pPr>
        <w:pStyle w:val="0"/>
        <w:spacing w:before="200" w:line-rule="auto"/>
        <w:ind w:firstLine="540"/>
        <w:jc w:val="both"/>
      </w:pPr>
      <w:r>
        <w:rPr>
          <w:sz w:val="20"/>
        </w:rPr>
        <w:t xml:space="preserve">1) не более одного раза за период действия сертификата, выданного на срок до 2 лет включительно;</w:t>
      </w:r>
    </w:p>
    <w:p>
      <w:pPr>
        <w:pStyle w:val="0"/>
        <w:spacing w:before="200" w:line-rule="auto"/>
        <w:ind w:firstLine="540"/>
        <w:jc w:val="both"/>
      </w:pPr>
      <w:r>
        <w:rPr>
          <w:sz w:val="20"/>
        </w:rPr>
        <w:t xml:space="preserve">2) не менее двух раз за период действия сертификата, выданного на срок от 2 до 4 лет включительно;</w:t>
      </w:r>
    </w:p>
    <w:p>
      <w:pPr>
        <w:pStyle w:val="0"/>
        <w:spacing w:before="200" w:line-rule="auto"/>
        <w:ind w:firstLine="540"/>
        <w:jc w:val="both"/>
      </w:pPr>
      <w:r>
        <w:rPr>
          <w:sz w:val="20"/>
        </w:rPr>
        <w:t xml:space="preserve">3) не менее трех раз за период действия сертификата, выданного на срок более 4 лет.</w:t>
      </w:r>
    </w:p>
    <w:p>
      <w:pPr>
        <w:pStyle w:val="0"/>
        <w:spacing w:before="200" w:line-rule="auto"/>
        <w:ind w:firstLine="540"/>
        <w:jc w:val="both"/>
      </w:pPr>
      <w:r>
        <w:rPr>
          <w:sz w:val="20"/>
        </w:rPr>
        <w:t xml:space="preserve">55. Критериями для определения периодичности и объема инспекционного контроля являются степень потенциальной опасности продукции, результаты проведенной сертификации продукции, стабильность производства, объем выпуска продукции и стоимость проведения инспекционного контроля.</w:t>
      </w:r>
    </w:p>
    <w:p>
      <w:pPr>
        <w:pStyle w:val="0"/>
        <w:jc w:val="both"/>
      </w:pPr>
      <w:r>
        <w:rPr>
          <w:sz w:val="20"/>
        </w:rPr>
        <w:t xml:space="preserve">(в ред. Федерального </w:t>
      </w:r>
      <w:hyperlink w:history="0" r:id="rId51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56. Объем, периодичность, содержание и порядок проведения инспекционного контроля устанавливаются в решении аккредитованного органа по сертификации о выдаче сертификата.</w:t>
      </w:r>
    </w:p>
    <w:p>
      <w:pPr>
        <w:pStyle w:val="0"/>
        <w:spacing w:before="200" w:line-rule="auto"/>
        <w:ind w:firstLine="540"/>
        <w:jc w:val="both"/>
      </w:pPr>
      <w:r>
        <w:rPr>
          <w:sz w:val="20"/>
        </w:rPr>
        <w:t xml:space="preserve">57. Внеплановый инспекционный контроль проводится в случае поступления информации о претензиях к безопасности продукции от потребителей, торговых организаций, а также от органов, осуществляющих общественный или государственный контроль за качеством продукции, на которую выдан сертификат.</w:t>
      </w:r>
    </w:p>
    <w:p>
      <w:pPr>
        <w:pStyle w:val="0"/>
        <w:spacing w:before="200" w:line-rule="auto"/>
        <w:ind w:firstLine="540"/>
        <w:jc w:val="both"/>
      </w:pPr>
      <w:r>
        <w:rPr>
          <w:sz w:val="20"/>
        </w:rPr>
        <w:t xml:space="preserve">58. Инспекционный контроль, как правило, включает в себя:</w:t>
      </w:r>
    </w:p>
    <w:p>
      <w:pPr>
        <w:pStyle w:val="0"/>
        <w:spacing w:before="200" w:line-rule="auto"/>
        <w:ind w:firstLine="540"/>
        <w:jc w:val="both"/>
      </w:pPr>
      <w:r>
        <w:rPr>
          <w:sz w:val="20"/>
        </w:rPr>
        <w:t xml:space="preserve">1) анализ материалов сертификации продукции;</w:t>
      </w:r>
    </w:p>
    <w:p>
      <w:pPr>
        <w:pStyle w:val="0"/>
        <w:spacing w:before="200" w:line-rule="auto"/>
        <w:ind w:firstLine="540"/>
        <w:jc w:val="both"/>
      </w:pPr>
      <w:r>
        <w:rPr>
          <w:sz w:val="20"/>
        </w:rPr>
        <w:t xml:space="preserve">2) анализ поступающей информации о сертифицированной продукции;</w:t>
      </w:r>
    </w:p>
    <w:p>
      <w:pPr>
        <w:pStyle w:val="0"/>
        <w:spacing w:before="200" w:line-rule="auto"/>
        <w:ind w:firstLine="540"/>
        <w:jc w:val="both"/>
      </w:pPr>
      <w:r>
        <w:rPr>
          <w:sz w:val="20"/>
        </w:rPr>
        <w:t xml:space="preserve">3) проверку соответствия документов на сертифицированную продукцию требованиям настоящего Федерального закона;</w:t>
      </w:r>
    </w:p>
    <w:p>
      <w:pPr>
        <w:pStyle w:val="0"/>
        <w:spacing w:before="200" w:line-rule="auto"/>
        <w:ind w:firstLine="540"/>
        <w:jc w:val="both"/>
      </w:pPr>
      <w:r>
        <w:rPr>
          <w:sz w:val="20"/>
        </w:rPr>
        <w:t xml:space="preserve">4) отбор и идентификацию образцов, проведение испытаний образцов и анализ полученных результатов;</w:t>
      </w:r>
    </w:p>
    <w:p>
      <w:pPr>
        <w:pStyle w:val="0"/>
        <w:spacing w:before="200" w:line-rule="auto"/>
        <w:ind w:firstLine="540"/>
        <w:jc w:val="both"/>
      </w:pPr>
      <w:r>
        <w:rPr>
          <w:sz w:val="20"/>
        </w:rPr>
        <w:t xml:space="preserve">5) проверку состояния производства, если это предусмотрено схемой сертификации;</w:t>
      </w:r>
    </w:p>
    <w:p>
      <w:pPr>
        <w:pStyle w:val="0"/>
        <w:spacing w:before="200" w:line-rule="auto"/>
        <w:ind w:firstLine="540"/>
        <w:jc w:val="both"/>
      </w:pPr>
      <w:r>
        <w:rPr>
          <w:sz w:val="20"/>
        </w:rPr>
        <w:t xml:space="preserve">6) анализ результатов и решений, принятых по результатам контроля;</w:t>
      </w:r>
    </w:p>
    <w:p>
      <w:pPr>
        <w:pStyle w:val="0"/>
        <w:spacing w:before="200" w:line-rule="auto"/>
        <w:ind w:firstLine="540"/>
        <w:jc w:val="both"/>
      </w:pPr>
      <w:r>
        <w:rPr>
          <w:sz w:val="20"/>
        </w:rPr>
        <w:t xml:space="preserve">7) проверку корректирующих мероприятий по устранению ранее выявленных несоответствий;</w:t>
      </w:r>
    </w:p>
    <w:p>
      <w:pPr>
        <w:pStyle w:val="0"/>
        <w:spacing w:before="200" w:line-rule="auto"/>
        <w:ind w:firstLine="540"/>
        <w:jc w:val="both"/>
      </w:pPr>
      <w:r>
        <w:rPr>
          <w:sz w:val="20"/>
        </w:rPr>
        <w:t xml:space="preserve">8) проверку правильности маркировки продукции знаком обращения продукции на рынке;</w:t>
      </w:r>
    </w:p>
    <w:p>
      <w:pPr>
        <w:pStyle w:val="0"/>
        <w:spacing w:before="200" w:line-rule="auto"/>
        <w:ind w:firstLine="540"/>
        <w:jc w:val="both"/>
      </w:pPr>
      <w:r>
        <w:rPr>
          <w:sz w:val="20"/>
        </w:rPr>
        <w:t xml:space="preserve">9) анализ рекламаций на сертифицированную продукцию.</w:t>
      </w:r>
    </w:p>
    <w:p>
      <w:pPr>
        <w:pStyle w:val="0"/>
        <w:spacing w:before="200" w:line-rule="auto"/>
        <w:ind w:firstLine="540"/>
        <w:jc w:val="both"/>
      </w:pPr>
      <w:r>
        <w:rPr>
          <w:sz w:val="20"/>
        </w:rPr>
        <w:t xml:space="preserve">59. Содержание, объем и порядок проведения испытаний при проведении инспекционного контроля определяет аккредитованный орган по сертификации, проводящий контроль.</w:t>
      </w:r>
    </w:p>
    <w:p>
      <w:pPr>
        <w:pStyle w:val="0"/>
        <w:spacing w:before="200" w:line-rule="auto"/>
        <w:ind w:firstLine="540"/>
        <w:jc w:val="both"/>
      </w:pPr>
      <w:r>
        <w:rPr>
          <w:sz w:val="20"/>
        </w:rPr>
        <w:t xml:space="preserve">60. В качестве результатов испытаний, подтверждающих соответствие продукции установленным требованиям, допускается использование протоколов периодических испытаний, проведенных или организованных изготовителем, а также испытаний, проведенных или организованных изготовителем в присутствии представителя аккредитованного органа по сертификации по разработанной им программе и с соблюдением условий, необходимых для обеспечения достоверности результатов.</w:t>
      </w:r>
    </w:p>
    <w:p>
      <w:pPr>
        <w:pStyle w:val="0"/>
        <w:spacing w:before="200" w:line-rule="auto"/>
        <w:ind w:firstLine="540"/>
        <w:jc w:val="both"/>
      </w:pPr>
      <w:r>
        <w:rPr>
          <w:sz w:val="20"/>
        </w:rPr>
        <w:t xml:space="preserve">61. В случае получения отрицательных результатов при испытаниях, проведенных или организованных изготовителем в присутствии представителя аккредитованного органа по сертификации, должны быть проведены повторные испытания вновь отобранных образцов аккредитованной испытательной лабораторией. Результаты повторных испытаний считаются окончательными и распространяются на всю сертифицированную продукцию.</w:t>
      </w:r>
    </w:p>
    <w:p>
      <w:pPr>
        <w:pStyle w:val="0"/>
        <w:spacing w:before="200" w:line-rule="auto"/>
        <w:ind w:firstLine="540"/>
        <w:jc w:val="both"/>
      </w:pPr>
      <w:r>
        <w:rPr>
          <w:sz w:val="20"/>
        </w:rPr>
        <w:t xml:space="preserve">62. Инспекционные испытания продукции, сертифицированной в соответствии со схемой 3с, проводятся только аккредитованными испытательными лабораториями.</w:t>
      </w:r>
    </w:p>
    <w:p>
      <w:pPr>
        <w:pStyle w:val="0"/>
        <w:spacing w:before="200" w:line-rule="auto"/>
        <w:ind w:firstLine="540"/>
        <w:jc w:val="both"/>
      </w:pPr>
      <w:r>
        <w:rPr>
          <w:sz w:val="20"/>
        </w:rPr>
        <w:t xml:space="preserve">63. Внеплановую инспекционную проверку производства проводят при наличии информации о нарушениях настоящего Федерального закона.</w:t>
      </w:r>
    </w:p>
    <w:p>
      <w:pPr>
        <w:pStyle w:val="0"/>
        <w:spacing w:before="200" w:line-rule="auto"/>
        <w:ind w:firstLine="540"/>
        <w:jc w:val="both"/>
      </w:pPr>
      <w:r>
        <w:rPr>
          <w:sz w:val="20"/>
        </w:rPr>
        <w:t xml:space="preserve">64. Результаты инспекционного контроля оформляются актом о проведении инспекционного контроля.</w:t>
      </w:r>
    </w:p>
    <w:p>
      <w:pPr>
        <w:pStyle w:val="0"/>
        <w:spacing w:before="200" w:line-rule="auto"/>
        <w:ind w:firstLine="540"/>
        <w:jc w:val="both"/>
      </w:pPr>
      <w:r>
        <w:rPr>
          <w:sz w:val="20"/>
        </w:rPr>
        <w:t xml:space="preserve">65. В акте о проведении инспекционного контроля делается заключение о соответствии продукции требованиям настоящего Федерального закона, стабильности их выполнения и возможности сохранения действия выданного сертификата или о приостановлении (об отмене) действия сертификата.</w:t>
      </w:r>
    </w:p>
    <w:p>
      <w:pPr>
        <w:pStyle w:val="0"/>
        <w:spacing w:before="200" w:line-rule="auto"/>
        <w:ind w:firstLine="540"/>
        <w:jc w:val="both"/>
      </w:pPr>
      <w:r>
        <w:rPr>
          <w:sz w:val="20"/>
        </w:rPr>
        <w:t xml:space="preserve">66. При проведении корректирующих мероприятий аккредитованный орган по сертификации:</w:t>
      </w:r>
    </w:p>
    <w:p>
      <w:pPr>
        <w:pStyle w:val="0"/>
        <w:spacing w:before="200" w:line-rule="auto"/>
        <w:ind w:firstLine="540"/>
        <w:jc w:val="both"/>
      </w:pPr>
      <w:r>
        <w:rPr>
          <w:sz w:val="20"/>
        </w:rPr>
        <w:t xml:space="preserve">1) приостанавливает действие сертификата соответствия требованиям настоящего Федерального закона;</w:t>
      </w:r>
    </w:p>
    <w:p>
      <w:pPr>
        <w:pStyle w:val="0"/>
        <w:spacing w:before="200" w:line-rule="auto"/>
        <w:ind w:firstLine="540"/>
        <w:jc w:val="both"/>
      </w:pPr>
      <w:r>
        <w:rPr>
          <w:sz w:val="20"/>
        </w:rPr>
        <w:t xml:space="preserve">2) информирует в установленном порядке органы государственного контроля (надзора) о приостановлении или прекращении действия сертификата соответствия требованиям настоящего Федерального закона;</w:t>
      </w:r>
    </w:p>
    <w:p>
      <w:pPr>
        <w:pStyle w:val="0"/>
        <w:spacing w:before="200" w:line-rule="auto"/>
        <w:ind w:firstLine="540"/>
        <w:jc w:val="both"/>
      </w:pPr>
      <w:r>
        <w:rPr>
          <w:sz w:val="20"/>
        </w:rPr>
        <w:t xml:space="preserve">3) устанавливает срок выполнения изготовителем (продавцом) корректирующих мероприятий;</w:t>
      </w:r>
    </w:p>
    <w:p>
      <w:pPr>
        <w:pStyle w:val="0"/>
        <w:spacing w:before="200" w:line-rule="auto"/>
        <w:ind w:firstLine="540"/>
        <w:jc w:val="both"/>
      </w:pPr>
      <w:r>
        <w:rPr>
          <w:sz w:val="20"/>
        </w:rPr>
        <w:t xml:space="preserve">4) контролирует выполнение изготовителем (продавцом) корректирующих мероприятий.</w:t>
      </w:r>
    </w:p>
    <w:p>
      <w:pPr>
        <w:pStyle w:val="0"/>
        <w:spacing w:before="200" w:line-rule="auto"/>
        <w:ind w:firstLine="540"/>
        <w:jc w:val="both"/>
      </w:pPr>
      <w:r>
        <w:rPr>
          <w:sz w:val="20"/>
        </w:rPr>
        <w:t xml:space="preserve">67. После того как корректирующие мероприятия выполнены и их результаты признаны удовлетворительными, аккредитованный орган по сертификации возобновляет действие сертификата.</w:t>
      </w:r>
    </w:p>
    <w:p>
      <w:pPr>
        <w:pStyle w:val="0"/>
        <w:spacing w:before="200" w:line-rule="auto"/>
        <w:ind w:firstLine="540"/>
        <w:jc w:val="both"/>
      </w:pPr>
      <w:r>
        <w:rPr>
          <w:sz w:val="20"/>
        </w:rPr>
        <w:t xml:space="preserve">68. В случае невыполнения изготовителем (продавцом) корректирующих мероприятий или в случае их неэффективности аккредитованный орган по сертификации прекращает действие сертификата и выдает держателю сертификата решение об отмене действия сертификата.</w:t>
      </w:r>
    </w:p>
    <w:p>
      <w:pPr>
        <w:pStyle w:val="0"/>
        <w:spacing w:before="200" w:line-rule="auto"/>
        <w:ind w:firstLine="540"/>
        <w:jc w:val="both"/>
      </w:pPr>
      <w:r>
        <w:rPr>
          <w:sz w:val="20"/>
        </w:rPr>
        <w:t xml:space="preserve">69. Основаниями для рассмотрения вопроса о прекращении действия сертификата могут являться:</w:t>
      </w:r>
    </w:p>
    <w:p>
      <w:pPr>
        <w:pStyle w:val="0"/>
        <w:spacing w:before="200" w:line-rule="auto"/>
        <w:ind w:firstLine="540"/>
        <w:jc w:val="both"/>
      </w:pPr>
      <w:r>
        <w:rPr>
          <w:sz w:val="20"/>
        </w:rPr>
        <w:t xml:space="preserve">1) изменение конструкции (состава) и комплектности продукции;</w:t>
      </w:r>
    </w:p>
    <w:p>
      <w:pPr>
        <w:pStyle w:val="0"/>
        <w:spacing w:before="200" w:line-rule="auto"/>
        <w:ind w:firstLine="540"/>
        <w:jc w:val="both"/>
      </w:pPr>
      <w:r>
        <w:rPr>
          <w:sz w:val="20"/>
        </w:rPr>
        <w:t xml:space="preserve">2) изменение организации и (или) технологии производства;</w:t>
      </w:r>
    </w:p>
    <w:p>
      <w:pPr>
        <w:pStyle w:val="0"/>
        <w:spacing w:before="200" w:line-rule="auto"/>
        <w:ind w:firstLine="540"/>
        <w:jc w:val="both"/>
      </w:pPr>
      <w:r>
        <w:rPr>
          <w:sz w:val="20"/>
        </w:rPr>
        <w:t xml:space="preserve">3) изменение (невыполнение) требований технологии, методов контроля и испытаний, системы обеспечения качества;</w:t>
      </w:r>
    </w:p>
    <w:p>
      <w:pPr>
        <w:pStyle w:val="0"/>
        <w:spacing w:before="200" w:line-rule="auto"/>
        <w:ind w:firstLine="540"/>
        <w:jc w:val="both"/>
      </w:pPr>
      <w:r>
        <w:rPr>
          <w:sz w:val="20"/>
        </w:rPr>
        <w:t xml:space="preserve">4) сообщения органов государственной власти или обществ потребителей о несоответствии продукции требованиям, контролируемым при сертификации;</w:t>
      </w:r>
    </w:p>
    <w:p>
      <w:pPr>
        <w:pStyle w:val="0"/>
        <w:spacing w:before="200" w:line-rule="auto"/>
        <w:ind w:firstLine="540"/>
        <w:jc w:val="both"/>
      </w:pPr>
      <w:r>
        <w:rPr>
          <w:sz w:val="20"/>
        </w:rPr>
        <w:t xml:space="preserve">5) материалы дознаний по пожарам, результаты проверок, осуществляемых органами федерального государственного пожарного надзора и другими надзорными органами;</w:t>
      </w:r>
    </w:p>
    <w:p>
      <w:pPr>
        <w:pStyle w:val="0"/>
        <w:jc w:val="both"/>
      </w:pPr>
      <w:r>
        <w:rPr>
          <w:sz w:val="20"/>
        </w:rPr>
        <w:t xml:space="preserve">(в ред. Федерального </w:t>
      </w:r>
      <w:hyperlink w:history="0" r:id="rId51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6) отрицательные результаты инспекционного контроля сертифицированной продукции;</w:t>
      </w:r>
    </w:p>
    <w:p>
      <w:pPr>
        <w:pStyle w:val="0"/>
        <w:spacing w:before="200" w:line-rule="auto"/>
        <w:ind w:firstLine="540"/>
        <w:jc w:val="both"/>
      </w:pPr>
      <w:r>
        <w:rPr>
          <w:sz w:val="20"/>
        </w:rPr>
        <w:t xml:space="preserve">7) отказ от проведения или непредоставление возможности проведения инспекционного контроля сертифицированной продукции в сроки, установленные аккредитованным органом по сертификации;</w:t>
      </w:r>
    </w:p>
    <w:p>
      <w:pPr>
        <w:pStyle w:val="0"/>
        <w:spacing w:before="200" w:line-rule="auto"/>
        <w:ind w:firstLine="540"/>
        <w:jc w:val="both"/>
      </w:pPr>
      <w:r>
        <w:rPr>
          <w:sz w:val="20"/>
        </w:rPr>
        <w:t xml:space="preserve">8) реорганизация юридического лица, в том числе преобразование (изменение организационно-правовой формы);</w:t>
      </w:r>
    </w:p>
    <w:p>
      <w:pPr>
        <w:pStyle w:val="0"/>
        <w:spacing w:before="200" w:line-rule="auto"/>
        <w:ind w:firstLine="540"/>
        <w:jc w:val="both"/>
      </w:pPr>
      <w:r>
        <w:rPr>
          <w:sz w:val="20"/>
        </w:rPr>
        <w:t xml:space="preserve">9) нарушение процедур сертификации, установленных настоящей статьей.</w:t>
      </w:r>
    </w:p>
    <w:p>
      <w:pPr>
        <w:pStyle w:val="0"/>
        <w:jc w:val="both"/>
      </w:pPr>
      <w:r>
        <w:rPr>
          <w:sz w:val="20"/>
        </w:rPr>
        <w:t xml:space="preserve">(п. 9 введен Федеральным </w:t>
      </w:r>
      <w:hyperlink w:history="0" r:id="rId51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10.07.2012 N 117-ФЗ)</w:t>
      </w:r>
    </w:p>
    <w:p>
      <w:pPr>
        <w:pStyle w:val="0"/>
        <w:spacing w:before="200" w:line-rule="auto"/>
        <w:ind w:firstLine="540"/>
        <w:jc w:val="both"/>
      </w:pPr>
      <w:r>
        <w:rPr>
          <w:sz w:val="20"/>
        </w:rPr>
        <w:t xml:space="preserve">70. В случае, если путем корректирующих мероприятий, согласованных с аккредитованным органом по сертификации, изготовитель (продавец) может устранить обнаруженные причины несоответствия продукции требованиям настоящего Федерального закона и подтвердить устранение данного несоответствия без повторных испытаний в аккредитованной испытательной лаборатории, действие сертификата приостанавливается. Если изготовитель (продавец) не может устранить причины несоответствия продукции требованиям настоящего Федерального закона, действие сертификата прекращается. Сертификат исключается из единого реестра, изготовитель (продавец) обязан возвратить сертификат в аккредитованный орган по сертификации, выдавший сертификат.</w:t>
      </w:r>
    </w:p>
    <w:p>
      <w:pPr>
        <w:pStyle w:val="0"/>
        <w:spacing w:before="200" w:line-rule="auto"/>
        <w:ind w:firstLine="540"/>
        <w:jc w:val="both"/>
      </w:pPr>
      <w:r>
        <w:rPr>
          <w:sz w:val="20"/>
        </w:rPr>
        <w:t xml:space="preserve">71. В случае, если аккредитованный орган по сертификации принимает решение о приостановлении действия сертификата, он указывает в решении выявленные недостатки и устанавливает сроки их устранения.</w:t>
      </w:r>
    </w:p>
    <w:p>
      <w:pPr>
        <w:pStyle w:val="0"/>
        <w:spacing w:before="200" w:line-rule="auto"/>
        <w:ind w:firstLine="540"/>
        <w:jc w:val="both"/>
      </w:pPr>
      <w:r>
        <w:rPr>
          <w:sz w:val="20"/>
        </w:rPr>
        <w:t xml:space="preserve">72. Прекращение действия и изъятие сертификата оформляются решением аккредитованного органа по сертификации.</w:t>
      </w:r>
    </w:p>
    <w:p>
      <w:pPr>
        <w:pStyle w:val="0"/>
        <w:spacing w:before="200" w:line-rule="auto"/>
        <w:ind w:firstLine="540"/>
        <w:jc w:val="both"/>
      </w:pPr>
      <w:r>
        <w:rPr>
          <w:sz w:val="20"/>
        </w:rPr>
        <w:t xml:space="preserve">73. Решение о приостановлении действия или о прекращении действия сертификата вручается под расписку или высылается по почте изготовителю (продавцу) в течение 7 дней.</w:t>
      </w:r>
    </w:p>
    <w:p>
      <w:pPr>
        <w:pStyle w:val="0"/>
        <w:spacing w:before="200" w:line-rule="auto"/>
        <w:ind w:firstLine="540"/>
        <w:jc w:val="both"/>
      </w:pPr>
      <w:r>
        <w:rPr>
          <w:sz w:val="20"/>
        </w:rPr>
        <w:t xml:space="preserve">74. Повторное представление на сертификацию продукции осуществляется в общем порядке.</w:t>
      </w:r>
    </w:p>
    <w:p>
      <w:pPr>
        <w:pStyle w:val="0"/>
        <w:ind w:firstLine="540"/>
        <w:jc w:val="both"/>
      </w:pPr>
      <w:r>
        <w:rPr>
          <w:sz w:val="20"/>
        </w:rPr>
      </w:r>
    </w:p>
    <w:bookmarkStart w:id="1941" w:name="P1941"/>
    <w:bookmarkEnd w:id="1941"/>
    <w:p>
      <w:pPr>
        <w:pStyle w:val="2"/>
        <w:outlineLvl w:val="3"/>
        <w:ind w:firstLine="540"/>
        <w:jc w:val="both"/>
      </w:pPr>
      <w:r>
        <w:rPr>
          <w:sz w:val="20"/>
        </w:rPr>
        <w:t xml:space="preserve">Статья 148. Дополнительные требования, учитываемые при аккредитации органов по сертификации, испытательных лабораторий (центров)</w:t>
      </w:r>
    </w:p>
    <w:p>
      <w:pPr>
        <w:pStyle w:val="0"/>
        <w:ind w:firstLine="540"/>
        <w:jc w:val="both"/>
      </w:pPr>
      <w:r>
        <w:rPr>
          <w:sz w:val="20"/>
        </w:rPr>
      </w:r>
    </w:p>
    <w:p>
      <w:pPr>
        <w:pStyle w:val="0"/>
        <w:ind w:firstLine="540"/>
        <w:jc w:val="both"/>
      </w:pPr>
      <w:r>
        <w:rPr>
          <w:sz w:val="20"/>
        </w:rPr>
        <w:t xml:space="preserve">1. Организация, претендующая на аккредитацию в качестве испытательной лаборатории, осуществляющей сертификацию, должна быть оснащена собственным оборудованием, средствами измерений, а также расходными материалами (химическими реактивами и веществами) для правильного проведения испытаний. Испытательное оборудование, средства измерений должны соответствовать требованиям, установленным законодательством Российской Федерации, методики измерений должны отвечать требованиям нормативных документов на методы испытаний. Использование испытательной лабораторией испытательного оборудования и средств измерений, не принадлежащих данной испытательной лаборатории, допускается в случае, если:</w:t>
      </w:r>
    </w:p>
    <w:p>
      <w:pPr>
        <w:pStyle w:val="0"/>
        <w:spacing w:before="200" w:line-rule="auto"/>
        <w:ind w:firstLine="540"/>
        <w:jc w:val="both"/>
      </w:pPr>
      <w:r>
        <w:rPr>
          <w:sz w:val="20"/>
        </w:rPr>
        <w:t xml:space="preserve">1) используется дорогостоящее оборудование или оборудование, не имеющее широкого распространения или требующее регулярного квалифицированного обслуживания;</w:t>
      </w:r>
    </w:p>
    <w:p>
      <w:pPr>
        <w:pStyle w:val="0"/>
        <w:spacing w:before="200" w:line-rule="auto"/>
        <w:ind w:firstLine="540"/>
        <w:jc w:val="both"/>
      </w:pPr>
      <w:r>
        <w:rPr>
          <w:sz w:val="20"/>
        </w:rPr>
        <w:t xml:space="preserve">2) оборудование испытательной лабораторией используется нерегулярно. Объем работ, выполняемых с помощью такого оборудования, не должен превышать 10 процентов от общего числа работ, проведенных за год;</w:t>
      </w:r>
    </w:p>
    <w:p>
      <w:pPr>
        <w:pStyle w:val="0"/>
        <w:spacing w:before="200" w:line-rule="auto"/>
        <w:ind w:firstLine="540"/>
        <w:jc w:val="both"/>
      </w:pPr>
      <w:r>
        <w:rPr>
          <w:sz w:val="20"/>
        </w:rPr>
        <w:t xml:space="preserve">3) собственное оборудование испытательной лаборатории в период проведения испытаний временно неисправно или находится в стадии прохождения им аттестации или проверки.</w:t>
      </w:r>
    </w:p>
    <w:p>
      <w:pPr>
        <w:pStyle w:val="0"/>
        <w:spacing w:before="200" w:line-rule="auto"/>
        <w:ind w:firstLine="540"/>
        <w:jc w:val="both"/>
      </w:pPr>
      <w:r>
        <w:rPr>
          <w:sz w:val="20"/>
        </w:rPr>
        <w:t xml:space="preserve">2. Оборудование должно быть учтено в соответствующих документах лаборатории в соответствии с требованиями правил аккредитации, и лаборатория должна иметь письменное согласие владельца оборудования (договор аренды, соглашение о сотрудничестве и другие документы) на предоставление его для проведения испытаний в необходимое время, а также на обеспечение его пригодности для этих целей и возможность контроля его состояния.</w:t>
      </w:r>
    </w:p>
    <w:p>
      <w:pPr>
        <w:pStyle w:val="0"/>
        <w:spacing w:before="200" w:line-rule="auto"/>
        <w:ind w:firstLine="540"/>
        <w:jc w:val="both"/>
      </w:pPr>
      <w:r>
        <w:rPr>
          <w:sz w:val="20"/>
        </w:rPr>
        <w:t xml:space="preserve">3. Оборудование и средства измерения, не принадлежащие испытательной лаборатории, могут использоваться только при условии, что такое оборудование аттестовано и средства измерений проверены в установленном порядке.</w:t>
      </w:r>
    </w:p>
    <w:p>
      <w:pPr>
        <w:pStyle w:val="0"/>
        <w:spacing w:before="200" w:line-rule="auto"/>
        <w:ind w:firstLine="540"/>
        <w:jc w:val="both"/>
      </w:pPr>
      <w:r>
        <w:rPr>
          <w:sz w:val="20"/>
        </w:rPr>
        <w:t xml:space="preserve">4. Утратил силу. - Федеральный </w:t>
      </w:r>
      <w:hyperlink w:history="0" r:id="rId51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ind w:firstLine="540"/>
        <w:jc w:val="both"/>
      </w:pPr>
      <w:r>
        <w:rPr>
          <w:sz w:val="20"/>
        </w:rPr>
      </w:r>
    </w:p>
    <w:p>
      <w:pPr>
        <w:pStyle w:val="2"/>
        <w:outlineLvl w:val="3"/>
        <w:ind w:firstLine="540"/>
        <w:jc w:val="both"/>
      </w:pPr>
      <w:r>
        <w:rPr>
          <w:sz w:val="20"/>
        </w:rPr>
        <w:t xml:space="preserve">Статья 149. Особенности подтверждения соответствия веществ и материалов требованиям пожарной безопасности</w:t>
      </w:r>
    </w:p>
    <w:p>
      <w:pPr>
        <w:pStyle w:val="0"/>
        <w:ind w:firstLine="540"/>
        <w:jc w:val="both"/>
      </w:pPr>
      <w:r>
        <w:rPr>
          <w:sz w:val="20"/>
        </w:rPr>
      </w:r>
    </w:p>
    <w:p>
      <w:pPr>
        <w:pStyle w:val="0"/>
        <w:ind w:firstLine="540"/>
        <w:jc w:val="both"/>
      </w:pPr>
      <w:r>
        <w:rPr>
          <w:sz w:val="20"/>
        </w:rPr>
        <w:t xml:space="preserve">Подтверждение соответствия веществ и материалов требованиям настоящего Федерального закона проводится путем декларирования их соответствия или обязательной сертификации с обязательным приложением протокола испытаний с указанием значений показателей, установленных настоящим Федеральным законом, к документам, подтверждающим соответствие веществ и материалов.</w:t>
      </w:r>
    </w:p>
    <w:p>
      <w:pPr>
        <w:pStyle w:val="0"/>
        <w:ind w:firstLine="540"/>
        <w:jc w:val="both"/>
      </w:pPr>
      <w:r>
        <w:rPr>
          <w:sz w:val="20"/>
        </w:rPr>
      </w:r>
    </w:p>
    <w:p>
      <w:pPr>
        <w:pStyle w:val="2"/>
        <w:outlineLvl w:val="3"/>
        <w:ind w:firstLine="540"/>
        <w:jc w:val="both"/>
      </w:pPr>
      <w:r>
        <w:rPr>
          <w:sz w:val="20"/>
        </w:rPr>
        <w:t xml:space="preserve">Статья 150. Особенности подтверждения соответствия средств огнезащиты</w:t>
      </w:r>
    </w:p>
    <w:p>
      <w:pPr>
        <w:pStyle w:val="0"/>
        <w:ind w:firstLine="540"/>
        <w:jc w:val="both"/>
      </w:pPr>
      <w:r>
        <w:rPr>
          <w:sz w:val="20"/>
        </w:rPr>
      </w:r>
    </w:p>
    <w:p>
      <w:pPr>
        <w:pStyle w:val="0"/>
        <w:ind w:firstLine="540"/>
        <w:jc w:val="both"/>
      </w:pPr>
      <w:r>
        <w:rPr>
          <w:sz w:val="20"/>
        </w:rPr>
        <w:t xml:space="preserve">1. Подтверждение соответствия средств огнезащиты осуществляется в форме сертификации.</w:t>
      </w:r>
    </w:p>
    <w:p>
      <w:pPr>
        <w:pStyle w:val="0"/>
        <w:spacing w:before="200" w:line-rule="auto"/>
        <w:ind w:firstLine="540"/>
        <w:jc w:val="both"/>
      </w:pPr>
      <w:r>
        <w:rPr>
          <w:sz w:val="20"/>
        </w:rPr>
        <w:t xml:space="preserve">2. Для проведения сертификации заявитель представляет в аккредитованный орган по сертификации сопроводительные документы, в которых должны быть указаны основные показатели, область и способы применения средств огнезащиты.</w:t>
      </w:r>
    </w:p>
    <w:p>
      <w:pPr>
        <w:pStyle w:val="0"/>
        <w:spacing w:before="200" w:line-rule="auto"/>
        <w:ind w:firstLine="540"/>
        <w:jc w:val="both"/>
      </w:pPr>
      <w:r>
        <w:rPr>
          <w:sz w:val="20"/>
        </w:rPr>
        <w:t xml:space="preserve">3. Протоколы испытаний испытательных лабораторий должны содержать значения показателей характеризующих огнезащитную эффективность средств огнезащиты, в том числе различные варианты их применения, описанные в сопроводительных документах.</w:t>
      </w:r>
    </w:p>
    <w:p>
      <w:pPr>
        <w:pStyle w:val="0"/>
        <w:spacing w:before="200" w:line-rule="auto"/>
        <w:ind w:firstLine="540"/>
        <w:jc w:val="both"/>
      </w:pPr>
      <w:r>
        <w:rPr>
          <w:sz w:val="20"/>
        </w:rPr>
        <w:t xml:space="preserve">4. В сертификате должны быть отражены следующие специальные характеристики средств огнезащиты:</w:t>
      </w:r>
    </w:p>
    <w:p>
      <w:pPr>
        <w:pStyle w:val="0"/>
        <w:jc w:val="both"/>
      </w:pPr>
      <w:r>
        <w:rPr>
          <w:sz w:val="20"/>
        </w:rPr>
        <w:t xml:space="preserve">(в ред. Федерального </w:t>
      </w:r>
      <w:hyperlink w:history="0" r:id="rId51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 наименования средств огнезащиты;</w:t>
      </w:r>
    </w:p>
    <w:p>
      <w:pPr>
        <w:pStyle w:val="0"/>
        <w:spacing w:before="200" w:line-rule="auto"/>
        <w:ind w:firstLine="540"/>
        <w:jc w:val="both"/>
      </w:pPr>
      <w:r>
        <w:rPr>
          <w:sz w:val="20"/>
        </w:rPr>
        <w:t xml:space="preserve">2) значение огнезащитной эффективности, установленное при испытаниях;</w:t>
      </w:r>
    </w:p>
    <w:p>
      <w:pPr>
        <w:pStyle w:val="0"/>
        <w:spacing w:before="200" w:line-rule="auto"/>
        <w:ind w:firstLine="540"/>
        <w:jc w:val="both"/>
      </w:pPr>
      <w:r>
        <w:rPr>
          <w:sz w:val="20"/>
        </w:rPr>
        <w:t xml:space="preserve">3) виды, марки, толщина слоев грунтовых, декоративных или атмосфероустойчивых покрытий, используемых в комбинации с данными средствами огнезащиты при сертификационных испытаниях;</w:t>
      </w:r>
    </w:p>
    <w:p>
      <w:pPr>
        <w:pStyle w:val="0"/>
        <w:spacing w:before="200" w:line-rule="auto"/>
        <w:ind w:firstLine="540"/>
        <w:jc w:val="both"/>
      </w:pPr>
      <w:r>
        <w:rPr>
          <w:sz w:val="20"/>
        </w:rPr>
        <w:t xml:space="preserve">4) толщина огнезащитного покрытия средств огнезащиты для установленной огнезащитной эффективности.</w:t>
      </w:r>
    </w:p>
    <w:p>
      <w:pPr>
        <w:pStyle w:val="0"/>
        <w:spacing w:before="200" w:line-rule="auto"/>
        <w:ind w:firstLine="540"/>
        <w:jc w:val="both"/>
      </w:pPr>
      <w:r>
        <w:rPr>
          <w:sz w:val="20"/>
        </w:rPr>
        <w:t xml:space="preserve">5. Маркировка средств огнезащиты, наносимая производителями на продукцию, может содержать только сведения, подтвержденные при сертификации.</w:t>
      </w:r>
    </w:p>
    <w:p>
      <w:pPr>
        <w:pStyle w:val="0"/>
        <w:ind w:firstLine="540"/>
        <w:jc w:val="both"/>
      </w:pPr>
      <w:r>
        <w:rPr>
          <w:sz w:val="20"/>
        </w:rPr>
      </w:r>
    </w:p>
    <w:p>
      <w:pPr>
        <w:pStyle w:val="2"/>
        <w:outlineLvl w:val="1"/>
        <w:jc w:val="center"/>
      </w:pPr>
      <w:r>
        <w:rPr>
          <w:sz w:val="20"/>
        </w:rPr>
        <w:t xml:space="preserve">Раздел VIII. ЗАКЛЮЧИТЕЛЬНЫЕ ПОЛОЖЕНИЯ</w:t>
      </w:r>
    </w:p>
    <w:p>
      <w:pPr>
        <w:pStyle w:val="0"/>
        <w:jc w:val="center"/>
      </w:pPr>
      <w:r>
        <w:rPr>
          <w:sz w:val="20"/>
        </w:rPr>
      </w:r>
    </w:p>
    <w:p>
      <w:pPr>
        <w:pStyle w:val="2"/>
        <w:outlineLvl w:val="2"/>
        <w:jc w:val="center"/>
      </w:pPr>
      <w:r>
        <w:rPr>
          <w:sz w:val="20"/>
        </w:rPr>
        <w:t xml:space="preserve">Глава 34. ЗАКЛЮЧИТЕЛЬНЫЕ ПОЛОЖЕНИЯ</w:t>
      </w:r>
    </w:p>
    <w:p>
      <w:pPr>
        <w:pStyle w:val="0"/>
        <w:jc w:val="center"/>
      </w:pPr>
      <w:r>
        <w:rPr>
          <w:sz w:val="20"/>
        </w:rPr>
      </w:r>
    </w:p>
    <w:p>
      <w:pPr>
        <w:pStyle w:val="2"/>
        <w:outlineLvl w:val="3"/>
        <w:ind w:firstLine="540"/>
        <w:jc w:val="both"/>
      </w:pPr>
      <w:r>
        <w:rPr>
          <w:sz w:val="20"/>
        </w:rPr>
        <w:t xml:space="preserve">Статья 151. Заключительные положения</w:t>
      </w:r>
    </w:p>
    <w:p>
      <w:pPr>
        <w:pStyle w:val="0"/>
        <w:ind w:firstLine="540"/>
        <w:jc w:val="both"/>
      </w:pPr>
      <w:r>
        <w:rPr>
          <w:sz w:val="20"/>
        </w:rPr>
      </w:r>
    </w:p>
    <w:p>
      <w:pPr>
        <w:pStyle w:val="0"/>
        <w:ind w:firstLine="540"/>
        <w:jc w:val="both"/>
      </w:pPr>
      <w:r>
        <w:rPr>
          <w:sz w:val="20"/>
        </w:rPr>
        <w:t xml:space="preserve">1. Утратил силу. - Федеральный </w:t>
      </w:r>
      <w:hyperlink w:history="0" r:id="rId519"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29.07.2017 N 244-ФЗ.</w:t>
      </w:r>
    </w:p>
    <w:p>
      <w:pPr>
        <w:pStyle w:val="0"/>
        <w:spacing w:before="200" w:line-rule="auto"/>
        <w:ind w:firstLine="540"/>
        <w:jc w:val="both"/>
      </w:pPr>
      <w:r>
        <w:rPr>
          <w:sz w:val="20"/>
        </w:rPr>
        <w:t xml:space="preserve">2. До дня вступления в силу соответствующих технических регламентов схема декларирования соответствия продукции требованиям пожарной безопасности на основе собственных доказательств применяется для продукции общего назначения только изготовителями или юридическими лицами, выполняющими функции иностранного изготовителя.</w:t>
      </w:r>
    </w:p>
    <w:p>
      <w:pPr>
        <w:pStyle w:val="0"/>
        <w:spacing w:before="200" w:line-rule="auto"/>
        <w:ind w:firstLine="540"/>
        <w:jc w:val="both"/>
      </w:pPr>
      <w:r>
        <w:rPr>
          <w:sz w:val="20"/>
        </w:rPr>
        <w:t xml:space="preserve">3. Документы об аккредитации, выданные в установленном порядке органам, осуществляющим сертификацию, испытательным лабораториям (центрам) до дня вступления в силу настоящего Федерального закона, а также документы, подтверждающие соответствие продукции требованиям пожарной безопасности, принятые до дня вступления в силу настоящего Федерального закона, считаются действительными до окончания установленного в них срока.</w:t>
      </w:r>
    </w:p>
    <w:p>
      <w:pPr>
        <w:pStyle w:val="0"/>
        <w:ind w:firstLine="540"/>
        <w:jc w:val="both"/>
      </w:pPr>
      <w:r>
        <w:rPr>
          <w:sz w:val="20"/>
        </w:rPr>
      </w:r>
    </w:p>
    <w:p>
      <w:pPr>
        <w:pStyle w:val="2"/>
        <w:outlineLvl w:val="3"/>
        <w:ind w:firstLine="540"/>
        <w:jc w:val="both"/>
      </w:pPr>
      <w:r>
        <w:rPr>
          <w:sz w:val="20"/>
        </w:rPr>
        <w:t xml:space="preserve">Статья 152.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по истечении девяти месяцев со дня его официального опубликования.</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22 июля 2008 года</w:t>
      </w:r>
    </w:p>
    <w:p>
      <w:pPr>
        <w:pStyle w:val="0"/>
        <w:spacing w:before="200" w:line-rule="auto"/>
      </w:pPr>
      <w:r>
        <w:rPr>
          <w:sz w:val="20"/>
        </w:rPr>
        <w:t xml:space="preserve">N 123-ФЗ</w:t>
      </w:r>
    </w:p>
    <w:p>
      <w:pPr>
        <w:pStyle w:val="0"/>
      </w:pPr>
      <w:r>
        <w:rPr>
          <w:sz w:val="20"/>
        </w:rPr>
      </w:r>
    </w:p>
    <w:p>
      <w:pPr>
        <w:pStyle w:val="0"/>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Федеральному закону</w:t>
      </w:r>
    </w:p>
    <w:p>
      <w:pPr>
        <w:pStyle w:val="0"/>
        <w:jc w:val="right"/>
      </w:pPr>
      <w:r>
        <w:rPr>
          <w:sz w:val="20"/>
        </w:rPr>
        <w:t xml:space="preserve">"Технический регламент о требованиях</w:t>
      </w:r>
    </w:p>
    <w:p>
      <w:pPr>
        <w:pStyle w:val="0"/>
        <w:jc w:val="right"/>
      </w:pPr>
      <w:r>
        <w:rPr>
          <w:sz w:val="20"/>
        </w:rPr>
        <w:t xml:space="preserve">пожарной безопасности"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10.07.2012 </w:t>
            </w:r>
            <w:hyperlink w:history="0" r:id="rId52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color w:val="392c69"/>
              </w:rPr>
              <w:t xml:space="preserve">,</w:t>
            </w:r>
          </w:p>
          <w:p>
            <w:pPr>
              <w:pStyle w:val="0"/>
              <w:jc w:val="center"/>
            </w:pPr>
            <w:r>
              <w:rPr>
                <w:sz w:val="20"/>
                <w:color w:val="392c69"/>
              </w:rPr>
              <w:t xml:space="preserve">от 29.07.2017 </w:t>
            </w:r>
            <w:hyperlink w:history="0" r:id="rId521"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244-ФЗ</w:t>
              </w:r>
            </w:hyperlink>
            <w:r>
              <w:rPr>
                <w:sz w:val="20"/>
                <w:color w:val="392c69"/>
              </w:rPr>
              <w:t xml:space="preserve">, от 27.12.2018 </w:t>
            </w:r>
            <w:hyperlink w:history="0" r:id="rId522"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color w:val="392c69"/>
              </w:rPr>
              <w:t xml:space="preserve">, от 14.07.2022 </w:t>
            </w:r>
            <w:hyperlink w:history="0" r:id="rId52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outlineLvl w:val="1"/>
        <w:jc w:val="center"/>
      </w:pPr>
      <w:r>
        <w:rPr>
          <w:sz w:val="20"/>
        </w:rPr>
        <w:t xml:space="preserve">Таблица 1</w:t>
      </w:r>
    </w:p>
    <w:p>
      <w:pPr>
        <w:pStyle w:val="0"/>
        <w:jc w:val="right"/>
      </w:pPr>
      <w:r>
        <w:rPr>
          <w:sz w:val="20"/>
        </w:rPr>
      </w:r>
    </w:p>
    <w:bookmarkStart w:id="2003" w:name="P2003"/>
    <w:bookmarkEnd w:id="2003"/>
    <w:p>
      <w:pPr>
        <w:pStyle w:val="2"/>
        <w:jc w:val="center"/>
      </w:pPr>
      <w:r>
        <w:rPr>
          <w:sz w:val="20"/>
        </w:rPr>
        <w:t xml:space="preserve">Перечень показателей для оценки</w:t>
      </w:r>
    </w:p>
    <w:p>
      <w:pPr>
        <w:pStyle w:val="2"/>
        <w:jc w:val="center"/>
      </w:pPr>
      <w:r>
        <w:rPr>
          <w:sz w:val="20"/>
        </w:rPr>
        <w:t xml:space="preserve">пожарной опасности веществ и материалов в зависимости</w:t>
      </w:r>
    </w:p>
    <w:p>
      <w:pPr>
        <w:pStyle w:val="2"/>
        <w:jc w:val="center"/>
      </w:pPr>
      <w:r>
        <w:rPr>
          <w:sz w:val="20"/>
        </w:rPr>
        <w:t xml:space="preserve">от их агрегатного состояния</w:t>
      </w:r>
    </w:p>
    <w:p>
      <w:pPr>
        <w:pStyle w:val="0"/>
        <w:jc w:val="center"/>
      </w:pPr>
      <w:r>
        <w:rPr>
          <w:sz w:val="20"/>
        </w:rPr>
        <w:t xml:space="preserve">(в ред. Федерального </w:t>
      </w:r>
      <w:hyperlink w:history="0" r:id="rId52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32"/>
        <w:gridCol w:w="1960"/>
        <w:gridCol w:w="1163"/>
        <w:gridCol w:w="1280"/>
        <w:gridCol w:w="929"/>
      </w:tblGrid>
      <w:tr>
        <w:tc>
          <w:tcPr>
            <w:tcW w:w="3632" w:type="dxa"/>
            <w:vMerge w:val="restart"/>
          </w:tcPr>
          <w:p>
            <w:pPr>
              <w:pStyle w:val="0"/>
              <w:jc w:val="center"/>
            </w:pPr>
            <w:r>
              <w:rPr>
                <w:sz w:val="20"/>
              </w:rPr>
              <w:t xml:space="preserve">Показатель пожарной опасности</w:t>
            </w:r>
          </w:p>
        </w:tc>
        <w:tc>
          <w:tcPr>
            <w:gridSpan w:val="3"/>
            <w:tcW w:w="4403" w:type="dxa"/>
          </w:tcPr>
          <w:p>
            <w:pPr>
              <w:pStyle w:val="0"/>
              <w:jc w:val="center"/>
            </w:pPr>
            <w:r>
              <w:rPr>
                <w:sz w:val="20"/>
              </w:rPr>
              <w:t xml:space="preserve">Вещества и материалы в различном агрегатном состоянии</w:t>
            </w:r>
          </w:p>
        </w:tc>
        <w:tc>
          <w:tcPr>
            <w:tcW w:w="929" w:type="dxa"/>
            <w:vMerge w:val="restart"/>
          </w:tcPr>
          <w:p>
            <w:pPr>
              <w:pStyle w:val="0"/>
              <w:jc w:val="center"/>
            </w:pPr>
            <w:r>
              <w:rPr>
                <w:sz w:val="20"/>
              </w:rPr>
              <w:t xml:space="preserve">Пыли</w:t>
            </w:r>
          </w:p>
        </w:tc>
      </w:tr>
      <w:tr>
        <w:tc>
          <w:tcPr>
            <w:vMerge w:val="continue"/>
          </w:tcPr>
          <w:p/>
        </w:tc>
        <w:tc>
          <w:tcPr>
            <w:tcW w:w="1960" w:type="dxa"/>
          </w:tcPr>
          <w:p>
            <w:pPr>
              <w:pStyle w:val="0"/>
              <w:jc w:val="center"/>
            </w:pPr>
            <w:r>
              <w:rPr>
                <w:sz w:val="20"/>
              </w:rPr>
              <w:t xml:space="preserve">газообразные</w:t>
            </w:r>
          </w:p>
        </w:tc>
        <w:tc>
          <w:tcPr>
            <w:tcW w:w="1163" w:type="dxa"/>
          </w:tcPr>
          <w:p>
            <w:pPr>
              <w:pStyle w:val="0"/>
              <w:jc w:val="center"/>
            </w:pPr>
            <w:r>
              <w:rPr>
                <w:sz w:val="20"/>
              </w:rPr>
              <w:t xml:space="preserve">жидкие</w:t>
            </w:r>
          </w:p>
        </w:tc>
        <w:tc>
          <w:tcPr>
            <w:tcW w:w="1280" w:type="dxa"/>
          </w:tcPr>
          <w:p>
            <w:pPr>
              <w:pStyle w:val="0"/>
              <w:jc w:val="center"/>
            </w:pPr>
            <w:r>
              <w:rPr>
                <w:sz w:val="20"/>
              </w:rPr>
              <w:t xml:space="preserve">твердые</w:t>
            </w:r>
          </w:p>
        </w:tc>
        <w:tc>
          <w:tcPr>
            <w:vMerge w:val="continue"/>
          </w:tcPr>
          <w:p/>
        </w:tc>
      </w:tr>
      <w:tr>
        <w:tc>
          <w:tcPr>
            <w:tcW w:w="3632" w:type="dxa"/>
          </w:tcPr>
          <w:p>
            <w:pPr>
              <w:pStyle w:val="0"/>
            </w:pPr>
            <w:r>
              <w:rPr>
                <w:sz w:val="20"/>
              </w:rPr>
              <w:t xml:space="preserve">Безопасный экспериментальный максимальный зазор, миллиметр</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Выделение токсичных продуктов горения с единицы массы горючего, килограмм на килограмм</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Группа воспламеняемости</w:t>
            </w:r>
          </w:p>
        </w:tc>
        <w:tc>
          <w:tcPr>
            <w:tcW w:w="1960" w:type="dxa"/>
          </w:tcPr>
          <w:p>
            <w:pPr>
              <w:pStyle w:val="0"/>
              <w:jc w:val="center"/>
            </w:pPr>
            <w:r>
              <w:rPr>
                <w:sz w:val="20"/>
              </w:rPr>
              <w:t xml:space="preserve">-</w:t>
            </w:r>
          </w:p>
        </w:tc>
        <w:tc>
          <w:tcPr>
            <w:tcW w:w="1163" w:type="dxa"/>
          </w:tcPr>
          <w:p>
            <w:pPr>
              <w:pStyle w:val="0"/>
              <w:jc w:val="center"/>
            </w:pPr>
            <w:r>
              <w:rPr>
                <w:sz w:val="20"/>
              </w:rPr>
              <w:t xml:space="preserve">-</w:t>
            </w:r>
          </w:p>
        </w:tc>
        <w:tc>
          <w:tcPr>
            <w:tcW w:w="1280" w:type="dxa"/>
          </w:tcPr>
          <w:p>
            <w:pPr>
              <w:pStyle w:val="0"/>
              <w:jc w:val="center"/>
            </w:pPr>
            <w:r>
              <w:rPr>
                <w:sz w:val="20"/>
              </w:rPr>
              <w:t xml:space="preserve">+</w:t>
            </w:r>
          </w:p>
        </w:tc>
        <w:tc>
          <w:tcPr>
            <w:tcW w:w="929" w:type="dxa"/>
          </w:tcPr>
          <w:p>
            <w:pPr>
              <w:pStyle w:val="0"/>
              <w:jc w:val="center"/>
            </w:pPr>
            <w:r>
              <w:rPr>
                <w:sz w:val="20"/>
              </w:rPr>
              <w:t xml:space="preserve">-</w:t>
            </w:r>
          </w:p>
        </w:tc>
      </w:tr>
      <w:tr>
        <w:tc>
          <w:tcPr>
            <w:tcW w:w="3632" w:type="dxa"/>
          </w:tcPr>
          <w:p>
            <w:pPr>
              <w:pStyle w:val="0"/>
            </w:pPr>
            <w:r>
              <w:rPr>
                <w:sz w:val="20"/>
              </w:rPr>
              <w:t xml:space="preserve">Группа горючести</w:t>
            </w:r>
          </w:p>
        </w:tc>
        <w:tc>
          <w:tcPr>
            <w:tcW w:w="1960" w:type="dxa"/>
          </w:tcPr>
          <w:p>
            <w:pPr>
              <w:pStyle w:val="0"/>
              <w:jc w:val="center"/>
            </w:pPr>
            <w:r>
              <w:rPr>
                <w:sz w:val="20"/>
              </w:rPr>
              <w:t xml:space="preserve">+</w:t>
            </w:r>
          </w:p>
        </w:tc>
        <w:tc>
          <w:tcPr>
            <w:tcW w:w="1163" w:type="dxa"/>
          </w:tcPr>
          <w:p>
            <w:pPr>
              <w:pStyle w:val="0"/>
              <w:jc w:val="center"/>
            </w:pPr>
            <w:r>
              <w:rPr>
                <w:sz w:val="20"/>
              </w:rPr>
              <w:t xml:space="preserve">+</w:t>
            </w:r>
          </w:p>
        </w:tc>
        <w:tc>
          <w:tcPr>
            <w:tcW w:w="1280" w:type="dxa"/>
          </w:tcPr>
          <w:p>
            <w:pPr>
              <w:pStyle w:val="0"/>
              <w:jc w:val="center"/>
            </w:pPr>
            <w:r>
              <w:rPr>
                <w:sz w:val="20"/>
              </w:rPr>
              <w:t xml:space="preserve">+</w:t>
            </w:r>
          </w:p>
        </w:tc>
        <w:tc>
          <w:tcPr>
            <w:tcW w:w="929" w:type="dxa"/>
          </w:tcPr>
          <w:p>
            <w:pPr>
              <w:pStyle w:val="0"/>
              <w:jc w:val="center"/>
            </w:pPr>
            <w:r>
              <w:rPr>
                <w:sz w:val="20"/>
              </w:rPr>
              <w:t xml:space="preserve">+</w:t>
            </w:r>
          </w:p>
        </w:tc>
      </w:tr>
      <w:tr>
        <w:tc>
          <w:tcPr>
            <w:tcW w:w="3632" w:type="dxa"/>
          </w:tcPr>
          <w:p>
            <w:pPr>
              <w:pStyle w:val="0"/>
            </w:pPr>
            <w:r>
              <w:rPr>
                <w:sz w:val="20"/>
              </w:rPr>
              <w:t xml:space="preserve">Группа распространения пламени</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Коэффициент дымообразования, квадратный метр на килограмм</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Излучающая способность пламени</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Индекс пожаровзрывоопасности, паскаль на метр в секунду</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Индекс распространения пламени</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Кислородный индекс, объемные проценты</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Концентрационные пределы распространения пламени (воспламенения) в газах и парах, объемные проценты, пылях, килограмм на кубический метр</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Концентрационный предел диффузионного горения газовых смесей в воздухе, объемные проценты</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Критическая поверхностная плотность теплового потока, ватт на квадратный метр</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Линейная скорость распространения пламени, метр в секунду</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Максимальная скорость распространения пламени вдоль поверхности горючей жидкости, метр в секунду</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Максимальное давление взрыва, паскаль</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Минимальная флегматизирующая концентрация газообразного флегматизатора, объемные проценты</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Минимальная энергия зажигания, джоуль</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Минимальное взрывоопасное содержание кислорода, объемные проценты</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Низшая рабочая теплота сгорания, килоджоуль на килограмм</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Нормальная скорость распространения пламени, метр в секунду</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Показатель токсичности продуктов горения, грамм на кубический метр</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Потребление кислорода на единицу массы горючего, килограмм на килограмм</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Предельная скорость срыва диффузионного факела, метр в секунду</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Скорость нарастания давления взрыва, мегапаскаль в секунду</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Способность гореть при взаимодействии с водой, кислородом воздуха и другими веществами</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Способность к воспламенению при адиабатическом сжатии</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Способность к самовозгоранию</w:t>
            </w:r>
          </w:p>
        </w:tc>
        <w:tc>
          <w:tcPr>
            <w:tcW w:w="1960" w:type="dxa"/>
          </w:tcPr>
          <w:p>
            <w:pPr>
              <w:pStyle w:val="0"/>
              <w:jc w:val="center"/>
            </w:pPr>
            <w:r>
              <w:rPr>
                <w:sz w:val="20"/>
              </w:rPr>
              <w:t xml:space="preserve">-</w:t>
            </w:r>
          </w:p>
        </w:tc>
        <w:tc>
          <w:tcPr>
            <w:tcW w:w="1163" w:type="dxa"/>
          </w:tcPr>
          <w:p>
            <w:pPr>
              <w:pStyle w:val="0"/>
              <w:jc w:val="center"/>
            </w:pPr>
            <w:r>
              <w:rPr>
                <w:sz w:val="20"/>
              </w:rPr>
              <w:t xml:space="preserve">-</w:t>
            </w:r>
          </w:p>
        </w:tc>
        <w:tc>
          <w:tcPr>
            <w:tcW w:w="1280" w:type="dxa"/>
          </w:tcPr>
          <w:p>
            <w:pPr>
              <w:pStyle w:val="0"/>
              <w:jc w:val="center"/>
            </w:pPr>
            <w:r>
              <w:rPr>
                <w:sz w:val="20"/>
              </w:rPr>
              <w:t xml:space="preserve">+</w:t>
            </w:r>
          </w:p>
        </w:tc>
        <w:tc>
          <w:tcPr>
            <w:tcW w:w="929" w:type="dxa"/>
          </w:tcPr>
          <w:p>
            <w:pPr>
              <w:pStyle w:val="0"/>
              <w:jc w:val="center"/>
            </w:pPr>
            <w:r>
              <w:rPr>
                <w:sz w:val="20"/>
              </w:rPr>
              <w:t xml:space="preserve">+</w:t>
            </w:r>
          </w:p>
        </w:tc>
      </w:tr>
      <w:tr>
        <w:tc>
          <w:tcPr>
            <w:tcW w:w="3632" w:type="dxa"/>
          </w:tcPr>
          <w:p>
            <w:pPr>
              <w:pStyle w:val="0"/>
            </w:pPr>
            <w:r>
              <w:rPr>
                <w:sz w:val="20"/>
              </w:rPr>
              <w:t xml:space="preserve">Способность к экзотермическому разложению</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Температура воспламенения, градус Цельсия</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Температура вспышки, градус Цельсия</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Температура самовоспламенения, градус Цельсия</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Температура тления, градус Цельсия</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Температурные пределы распространения пламени (воспламенения), градус Цельсия</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Удельная массовая скорость выгорания, килограмм в секунду на квадратный метр</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Удельная теплота сгорания, джоуль на килограмм</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bl>
    <w:p>
      <w:pPr>
        <w:pStyle w:val="0"/>
        <w:ind w:firstLine="540"/>
        <w:jc w:val="both"/>
      </w:pPr>
      <w:r>
        <w:rPr>
          <w:sz w:val="20"/>
        </w:rPr>
      </w:r>
    </w:p>
    <w:p>
      <w:pPr>
        <w:pStyle w:val="0"/>
        <w:ind w:firstLine="540"/>
        <w:jc w:val="both"/>
      </w:pPr>
      <w:r>
        <w:rPr>
          <w:sz w:val="20"/>
        </w:rPr>
        <w:t xml:space="preserve">Примечания: 1. Знак "+" обозначает, что показатель необходимо применять.</w:t>
      </w:r>
    </w:p>
    <w:p>
      <w:pPr>
        <w:pStyle w:val="0"/>
        <w:spacing w:before="200" w:line-rule="auto"/>
        <w:ind w:firstLine="540"/>
        <w:jc w:val="both"/>
      </w:pPr>
      <w:r>
        <w:rPr>
          <w:sz w:val="20"/>
        </w:rPr>
        <w:t xml:space="preserve">2. Знак "-" обозначает, что показатель не применяется.</w:t>
      </w:r>
    </w:p>
    <w:p>
      <w:pPr>
        <w:pStyle w:val="0"/>
        <w:ind w:firstLine="540"/>
        <w:jc w:val="both"/>
      </w:pPr>
      <w:r>
        <w:rPr>
          <w:sz w:val="20"/>
        </w:rPr>
      </w:r>
    </w:p>
    <w:p>
      <w:pPr>
        <w:pStyle w:val="0"/>
        <w:outlineLvl w:val="1"/>
        <w:ind w:firstLine="540"/>
        <w:jc w:val="both"/>
      </w:pPr>
      <w:r>
        <w:rPr>
          <w:sz w:val="20"/>
        </w:rPr>
        <w:t xml:space="preserve">Таблицы 2 - 3. Утратили силу. - Федеральный </w:t>
      </w:r>
      <w:hyperlink w:history="0" r:id="rId52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ind w:firstLine="540"/>
        <w:jc w:val="both"/>
      </w:pPr>
      <w:r>
        <w:rPr>
          <w:sz w:val="20"/>
        </w:rPr>
      </w:r>
    </w:p>
    <w:p>
      <w:pPr>
        <w:pStyle w:val="0"/>
        <w:outlineLvl w:val="1"/>
        <w:jc w:val="center"/>
      </w:pPr>
      <w:r>
        <w:rPr>
          <w:sz w:val="20"/>
        </w:rPr>
        <w:t xml:space="preserve">Таблица 4</w:t>
      </w:r>
    </w:p>
    <w:p>
      <w:pPr>
        <w:pStyle w:val="0"/>
        <w:jc w:val="right"/>
      </w:pPr>
      <w:r>
        <w:rPr>
          <w:sz w:val="20"/>
        </w:rPr>
      </w:r>
    </w:p>
    <w:bookmarkStart w:id="2202" w:name="P2202"/>
    <w:bookmarkEnd w:id="2202"/>
    <w:p>
      <w:pPr>
        <w:pStyle w:val="2"/>
        <w:jc w:val="center"/>
      </w:pPr>
      <w:r>
        <w:rPr>
          <w:sz w:val="20"/>
        </w:rPr>
        <w:t xml:space="preserve">Степень защиты пожарозащищенного электрооборудования</w:t>
      </w:r>
    </w:p>
    <w:p>
      <w:pPr>
        <w:pStyle w:val="2"/>
        <w:jc w:val="center"/>
      </w:pPr>
      <w:r>
        <w:rPr>
          <w:sz w:val="20"/>
        </w:rPr>
        <w:t xml:space="preserve">от внешних твердых предметов</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19"/>
        <w:gridCol w:w="7545"/>
      </w:tblGrid>
      <w:tr>
        <w:tc>
          <w:tcPr>
            <w:tcW w:w="1419" w:type="dxa"/>
          </w:tcPr>
          <w:p>
            <w:pPr>
              <w:pStyle w:val="0"/>
              <w:jc w:val="center"/>
            </w:pPr>
            <w:r>
              <w:rPr>
                <w:sz w:val="20"/>
              </w:rPr>
              <w:t xml:space="preserve">Первая цифра</w:t>
            </w:r>
          </w:p>
        </w:tc>
        <w:tc>
          <w:tcPr>
            <w:tcW w:w="7545" w:type="dxa"/>
          </w:tcPr>
          <w:p>
            <w:pPr>
              <w:pStyle w:val="0"/>
              <w:jc w:val="center"/>
            </w:pPr>
            <w:r>
              <w:rPr>
                <w:sz w:val="20"/>
              </w:rPr>
              <w:t xml:space="preserve">Краткое описание степени защиты</w:t>
            </w:r>
          </w:p>
        </w:tc>
      </w:tr>
      <w:tr>
        <w:tc>
          <w:tcPr>
            <w:tcW w:w="1419" w:type="dxa"/>
          </w:tcPr>
          <w:p>
            <w:pPr>
              <w:pStyle w:val="0"/>
              <w:jc w:val="center"/>
            </w:pPr>
            <w:r>
              <w:rPr>
                <w:sz w:val="20"/>
              </w:rPr>
              <w:t xml:space="preserve">0</w:t>
            </w:r>
          </w:p>
        </w:tc>
        <w:tc>
          <w:tcPr>
            <w:tcW w:w="7545" w:type="dxa"/>
          </w:tcPr>
          <w:p>
            <w:pPr>
              <w:pStyle w:val="0"/>
            </w:pPr>
            <w:r>
              <w:rPr>
                <w:sz w:val="20"/>
              </w:rPr>
              <w:t xml:space="preserve">нет защиты</w:t>
            </w:r>
          </w:p>
        </w:tc>
      </w:tr>
      <w:tr>
        <w:tc>
          <w:tcPr>
            <w:tcW w:w="1419" w:type="dxa"/>
          </w:tcPr>
          <w:p>
            <w:pPr>
              <w:pStyle w:val="0"/>
              <w:jc w:val="center"/>
            </w:pPr>
            <w:r>
              <w:rPr>
                <w:sz w:val="20"/>
              </w:rPr>
              <w:t xml:space="preserve">1</w:t>
            </w:r>
          </w:p>
        </w:tc>
        <w:tc>
          <w:tcPr>
            <w:tcW w:w="7545" w:type="dxa"/>
          </w:tcPr>
          <w:p>
            <w:pPr>
              <w:pStyle w:val="0"/>
            </w:pPr>
            <w:r>
              <w:rPr>
                <w:sz w:val="20"/>
              </w:rPr>
              <w:t xml:space="preserve">защищено от внешних твердых предметов диаметром 50 и более миллиметров</w:t>
            </w:r>
          </w:p>
        </w:tc>
      </w:tr>
      <w:tr>
        <w:tc>
          <w:tcPr>
            <w:tcW w:w="1419" w:type="dxa"/>
          </w:tcPr>
          <w:p>
            <w:pPr>
              <w:pStyle w:val="0"/>
              <w:jc w:val="center"/>
            </w:pPr>
            <w:r>
              <w:rPr>
                <w:sz w:val="20"/>
              </w:rPr>
              <w:t xml:space="preserve">2</w:t>
            </w:r>
          </w:p>
        </w:tc>
        <w:tc>
          <w:tcPr>
            <w:tcW w:w="7545" w:type="dxa"/>
          </w:tcPr>
          <w:p>
            <w:pPr>
              <w:pStyle w:val="0"/>
            </w:pPr>
            <w:r>
              <w:rPr>
                <w:sz w:val="20"/>
              </w:rPr>
              <w:t xml:space="preserve">защищено от внешних твердых предметов диаметром 12,5 и более миллиметра</w:t>
            </w:r>
          </w:p>
        </w:tc>
      </w:tr>
      <w:tr>
        <w:tc>
          <w:tcPr>
            <w:tcW w:w="1419" w:type="dxa"/>
          </w:tcPr>
          <w:p>
            <w:pPr>
              <w:pStyle w:val="0"/>
              <w:jc w:val="center"/>
            </w:pPr>
            <w:r>
              <w:rPr>
                <w:sz w:val="20"/>
              </w:rPr>
              <w:t xml:space="preserve">3</w:t>
            </w:r>
          </w:p>
        </w:tc>
        <w:tc>
          <w:tcPr>
            <w:tcW w:w="7545" w:type="dxa"/>
          </w:tcPr>
          <w:p>
            <w:pPr>
              <w:pStyle w:val="0"/>
            </w:pPr>
            <w:r>
              <w:rPr>
                <w:sz w:val="20"/>
              </w:rPr>
              <w:t xml:space="preserve">защищено от внешних твердых предметов диаметром 2,5 и более миллиметра</w:t>
            </w:r>
          </w:p>
        </w:tc>
      </w:tr>
      <w:tr>
        <w:tc>
          <w:tcPr>
            <w:tcW w:w="1419" w:type="dxa"/>
          </w:tcPr>
          <w:p>
            <w:pPr>
              <w:pStyle w:val="0"/>
              <w:jc w:val="center"/>
            </w:pPr>
            <w:r>
              <w:rPr>
                <w:sz w:val="20"/>
              </w:rPr>
              <w:t xml:space="preserve">4</w:t>
            </w:r>
          </w:p>
        </w:tc>
        <w:tc>
          <w:tcPr>
            <w:tcW w:w="7545" w:type="dxa"/>
          </w:tcPr>
          <w:p>
            <w:pPr>
              <w:pStyle w:val="0"/>
            </w:pPr>
            <w:r>
              <w:rPr>
                <w:sz w:val="20"/>
              </w:rPr>
              <w:t xml:space="preserve">защищено от внешних твердых предметов диаметром 1 и более миллиметра</w:t>
            </w:r>
          </w:p>
        </w:tc>
      </w:tr>
      <w:tr>
        <w:tc>
          <w:tcPr>
            <w:tcW w:w="1419" w:type="dxa"/>
          </w:tcPr>
          <w:p>
            <w:pPr>
              <w:pStyle w:val="0"/>
              <w:jc w:val="center"/>
            </w:pPr>
            <w:r>
              <w:rPr>
                <w:sz w:val="20"/>
              </w:rPr>
              <w:t xml:space="preserve">5</w:t>
            </w:r>
          </w:p>
        </w:tc>
        <w:tc>
          <w:tcPr>
            <w:tcW w:w="7545" w:type="dxa"/>
          </w:tcPr>
          <w:p>
            <w:pPr>
              <w:pStyle w:val="0"/>
            </w:pPr>
            <w:r>
              <w:rPr>
                <w:sz w:val="20"/>
              </w:rPr>
              <w:t xml:space="preserve">пылезащищено; защищено от проникновения пыли в количестве, нарушающем нормальную работу оборудования или снижающем его безопасность</w:t>
            </w:r>
          </w:p>
        </w:tc>
      </w:tr>
      <w:tr>
        <w:tc>
          <w:tcPr>
            <w:tcW w:w="1419" w:type="dxa"/>
          </w:tcPr>
          <w:p>
            <w:pPr>
              <w:pStyle w:val="0"/>
              <w:jc w:val="center"/>
            </w:pPr>
            <w:r>
              <w:rPr>
                <w:sz w:val="20"/>
              </w:rPr>
              <w:t xml:space="preserve">6</w:t>
            </w:r>
          </w:p>
        </w:tc>
        <w:tc>
          <w:tcPr>
            <w:tcW w:w="7545" w:type="dxa"/>
          </w:tcPr>
          <w:p>
            <w:pPr>
              <w:pStyle w:val="0"/>
            </w:pPr>
            <w:r>
              <w:rPr>
                <w:sz w:val="20"/>
              </w:rPr>
              <w:t xml:space="preserve">пыленепроницаемо; защищено от проникновения пыли</w:t>
            </w:r>
          </w:p>
        </w:tc>
      </w:tr>
    </w:tbl>
    <w:p>
      <w:pPr>
        <w:pStyle w:val="0"/>
        <w:ind w:firstLine="540"/>
        <w:jc w:val="both"/>
      </w:pPr>
      <w:r>
        <w:rPr>
          <w:sz w:val="20"/>
        </w:rPr>
      </w:r>
    </w:p>
    <w:p>
      <w:pPr>
        <w:pStyle w:val="0"/>
        <w:outlineLvl w:val="1"/>
        <w:jc w:val="center"/>
      </w:pPr>
      <w:r>
        <w:rPr>
          <w:sz w:val="20"/>
        </w:rPr>
        <w:t xml:space="preserve">Таблица 5</w:t>
      </w:r>
    </w:p>
    <w:p>
      <w:pPr>
        <w:pStyle w:val="0"/>
        <w:ind w:firstLine="540"/>
        <w:jc w:val="both"/>
      </w:pPr>
      <w:r>
        <w:rPr>
          <w:sz w:val="20"/>
        </w:rPr>
      </w:r>
    </w:p>
    <w:bookmarkStart w:id="2224" w:name="P2224"/>
    <w:bookmarkEnd w:id="2224"/>
    <w:p>
      <w:pPr>
        <w:pStyle w:val="2"/>
        <w:jc w:val="center"/>
      </w:pPr>
      <w:r>
        <w:rPr>
          <w:sz w:val="20"/>
        </w:rPr>
        <w:t xml:space="preserve">Степень защиты пожарозащищенного электрооборудования</w:t>
      </w:r>
    </w:p>
    <w:p>
      <w:pPr>
        <w:pStyle w:val="2"/>
        <w:jc w:val="center"/>
      </w:pPr>
      <w:r>
        <w:rPr>
          <w:sz w:val="20"/>
        </w:rPr>
        <w:t xml:space="preserve">от проникновения воды</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17"/>
        <w:gridCol w:w="7847"/>
      </w:tblGrid>
      <w:tr>
        <w:tc>
          <w:tcPr>
            <w:tcW w:w="1117" w:type="dxa"/>
          </w:tcPr>
          <w:p>
            <w:pPr>
              <w:pStyle w:val="0"/>
              <w:jc w:val="center"/>
            </w:pPr>
            <w:r>
              <w:rPr>
                <w:sz w:val="20"/>
              </w:rPr>
              <w:t xml:space="preserve">Вторая цифра</w:t>
            </w:r>
          </w:p>
        </w:tc>
        <w:tc>
          <w:tcPr>
            <w:tcW w:w="7847" w:type="dxa"/>
          </w:tcPr>
          <w:p>
            <w:pPr>
              <w:pStyle w:val="0"/>
              <w:jc w:val="center"/>
            </w:pPr>
            <w:r>
              <w:rPr>
                <w:sz w:val="20"/>
              </w:rPr>
              <w:t xml:space="preserve">Краткое описание степени защиты</w:t>
            </w:r>
          </w:p>
        </w:tc>
      </w:tr>
      <w:tr>
        <w:tc>
          <w:tcPr>
            <w:tcW w:w="1117" w:type="dxa"/>
          </w:tcPr>
          <w:p>
            <w:pPr>
              <w:pStyle w:val="0"/>
              <w:jc w:val="center"/>
            </w:pPr>
            <w:r>
              <w:rPr>
                <w:sz w:val="20"/>
              </w:rPr>
              <w:t xml:space="preserve">0</w:t>
            </w:r>
          </w:p>
        </w:tc>
        <w:tc>
          <w:tcPr>
            <w:tcW w:w="7847" w:type="dxa"/>
          </w:tcPr>
          <w:p>
            <w:pPr>
              <w:pStyle w:val="0"/>
            </w:pPr>
            <w:r>
              <w:rPr>
                <w:sz w:val="20"/>
              </w:rPr>
              <w:t xml:space="preserve">нет защиты</w:t>
            </w:r>
          </w:p>
        </w:tc>
      </w:tr>
      <w:tr>
        <w:tc>
          <w:tcPr>
            <w:tcW w:w="1117" w:type="dxa"/>
          </w:tcPr>
          <w:p>
            <w:pPr>
              <w:pStyle w:val="0"/>
              <w:jc w:val="center"/>
            </w:pPr>
            <w:r>
              <w:rPr>
                <w:sz w:val="20"/>
              </w:rPr>
              <w:t xml:space="preserve">1</w:t>
            </w:r>
          </w:p>
        </w:tc>
        <w:tc>
          <w:tcPr>
            <w:tcW w:w="7847" w:type="dxa"/>
          </w:tcPr>
          <w:p>
            <w:pPr>
              <w:pStyle w:val="0"/>
            </w:pPr>
            <w:r>
              <w:rPr>
                <w:sz w:val="20"/>
              </w:rPr>
              <w:t xml:space="preserve">защищено от вертикально падающих капель воды</w:t>
            </w:r>
          </w:p>
        </w:tc>
      </w:tr>
      <w:tr>
        <w:tc>
          <w:tcPr>
            <w:tcW w:w="1117" w:type="dxa"/>
          </w:tcPr>
          <w:p>
            <w:pPr>
              <w:pStyle w:val="0"/>
              <w:jc w:val="center"/>
            </w:pPr>
            <w:r>
              <w:rPr>
                <w:sz w:val="20"/>
              </w:rPr>
              <w:t xml:space="preserve">2</w:t>
            </w:r>
          </w:p>
        </w:tc>
        <w:tc>
          <w:tcPr>
            <w:tcW w:w="7847" w:type="dxa"/>
          </w:tcPr>
          <w:p>
            <w:pPr>
              <w:pStyle w:val="0"/>
            </w:pPr>
            <w:r>
              <w:rPr>
                <w:sz w:val="20"/>
              </w:rPr>
              <w:t xml:space="preserve">защищено от вертикально падающих капель воды, когда оболочка отклонена на угол не более 15 градусов</w:t>
            </w:r>
          </w:p>
        </w:tc>
      </w:tr>
      <w:tr>
        <w:tc>
          <w:tcPr>
            <w:tcW w:w="1117" w:type="dxa"/>
          </w:tcPr>
          <w:p>
            <w:pPr>
              <w:pStyle w:val="0"/>
              <w:jc w:val="center"/>
            </w:pPr>
            <w:r>
              <w:rPr>
                <w:sz w:val="20"/>
              </w:rPr>
              <w:t xml:space="preserve">3</w:t>
            </w:r>
          </w:p>
        </w:tc>
        <w:tc>
          <w:tcPr>
            <w:tcW w:w="7847" w:type="dxa"/>
          </w:tcPr>
          <w:p>
            <w:pPr>
              <w:pStyle w:val="0"/>
            </w:pPr>
            <w:r>
              <w:rPr>
                <w:sz w:val="20"/>
              </w:rPr>
              <w:t xml:space="preserve">защищено от воды, падающей в виде дождя под углом не более 60 градусов</w:t>
            </w:r>
          </w:p>
        </w:tc>
      </w:tr>
      <w:tr>
        <w:tc>
          <w:tcPr>
            <w:tcW w:w="1117" w:type="dxa"/>
          </w:tcPr>
          <w:p>
            <w:pPr>
              <w:pStyle w:val="0"/>
              <w:jc w:val="center"/>
            </w:pPr>
            <w:r>
              <w:rPr>
                <w:sz w:val="20"/>
              </w:rPr>
              <w:t xml:space="preserve">4</w:t>
            </w:r>
          </w:p>
        </w:tc>
        <w:tc>
          <w:tcPr>
            <w:tcW w:w="7847" w:type="dxa"/>
          </w:tcPr>
          <w:p>
            <w:pPr>
              <w:pStyle w:val="0"/>
            </w:pPr>
            <w:r>
              <w:rPr>
                <w:sz w:val="20"/>
              </w:rPr>
              <w:t xml:space="preserve">защищено от сплошного обрызгивания любого направления</w:t>
            </w:r>
          </w:p>
        </w:tc>
      </w:tr>
      <w:tr>
        <w:tc>
          <w:tcPr>
            <w:tcW w:w="1117" w:type="dxa"/>
          </w:tcPr>
          <w:p>
            <w:pPr>
              <w:pStyle w:val="0"/>
              <w:jc w:val="center"/>
            </w:pPr>
            <w:r>
              <w:rPr>
                <w:sz w:val="20"/>
              </w:rPr>
              <w:t xml:space="preserve">5</w:t>
            </w:r>
          </w:p>
        </w:tc>
        <w:tc>
          <w:tcPr>
            <w:tcW w:w="7847" w:type="dxa"/>
          </w:tcPr>
          <w:p>
            <w:pPr>
              <w:pStyle w:val="0"/>
            </w:pPr>
            <w:r>
              <w:rPr>
                <w:sz w:val="20"/>
              </w:rPr>
              <w:t xml:space="preserve">защищено от водяных струй из сопла с внутренним диаметром 6,3 миллиметра</w:t>
            </w:r>
          </w:p>
        </w:tc>
      </w:tr>
      <w:tr>
        <w:tc>
          <w:tcPr>
            <w:tcW w:w="1117" w:type="dxa"/>
          </w:tcPr>
          <w:p>
            <w:pPr>
              <w:pStyle w:val="0"/>
              <w:jc w:val="center"/>
            </w:pPr>
            <w:r>
              <w:rPr>
                <w:sz w:val="20"/>
              </w:rPr>
              <w:t xml:space="preserve">6</w:t>
            </w:r>
          </w:p>
        </w:tc>
        <w:tc>
          <w:tcPr>
            <w:tcW w:w="7847" w:type="dxa"/>
          </w:tcPr>
          <w:p>
            <w:pPr>
              <w:pStyle w:val="0"/>
            </w:pPr>
            <w:r>
              <w:rPr>
                <w:sz w:val="20"/>
              </w:rPr>
              <w:t xml:space="preserve">защищено от водяных струй из сопла с внутренним диаметром 12,5 миллиметра</w:t>
            </w:r>
          </w:p>
        </w:tc>
      </w:tr>
      <w:tr>
        <w:tc>
          <w:tcPr>
            <w:tcW w:w="1117" w:type="dxa"/>
          </w:tcPr>
          <w:p>
            <w:pPr>
              <w:pStyle w:val="0"/>
              <w:jc w:val="center"/>
            </w:pPr>
            <w:r>
              <w:rPr>
                <w:sz w:val="20"/>
              </w:rPr>
              <w:t xml:space="preserve">7</w:t>
            </w:r>
          </w:p>
        </w:tc>
        <w:tc>
          <w:tcPr>
            <w:tcW w:w="7847" w:type="dxa"/>
          </w:tcPr>
          <w:p>
            <w:pPr>
              <w:pStyle w:val="0"/>
            </w:pPr>
            <w:r>
              <w:rPr>
                <w:sz w:val="20"/>
              </w:rPr>
              <w:t xml:space="preserve">защищено от воздействия при погружении в воду не более чем на 30 минут</w:t>
            </w:r>
          </w:p>
        </w:tc>
      </w:tr>
      <w:tr>
        <w:tc>
          <w:tcPr>
            <w:tcW w:w="1117" w:type="dxa"/>
          </w:tcPr>
          <w:p>
            <w:pPr>
              <w:pStyle w:val="0"/>
              <w:jc w:val="center"/>
            </w:pPr>
            <w:r>
              <w:rPr>
                <w:sz w:val="20"/>
              </w:rPr>
              <w:t xml:space="preserve">8</w:t>
            </w:r>
          </w:p>
        </w:tc>
        <w:tc>
          <w:tcPr>
            <w:tcW w:w="7847" w:type="dxa"/>
          </w:tcPr>
          <w:p>
            <w:pPr>
              <w:pStyle w:val="0"/>
            </w:pPr>
            <w:r>
              <w:rPr>
                <w:sz w:val="20"/>
              </w:rPr>
              <w:t xml:space="preserve">защищено от воздействия при погружении в воду более чем на 30 минут</w:t>
            </w:r>
          </w:p>
        </w:tc>
      </w:tr>
    </w:tbl>
    <w:p>
      <w:pPr>
        <w:pStyle w:val="0"/>
        <w:jc w:val="right"/>
      </w:pPr>
      <w:r>
        <w:rPr>
          <w:sz w:val="20"/>
        </w:rPr>
      </w:r>
    </w:p>
    <w:p>
      <w:pPr>
        <w:pStyle w:val="0"/>
        <w:outlineLvl w:val="1"/>
        <w:jc w:val="center"/>
      </w:pPr>
      <w:r>
        <w:rPr>
          <w:sz w:val="20"/>
        </w:rPr>
        <w:t xml:space="preserve">Таблица 6</w:t>
      </w:r>
    </w:p>
    <w:p>
      <w:pPr>
        <w:pStyle w:val="0"/>
        <w:jc w:val="right"/>
      </w:pPr>
      <w:r>
        <w:rPr>
          <w:sz w:val="20"/>
        </w:rPr>
      </w:r>
    </w:p>
    <w:p>
      <w:pPr>
        <w:pStyle w:val="2"/>
        <w:jc w:val="center"/>
      </w:pPr>
      <w:r>
        <w:rPr>
          <w:sz w:val="20"/>
        </w:rPr>
        <w:t xml:space="preserve">Порядок определения класса пожарной опасности</w:t>
      </w:r>
    </w:p>
    <w:p>
      <w:pPr>
        <w:pStyle w:val="2"/>
        <w:jc w:val="center"/>
      </w:pPr>
      <w:r>
        <w:rPr>
          <w:sz w:val="20"/>
        </w:rPr>
        <w:t xml:space="preserve">строительных конструкций</w:t>
      </w:r>
    </w:p>
    <w:p>
      <w:pPr>
        <w:pStyle w:val="0"/>
        <w:jc w:val="right"/>
      </w:pPr>
      <w:r>
        <w:rPr>
          <w:sz w:val="20"/>
        </w:rPr>
      </w:r>
    </w:p>
    <w:p>
      <w:pPr>
        <w:pStyle w:val="0"/>
        <w:ind w:firstLine="540"/>
        <w:jc w:val="both"/>
      </w:pPr>
      <w:r>
        <w:rPr>
          <w:sz w:val="20"/>
        </w:rPr>
        <w:t xml:space="preserve">Утратила силу. - Федеральный </w:t>
      </w:r>
      <w:hyperlink w:history="0" r:id="rId526"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29.07.2017 N 244-ФЗ.</w:t>
      </w:r>
    </w:p>
    <w:p>
      <w:pPr>
        <w:pStyle w:val="0"/>
        <w:ind w:firstLine="540"/>
        <w:jc w:val="both"/>
      </w:pPr>
      <w:r>
        <w:rPr>
          <w:sz w:val="20"/>
        </w:rPr>
      </w:r>
    </w:p>
    <w:p>
      <w:pPr>
        <w:pStyle w:val="0"/>
        <w:outlineLvl w:val="1"/>
        <w:ind w:firstLine="540"/>
        <w:jc w:val="both"/>
      </w:pPr>
      <w:r>
        <w:rPr>
          <w:sz w:val="20"/>
        </w:rPr>
        <w:t xml:space="preserve">Таблицы 7 - 11. Утратили силу. - Федеральный </w:t>
      </w:r>
      <w:hyperlink w:history="0" r:id="rId52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ind w:firstLine="540"/>
        <w:jc w:val="both"/>
      </w:pPr>
      <w:r>
        <w:rPr>
          <w:sz w:val="20"/>
        </w:rPr>
      </w:r>
    </w:p>
    <w:bookmarkStart w:id="2257" w:name="P2257"/>
    <w:bookmarkEnd w:id="2257"/>
    <w:p>
      <w:pPr>
        <w:pStyle w:val="0"/>
        <w:outlineLvl w:val="1"/>
        <w:jc w:val="center"/>
      </w:pPr>
      <w:r>
        <w:rPr>
          <w:sz w:val="20"/>
        </w:rPr>
        <w:t xml:space="preserve">Таблица 12</w:t>
      </w:r>
    </w:p>
    <w:p>
      <w:pPr>
        <w:pStyle w:val="0"/>
        <w:ind w:firstLine="540"/>
        <w:jc w:val="both"/>
      </w:pPr>
      <w:r>
        <w:rPr>
          <w:sz w:val="20"/>
        </w:rPr>
      </w:r>
    </w:p>
    <w:bookmarkStart w:id="2259" w:name="P2259"/>
    <w:bookmarkEnd w:id="2259"/>
    <w:p>
      <w:pPr>
        <w:pStyle w:val="2"/>
        <w:jc w:val="center"/>
      </w:pPr>
      <w:r>
        <w:rPr>
          <w:sz w:val="20"/>
        </w:rPr>
        <w:t xml:space="preserve">Противопожарные расстояния от зданий и сооружений</w:t>
      </w:r>
    </w:p>
    <w:p>
      <w:pPr>
        <w:pStyle w:val="2"/>
        <w:jc w:val="center"/>
      </w:pPr>
      <w:r>
        <w:rPr>
          <w:sz w:val="20"/>
        </w:rPr>
        <w:t xml:space="preserve">на территориях складов нефти и нефтепродуктов</w:t>
      </w:r>
    </w:p>
    <w:p>
      <w:pPr>
        <w:pStyle w:val="2"/>
        <w:jc w:val="center"/>
      </w:pPr>
      <w:r>
        <w:rPr>
          <w:sz w:val="20"/>
        </w:rPr>
        <w:t xml:space="preserve">до граничащих с ними объектов защиты</w:t>
      </w:r>
    </w:p>
    <w:p>
      <w:pPr>
        <w:pStyle w:val="0"/>
        <w:jc w:val="center"/>
      </w:pPr>
      <w:r>
        <w:rPr>
          <w:sz w:val="20"/>
        </w:rPr>
        <w:t xml:space="preserve">(в ред. Федерального </w:t>
      </w:r>
      <w:hyperlink w:history="0" r:id="rId52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96"/>
        <w:gridCol w:w="1041"/>
        <w:gridCol w:w="1053"/>
        <w:gridCol w:w="958"/>
        <w:gridCol w:w="958"/>
        <w:gridCol w:w="958"/>
      </w:tblGrid>
      <w:tr>
        <w:tc>
          <w:tcPr>
            <w:tcW w:w="3996" w:type="dxa"/>
            <w:vMerge w:val="restart"/>
          </w:tcPr>
          <w:p>
            <w:pPr>
              <w:pStyle w:val="0"/>
              <w:jc w:val="center"/>
            </w:pPr>
            <w:r>
              <w:rPr>
                <w:sz w:val="20"/>
              </w:rPr>
              <w:t xml:space="preserve">Наименование объектов, граничащих со зданиями и с сооружениями складов нефти и нефтепродуктов</w:t>
            </w:r>
          </w:p>
        </w:tc>
        <w:tc>
          <w:tcPr>
            <w:gridSpan w:val="5"/>
            <w:tcW w:w="4968" w:type="dxa"/>
          </w:tcPr>
          <w:p>
            <w:pPr>
              <w:pStyle w:val="0"/>
              <w:jc w:val="center"/>
            </w:pPr>
            <w:r>
              <w:rPr>
                <w:sz w:val="20"/>
              </w:rPr>
              <w:t xml:space="preserve">Противопожарные расстояния от зданий, и сооружений складов нефти и нефтепродуктов до граничащих с ними объектов при категории склада, метры</w:t>
            </w:r>
          </w:p>
        </w:tc>
      </w:tr>
      <w:tr>
        <w:tc>
          <w:tcPr>
            <w:vMerge w:val="continue"/>
          </w:tcPr>
          <w:p/>
        </w:tc>
        <w:tc>
          <w:tcPr>
            <w:tcW w:w="1041" w:type="dxa"/>
          </w:tcPr>
          <w:p>
            <w:pPr>
              <w:pStyle w:val="0"/>
              <w:jc w:val="center"/>
            </w:pPr>
            <w:r>
              <w:rPr>
                <w:sz w:val="20"/>
              </w:rPr>
              <w:t xml:space="preserve">I</w:t>
            </w:r>
          </w:p>
        </w:tc>
        <w:tc>
          <w:tcPr>
            <w:tcW w:w="1053" w:type="dxa"/>
          </w:tcPr>
          <w:p>
            <w:pPr>
              <w:pStyle w:val="0"/>
              <w:jc w:val="center"/>
            </w:pPr>
            <w:r>
              <w:rPr>
                <w:sz w:val="20"/>
              </w:rPr>
              <w:t xml:space="preserve">II</w:t>
            </w:r>
          </w:p>
        </w:tc>
        <w:tc>
          <w:tcPr>
            <w:tcW w:w="958" w:type="dxa"/>
          </w:tcPr>
          <w:p>
            <w:pPr>
              <w:pStyle w:val="0"/>
              <w:jc w:val="center"/>
            </w:pPr>
            <w:r>
              <w:rPr>
                <w:sz w:val="20"/>
              </w:rPr>
              <w:t xml:space="preserve">IIIа</w:t>
            </w:r>
          </w:p>
        </w:tc>
        <w:tc>
          <w:tcPr>
            <w:tcW w:w="958" w:type="dxa"/>
          </w:tcPr>
          <w:p>
            <w:pPr>
              <w:pStyle w:val="0"/>
              <w:jc w:val="center"/>
            </w:pPr>
            <w:r>
              <w:rPr>
                <w:sz w:val="20"/>
              </w:rPr>
              <w:t xml:space="preserve">IIIб</w:t>
            </w:r>
          </w:p>
        </w:tc>
        <w:tc>
          <w:tcPr>
            <w:tcW w:w="958" w:type="dxa"/>
          </w:tcPr>
          <w:p>
            <w:pPr>
              <w:pStyle w:val="0"/>
              <w:jc w:val="center"/>
            </w:pPr>
            <w:r>
              <w:rPr>
                <w:sz w:val="20"/>
              </w:rPr>
              <w:t xml:space="preserve">IIIв</w:t>
            </w:r>
          </w:p>
        </w:tc>
      </w:tr>
      <w:tr>
        <w:tblPrEx>
          <w:tblBorders>
            <w:insideH w:val="nil"/>
          </w:tblBorders>
        </w:tblPrEx>
        <w:tc>
          <w:tcPr>
            <w:tcW w:w="3996" w:type="dxa"/>
            <w:tcBorders>
              <w:bottom w:val="nil"/>
            </w:tcBorders>
          </w:tcPr>
          <w:p>
            <w:pPr>
              <w:pStyle w:val="0"/>
            </w:pPr>
            <w:r>
              <w:rPr>
                <w:sz w:val="20"/>
              </w:rPr>
              <w:t xml:space="preserve">Здания и сооружения граничащих с ними производственных объектов</w:t>
            </w:r>
          </w:p>
        </w:tc>
        <w:tc>
          <w:tcPr>
            <w:tcW w:w="1041" w:type="dxa"/>
            <w:vAlign w:val="bottom"/>
            <w:tcBorders>
              <w:bottom w:val="nil"/>
            </w:tcBorders>
          </w:tcPr>
          <w:p>
            <w:pPr>
              <w:pStyle w:val="0"/>
              <w:jc w:val="center"/>
            </w:pPr>
            <w:r>
              <w:rPr>
                <w:sz w:val="20"/>
              </w:rPr>
              <w:t xml:space="preserve">100</w:t>
            </w:r>
          </w:p>
        </w:tc>
        <w:tc>
          <w:tcPr>
            <w:tcW w:w="1053" w:type="dxa"/>
            <w:vAlign w:val="bottom"/>
            <w:tcBorders>
              <w:bottom w:val="nil"/>
            </w:tcBorders>
          </w:tcPr>
          <w:p>
            <w:pPr>
              <w:pStyle w:val="0"/>
              <w:jc w:val="center"/>
            </w:pPr>
            <w:r>
              <w:rPr>
                <w:sz w:val="20"/>
              </w:rPr>
              <w:t xml:space="preserve">40 (100)</w:t>
            </w:r>
          </w:p>
        </w:tc>
        <w:tc>
          <w:tcPr>
            <w:tcW w:w="958" w:type="dxa"/>
            <w:vAlign w:val="bottom"/>
            <w:tcBorders>
              <w:bottom w:val="nil"/>
            </w:tcBorders>
          </w:tcPr>
          <w:p>
            <w:pPr>
              <w:pStyle w:val="0"/>
              <w:jc w:val="center"/>
            </w:pPr>
            <w:r>
              <w:rPr>
                <w:sz w:val="20"/>
              </w:rPr>
              <w:t xml:space="preserve">40</w:t>
            </w:r>
          </w:p>
        </w:tc>
        <w:tc>
          <w:tcPr>
            <w:tcW w:w="958" w:type="dxa"/>
            <w:vAlign w:val="bottom"/>
            <w:tcBorders>
              <w:bottom w:val="nil"/>
            </w:tcBorders>
          </w:tcPr>
          <w:p>
            <w:pPr>
              <w:pStyle w:val="0"/>
              <w:jc w:val="center"/>
            </w:pPr>
            <w:r>
              <w:rPr>
                <w:sz w:val="20"/>
              </w:rPr>
              <w:t xml:space="preserve">40</w:t>
            </w:r>
          </w:p>
        </w:tc>
        <w:tc>
          <w:tcPr>
            <w:tcW w:w="958" w:type="dxa"/>
            <w:vAlign w:val="bottom"/>
            <w:tcBorders>
              <w:bottom w:val="nil"/>
            </w:tcBorders>
          </w:tcPr>
          <w:p>
            <w:pPr>
              <w:pStyle w:val="0"/>
              <w:jc w:val="center"/>
            </w:pPr>
            <w:r>
              <w:rPr>
                <w:sz w:val="20"/>
              </w:rPr>
              <w:t xml:space="preserve">30</w:t>
            </w:r>
          </w:p>
        </w:tc>
      </w:tr>
      <w:tr>
        <w:tblPrEx>
          <w:tblBorders>
            <w:insideH w:val="nil"/>
          </w:tblBorders>
        </w:tblPrEx>
        <w:tc>
          <w:tcPr>
            <w:gridSpan w:val="6"/>
            <w:tcW w:w="8964" w:type="dxa"/>
            <w:tcBorders>
              <w:top w:val="nil"/>
            </w:tcBorders>
          </w:tcPr>
          <w:p>
            <w:pPr>
              <w:pStyle w:val="0"/>
              <w:jc w:val="both"/>
            </w:pPr>
            <w:r>
              <w:rPr>
                <w:sz w:val="20"/>
              </w:rPr>
              <w:t xml:space="preserve">(в ред. Федерального </w:t>
            </w:r>
            <w:hyperlink w:history="0" r:id="rId52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tc>
      </w:tr>
      <w:tr>
        <w:tblPrEx>
          <w:tblBorders>
            <w:insideH w:val="nil"/>
          </w:tblBorders>
        </w:tblPrEx>
        <w:tc>
          <w:tcPr>
            <w:tcW w:w="3996" w:type="dxa"/>
            <w:tcBorders>
              <w:bottom w:val="nil"/>
            </w:tcBorders>
          </w:tcPr>
          <w:p>
            <w:pPr>
              <w:pStyle w:val="0"/>
            </w:pPr>
            <w:r>
              <w:rPr>
                <w:sz w:val="20"/>
              </w:rPr>
              <w:t xml:space="preserve">Лесничества с лесными насаждениями:</w:t>
            </w:r>
          </w:p>
        </w:tc>
        <w:tc>
          <w:tcPr>
            <w:tcW w:w="1041" w:type="dxa"/>
            <w:tcBorders>
              <w:bottom w:val="nil"/>
            </w:tcBorders>
          </w:tcPr>
          <w:p>
            <w:pPr>
              <w:pStyle w:val="0"/>
              <w:jc w:val="both"/>
            </w:pPr>
            <w:r>
              <w:rPr>
                <w:sz w:val="20"/>
              </w:rPr>
            </w:r>
          </w:p>
        </w:tc>
        <w:tc>
          <w:tcPr>
            <w:tcW w:w="1053" w:type="dxa"/>
            <w:tcBorders>
              <w:bottom w:val="nil"/>
            </w:tcBorders>
          </w:tcPr>
          <w:p>
            <w:pPr>
              <w:pStyle w:val="0"/>
              <w:jc w:val="both"/>
            </w:pPr>
            <w:r>
              <w:rPr>
                <w:sz w:val="20"/>
              </w:rPr>
            </w:r>
          </w:p>
        </w:tc>
        <w:tc>
          <w:tcPr>
            <w:tcW w:w="958" w:type="dxa"/>
            <w:tcBorders>
              <w:bottom w:val="nil"/>
            </w:tcBorders>
          </w:tcPr>
          <w:p>
            <w:pPr>
              <w:pStyle w:val="0"/>
              <w:jc w:val="both"/>
            </w:pPr>
            <w:r>
              <w:rPr>
                <w:sz w:val="20"/>
              </w:rPr>
            </w:r>
          </w:p>
        </w:tc>
        <w:tc>
          <w:tcPr>
            <w:tcW w:w="958" w:type="dxa"/>
            <w:tcBorders>
              <w:bottom w:val="nil"/>
            </w:tcBorders>
          </w:tcPr>
          <w:p>
            <w:pPr>
              <w:pStyle w:val="0"/>
              <w:jc w:val="both"/>
            </w:pPr>
            <w:r>
              <w:rPr>
                <w:sz w:val="20"/>
              </w:rPr>
            </w:r>
          </w:p>
        </w:tc>
        <w:tc>
          <w:tcPr>
            <w:tcW w:w="958" w:type="dxa"/>
            <w:tcBorders>
              <w:bottom w:val="nil"/>
            </w:tcBorders>
          </w:tcPr>
          <w:p>
            <w:pPr>
              <w:pStyle w:val="0"/>
              <w:jc w:val="both"/>
            </w:pPr>
            <w:r>
              <w:rPr>
                <w:sz w:val="20"/>
              </w:rPr>
            </w:r>
          </w:p>
        </w:tc>
      </w:tr>
      <w:tr>
        <w:tblPrEx>
          <w:tblBorders>
            <w:insideH w:val="nil"/>
          </w:tblBorders>
        </w:tblPrEx>
        <w:tc>
          <w:tcPr>
            <w:gridSpan w:val="6"/>
            <w:tcW w:w="8964" w:type="dxa"/>
            <w:tcBorders>
              <w:top w:val="nil"/>
              <w:bottom w:val="nil"/>
            </w:tcBorders>
          </w:tcPr>
          <w:p>
            <w:pPr>
              <w:pStyle w:val="0"/>
              <w:jc w:val="both"/>
            </w:pPr>
            <w:r>
              <w:rPr>
                <w:sz w:val="20"/>
              </w:rPr>
              <w:t xml:space="preserve">(в ред. Федеральных законов от 10.07.2012 </w:t>
            </w:r>
            <w:hyperlink w:history="0" r:id="rId53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27.12.2018 </w:t>
            </w:r>
            <w:hyperlink w:history="0" r:id="rId531"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rPr>
              <w:t xml:space="preserve">)</w:t>
            </w:r>
          </w:p>
        </w:tc>
      </w:tr>
      <w:tr>
        <w:tblPrEx>
          <w:tblBorders>
            <w:insideH w:val="nil"/>
          </w:tblBorders>
        </w:tblPrEx>
        <w:tc>
          <w:tcPr>
            <w:tcW w:w="3996" w:type="dxa"/>
            <w:tcBorders>
              <w:top w:val="nil"/>
              <w:bottom w:val="nil"/>
            </w:tcBorders>
          </w:tcPr>
          <w:p>
            <w:pPr>
              <w:pStyle w:val="0"/>
              <w:ind w:left="283"/>
            </w:pPr>
            <w:r>
              <w:rPr>
                <w:sz w:val="20"/>
              </w:rPr>
              <w:t xml:space="preserve">хвойных и смешанных пород</w:t>
            </w:r>
          </w:p>
        </w:tc>
        <w:tc>
          <w:tcPr>
            <w:tcW w:w="1041" w:type="dxa"/>
            <w:vAlign w:val="bottom"/>
            <w:tcBorders>
              <w:top w:val="nil"/>
              <w:bottom w:val="nil"/>
            </w:tcBorders>
          </w:tcPr>
          <w:p>
            <w:pPr>
              <w:pStyle w:val="0"/>
              <w:jc w:val="center"/>
            </w:pPr>
            <w:r>
              <w:rPr>
                <w:sz w:val="20"/>
              </w:rPr>
              <w:t xml:space="preserve">100</w:t>
            </w:r>
          </w:p>
        </w:tc>
        <w:tc>
          <w:tcPr>
            <w:tcW w:w="1053" w:type="dxa"/>
            <w:vAlign w:val="bottom"/>
            <w:tcBorders>
              <w:top w:val="nil"/>
              <w:bottom w:val="nil"/>
            </w:tcBorders>
          </w:tcPr>
          <w:p>
            <w:pPr>
              <w:pStyle w:val="0"/>
              <w:jc w:val="center"/>
            </w:pPr>
            <w:r>
              <w:rPr>
                <w:sz w:val="20"/>
              </w:rPr>
              <w:t xml:space="preserve">50</w:t>
            </w:r>
          </w:p>
        </w:tc>
        <w:tc>
          <w:tcPr>
            <w:tcW w:w="958" w:type="dxa"/>
            <w:vAlign w:val="bottom"/>
            <w:tcBorders>
              <w:top w:val="nil"/>
              <w:bottom w:val="nil"/>
            </w:tcBorders>
          </w:tcPr>
          <w:p>
            <w:pPr>
              <w:pStyle w:val="0"/>
              <w:jc w:val="center"/>
            </w:pPr>
            <w:r>
              <w:rPr>
                <w:sz w:val="20"/>
              </w:rPr>
              <w:t xml:space="preserve">50</w:t>
            </w:r>
          </w:p>
        </w:tc>
        <w:tc>
          <w:tcPr>
            <w:tcW w:w="958" w:type="dxa"/>
            <w:vAlign w:val="bottom"/>
            <w:tcBorders>
              <w:top w:val="nil"/>
              <w:bottom w:val="nil"/>
            </w:tcBorders>
          </w:tcPr>
          <w:p>
            <w:pPr>
              <w:pStyle w:val="0"/>
              <w:jc w:val="center"/>
            </w:pPr>
            <w:r>
              <w:rPr>
                <w:sz w:val="20"/>
              </w:rPr>
              <w:t xml:space="preserve">50</w:t>
            </w:r>
          </w:p>
        </w:tc>
        <w:tc>
          <w:tcPr>
            <w:tcW w:w="958" w:type="dxa"/>
            <w:vAlign w:val="bottom"/>
            <w:tcBorders>
              <w:top w:val="nil"/>
              <w:bottom w:val="nil"/>
            </w:tcBorders>
          </w:tcPr>
          <w:p>
            <w:pPr>
              <w:pStyle w:val="0"/>
              <w:jc w:val="center"/>
            </w:pPr>
            <w:r>
              <w:rPr>
                <w:sz w:val="20"/>
              </w:rPr>
              <w:t xml:space="preserve">50</w:t>
            </w:r>
          </w:p>
        </w:tc>
      </w:tr>
      <w:tr>
        <w:tblPrEx>
          <w:tblBorders>
            <w:insideH w:val="nil"/>
          </w:tblBorders>
        </w:tblPrEx>
        <w:tc>
          <w:tcPr>
            <w:tcW w:w="3996" w:type="dxa"/>
            <w:tcBorders>
              <w:top w:val="nil"/>
            </w:tcBorders>
          </w:tcPr>
          <w:p>
            <w:pPr>
              <w:pStyle w:val="0"/>
              <w:ind w:left="283"/>
            </w:pPr>
            <w:r>
              <w:rPr>
                <w:sz w:val="20"/>
              </w:rPr>
              <w:t xml:space="preserve">лиственных пород</w:t>
            </w:r>
          </w:p>
        </w:tc>
        <w:tc>
          <w:tcPr>
            <w:tcW w:w="1041" w:type="dxa"/>
            <w:vAlign w:val="bottom"/>
            <w:tcBorders>
              <w:top w:val="nil"/>
            </w:tcBorders>
          </w:tcPr>
          <w:p>
            <w:pPr>
              <w:pStyle w:val="0"/>
              <w:jc w:val="center"/>
            </w:pPr>
            <w:r>
              <w:rPr>
                <w:sz w:val="20"/>
              </w:rPr>
              <w:t xml:space="preserve">100</w:t>
            </w:r>
          </w:p>
        </w:tc>
        <w:tc>
          <w:tcPr>
            <w:tcW w:w="1053" w:type="dxa"/>
            <w:vAlign w:val="bottom"/>
            <w:tcBorders>
              <w:top w:val="nil"/>
            </w:tcBorders>
          </w:tcPr>
          <w:p>
            <w:pPr>
              <w:pStyle w:val="0"/>
              <w:jc w:val="center"/>
            </w:pPr>
            <w:r>
              <w:rPr>
                <w:sz w:val="20"/>
              </w:rPr>
              <w:t xml:space="preserve">100</w:t>
            </w:r>
          </w:p>
        </w:tc>
        <w:tc>
          <w:tcPr>
            <w:tcW w:w="958" w:type="dxa"/>
            <w:vAlign w:val="bottom"/>
            <w:tcBorders>
              <w:top w:val="nil"/>
            </w:tcBorders>
          </w:tcPr>
          <w:p>
            <w:pPr>
              <w:pStyle w:val="0"/>
              <w:jc w:val="center"/>
            </w:pPr>
            <w:r>
              <w:rPr>
                <w:sz w:val="20"/>
              </w:rPr>
              <w:t xml:space="preserve">50</w:t>
            </w:r>
          </w:p>
        </w:tc>
        <w:tc>
          <w:tcPr>
            <w:tcW w:w="958" w:type="dxa"/>
            <w:vAlign w:val="bottom"/>
            <w:tcBorders>
              <w:top w:val="nil"/>
            </w:tcBorders>
          </w:tcPr>
          <w:p>
            <w:pPr>
              <w:pStyle w:val="0"/>
              <w:jc w:val="center"/>
            </w:pPr>
            <w:r>
              <w:rPr>
                <w:sz w:val="20"/>
              </w:rPr>
              <w:t xml:space="preserve">50</w:t>
            </w:r>
          </w:p>
        </w:tc>
        <w:tc>
          <w:tcPr>
            <w:tcW w:w="958" w:type="dxa"/>
            <w:vAlign w:val="bottom"/>
            <w:tcBorders>
              <w:top w:val="nil"/>
            </w:tcBorders>
          </w:tcPr>
          <w:p>
            <w:pPr>
              <w:pStyle w:val="0"/>
              <w:jc w:val="center"/>
            </w:pPr>
            <w:r>
              <w:rPr>
                <w:sz w:val="20"/>
              </w:rPr>
              <w:t xml:space="preserve">50</w:t>
            </w:r>
          </w:p>
        </w:tc>
      </w:tr>
      <w:tr>
        <w:tc>
          <w:tcPr>
            <w:tcW w:w="3996" w:type="dxa"/>
          </w:tcPr>
          <w:p>
            <w:pPr>
              <w:pStyle w:val="0"/>
            </w:pPr>
            <w:r>
              <w:rPr>
                <w:sz w:val="20"/>
              </w:rPr>
              <w:t xml:space="preserve">Склады лесных материалов, торфа, волокнистых горючих веществ, сена, соломы, а также участки открытого залегания торфа</w:t>
            </w:r>
          </w:p>
        </w:tc>
        <w:tc>
          <w:tcPr>
            <w:tcW w:w="1041" w:type="dxa"/>
            <w:vAlign w:val="bottom"/>
          </w:tcPr>
          <w:p>
            <w:pPr>
              <w:pStyle w:val="0"/>
              <w:jc w:val="center"/>
            </w:pPr>
            <w:r>
              <w:rPr>
                <w:sz w:val="20"/>
              </w:rPr>
              <w:t xml:space="preserve">100</w:t>
            </w:r>
          </w:p>
        </w:tc>
        <w:tc>
          <w:tcPr>
            <w:tcW w:w="1053" w:type="dxa"/>
            <w:vAlign w:val="bottom"/>
          </w:tcPr>
          <w:p>
            <w:pPr>
              <w:pStyle w:val="0"/>
              <w:jc w:val="center"/>
            </w:pPr>
            <w:r>
              <w:rPr>
                <w:sz w:val="20"/>
              </w:rPr>
              <w:t xml:space="preserve">100</w:t>
            </w:r>
          </w:p>
        </w:tc>
        <w:tc>
          <w:tcPr>
            <w:tcW w:w="958" w:type="dxa"/>
            <w:vAlign w:val="bottom"/>
          </w:tcPr>
          <w:p>
            <w:pPr>
              <w:pStyle w:val="0"/>
              <w:jc w:val="center"/>
            </w:pPr>
            <w:r>
              <w:rPr>
                <w:sz w:val="20"/>
              </w:rPr>
              <w:t xml:space="preserve">50</w:t>
            </w:r>
          </w:p>
        </w:tc>
        <w:tc>
          <w:tcPr>
            <w:tcW w:w="958" w:type="dxa"/>
            <w:vAlign w:val="bottom"/>
          </w:tcPr>
          <w:p>
            <w:pPr>
              <w:pStyle w:val="0"/>
              <w:jc w:val="center"/>
            </w:pPr>
            <w:r>
              <w:rPr>
                <w:sz w:val="20"/>
              </w:rPr>
              <w:t xml:space="preserve">50</w:t>
            </w:r>
          </w:p>
        </w:tc>
        <w:tc>
          <w:tcPr>
            <w:tcW w:w="958" w:type="dxa"/>
            <w:vAlign w:val="bottom"/>
          </w:tcPr>
          <w:p>
            <w:pPr>
              <w:pStyle w:val="0"/>
              <w:jc w:val="center"/>
            </w:pPr>
            <w:r>
              <w:rPr>
                <w:sz w:val="20"/>
              </w:rPr>
              <w:t xml:space="preserve">50</w:t>
            </w:r>
          </w:p>
        </w:tc>
      </w:tr>
      <w:tr>
        <w:tblPrEx>
          <w:tblBorders>
            <w:insideH w:val="nil"/>
          </w:tblBorders>
        </w:tblPrEx>
        <w:tc>
          <w:tcPr>
            <w:tcW w:w="3996" w:type="dxa"/>
            <w:tcBorders>
              <w:bottom w:val="nil"/>
            </w:tcBorders>
          </w:tcPr>
          <w:p>
            <w:pPr>
              <w:pStyle w:val="0"/>
            </w:pPr>
            <w:r>
              <w:rPr>
                <w:sz w:val="20"/>
              </w:rPr>
              <w:t xml:space="preserve">Железные дороги общей сети (до подошвы насыпи или бровки выемки):</w:t>
            </w:r>
          </w:p>
        </w:tc>
        <w:tc>
          <w:tcPr>
            <w:tcW w:w="1041" w:type="dxa"/>
            <w:vAlign w:val="bottom"/>
            <w:tcBorders>
              <w:bottom w:val="nil"/>
            </w:tcBorders>
          </w:tcPr>
          <w:p>
            <w:pPr>
              <w:pStyle w:val="0"/>
              <w:jc w:val="center"/>
            </w:pPr>
            <w:r>
              <w:rPr>
                <w:sz w:val="20"/>
              </w:rPr>
            </w:r>
          </w:p>
        </w:tc>
        <w:tc>
          <w:tcPr>
            <w:tcW w:w="1053" w:type="dxa"/>
            <w:vAlign w:val="bottom"/>
            <w:tcBorders>
              <w:bottom w:val="nil"/>
            </w:tcBorders>
          </w:tcPr>
          <w:p>
            <w:pPr>
              <w:pStyle w:val="0"/>
              <w:jc w:val="center"/>
            </w:pPr>
            <w:r>
              <w:rPr>
                <w:sz w:val="20"/>
              </w:rPr>
            </w:r>
          </w:p>
        </w:tc>
        <w:tc>
          <w:tcPr>
            <w:tcW w:w="958" w:type="dxa"/>
            <w:vAlign w:val="bottom"/>
            <w:tcBorders>
              <w:bottom w:val="nil"/>
            </w:tcBorders>
          </w:tcPr>
          <w:p>
            <w:pPr>
              <w:pStyle w:val="0"/>
              <w:jc w:val="center"/>
            </w:pPr>
            <w:r>
              <w:rPr>
                <w:sz w:val="20"/>
              </w:rPr>
            </w:r>
          </w:p>
        </w:tc>
        <w:tc>
          <w:tcPr>
            <w:tcW w:w="958" w:type="dxa"/>
            <w:vAlign w:val="bottom"/>
            <w:tcBorders>
              <w:bottom w:val="nil"/>
            </w:tcBorders>
          </w:tcPr>
          <w:p>
            <w:pPr>
              <w:pStyle w:val="0"/>
              <w:jc w:val="center"/>
            </w:pPr>
            <w:r>
              <w:rPr>
                <w:sz w:val="20"/>
              </w:rPr>
            </w:r>
          </w:p>
        </w:tc>
        <w:tc>
          <w:tcPr>
            <w:tcW w:w="958" w:type="dxa"/>
            <w:vAlign w:val="bottom"/>
            <w:tcBorders>
              <w:bottom w:val="nil"/>
            </w:tcBorders>
          </w:tcPr>
          <w:p>
            <w:pPr>
              <w:pStyle w:val="0"/>
              <w:jc w:val="center"/>
            </w:pPr>
            <w:r>
              <w:rPr>
                <w:sz w:val="20"/>
              </w:rPr>
            </w:r>
          </w:p>
        </w:tc>
      </w:tr>
      <w:tr>
        <w:tblPrEx>
          <w:tblBorders>
            <w:insideH w:val="nil"/>
          </w:tblBorders>
        </w:tblPrEx>
        <w:tc>
          <w:tcPr>
            <w:tcW w:w="3996" w:type="dxa"/>
            <w:tcBorders>
              <w:top w:val="nil"/>
              <w:bottom w:val="nil"/>
            </w:tcBorders>
          </w:tcPr>
          <w:p>
            <w:pPr>
              <w:pStyle w:val="0"/>
              <w:ind w:left="283"/>
            </w:pPr>
            <w:r>
              <w:rPr>
                <w:sz w:val="20"/>
              </w:rPr>
              <w:t xml:space="preserve">на станциях</w:t>
            </w:r>
          </w:p>
        </w:tc>
        <w:tc>
          <w:tcPr>
            <w:tcW w:w="1041" w:type="dxa"/>
            <w:vAlign w:val="bottom"/>
            <w:tcBorders>
              <w:top w:val="nil"/>
              <w:bottom w:val="nil"/>
            </w:tcBorders>
          </w:tcPr>
          <w:p>
            <w:pPr>
              <w:pStyle w:val="0"/>
              <w:jc w:val="center"/>
            </w:pPr>
            <w:r>
              <w:rPr>
                <w:sz w:val="20"/>
              </w:rPr>
              <w:t xml:space="preserve">150</w:t>
            </w:r>
          </w:p>
        </w:tc>
        <w:tc>
          <w:tcPr>
            <w:tcW w:w="1053" w:type="dxa"/>
            <w:vAlign w:val="bottom"/>
            <w:tcBorders>
              <w:top w:val="nil"/>
              <w:bottom w:val="nil"/>
            </w:tcBorders>
          </w:tcPr>
          <w:p>
            <w:pPr>
              <w:pStyle w:val="0"/>
              <w:jc w:val="center"/>
            </w:pPr>
            <w:r>
              <w:rPr>
                <w:sz w:val="20"/>
              </w:rPr>
              <w:t xml:space="preserve">100</w:t>
            </w:r>
          </w:p>
        </w:tc>
        <w:tc>
          <w:tcPr>
            <w:tcW w:w="958" w:type="dxa"/>
            <w:vAlign w:val="bottom"/>
            <w:tcBorders>
              <w:top w:val="nil"/>
              <w:bottom w:val="nil"/>
            </w:tcBorders>
          </w:tcPr>
          <w:p>
            <w:pPr>
              <w:pStyle w:val="0"/>
              <w:jc w:val="center"/>
            </w:pPr>
            <w:r>
              <w:rPr>
                <w:sz w:val="20"/>
              </w:rPr>
              <w:t xml:space="preserve">80</w:t>
            </w:r>
          </w:p>
        </w:tc>
        <w:tc>
          <w:tcPr>
            <w:tcW w:w="958" w:type="dxa"/>
            <w:vAlign w:val="bottom"/>
            <w:tcBorders>
              <w:top w:val="nil"/>
              <w:bottom w:val="nil"/>
            </w:tcBorders>
          </w:tcPr>
          <w:p>
            <w:pPr>
              <w:pStyle w:val="0"/>
              <w:jc w:val="center"/>
            </w:pPr>
            <w:r>
              <w:rPr>
                <w:sz w:val="20"/>
              </w:rPr>
              <w:t xml:space="preserve">60</w:t>
            </w:r>
          </w:p>
        </w:tc>
        <w:tc>
          <w:tcPr>
            <w:tcW w:w="958" w:type="dxa"/>
            <w:vAlign w:val="bottom"/>
            <w:tcBorders>
              <w:top w:val="nil"/>
              <w:bottom w:val="nil"/>
            </w:tcBorders>
          </w:tcPr>
          <w:p>
            <w:pPr>
              <w:pStyle w:val="0"/>
              <w:jc w:val="center"/>
            </w:pPr>
            <w:r>
              <w:rPr>
                <w:sz w:val="20"/>
              </w:rPr>
              <w:t xml:space="preserve">50</w:t>
            </w:r>
          </w:p>
        </w:tc>
      </w:tr>
      <w:tr>
        <w:tblPrEx>
          <w:tblBorders>
            <w:insideH w:val="nil"/>
          </w:tblBorders>
        </w:tblPrEx>
        <w:tc>
          <w:tcPr>
            <w:tcW w:w="3996" w:type="dxa"/>
            <w:tcBorders>
              <w:top w:val="nil"/>
              <w:bottom w:val="nil"/>
            </w:tcBorders>
          </w:tcPr>
          <w:p>
            <w:pPr>
              <w:pStyle w:val="0"/>
              <w:ind w:left="283"/>
            </w:pPr>
            <w:r>
              <w:rPr>
                <w:sz w:val="20"/>
              </w:rPr>
              <w:t xml:space="preserve">на разъездах и платформах</w:t>
            </w:r>
          </w:p>
        </w:tc>
        <w:tc>
          <w:tcPr>
            <w:tcW w:w="1041" w:type="dxa"/>
            <w:vAlign w:val="bottom"/>
            <w:tcBorders>
              <w:top w:val="nil"/>
              <w:bottom w:val="nil"/>
            </w:tcBorders>
          </w:tcPr>
          <w:p>
            <w:pPr>
              <w:pStyle w:val="0"/>
              <w:jc w:val="center"/>
            </w:pPr>
            <w:r>
              <w:rPr>
                <w:sz w:val="20"/>
              </w:rPr>
              <w:t xml:space="preserve">80</w:t>
            </w:r>
          </w:p>
        </w:tc>
        <w:tc>
          <w:tcPr>
            <w:tcW w:w="1053" w:type="dxa"/>
            <w:vAlign w:val="bottom"/>
            <w:tcBorders>
              <w:top w:val="nil"/>
              <w:bottom w:val="nil"/>
            </w:tcBorders>
          </w:tcPr>
          <w:p>
            <w:pPr>
              <w:pStyle w:val="0"/>
              <w:jc w:val="center"/>
            </w:pPr>
            <w:r>
              <w:rPr>
                <w:sz w:val="20"/>
              </w:rPr>
              <w:t xml:space="preserve">70</w:t>
            </w:r>
          </w:p>
        </w:tc>
        <w:tc>
          <w:tcPr>
            <w:tcW w:w="958" w:type="dxa"/>
            <w:vAlign w:val="bottom"/>
            <w:tcBorders>
              <w:top w:val="nil"/>
              <w:bottom w:val="nil"/>
            </w:tcBorders>
          </w:tcPr>
          <w:p>
            <w:pPr>
              <w:pStyle w:val="0"/>
              <w:jc w:val="center"/>
            </w:pPr>
            <w:r>
              <w:rPr>
                <w:sz w:val="20"/>
              </w:rPr>
              <w:t xml:space="preserve">60</w:t>
            </w:r>
          </w:p>
        </w:tc>
        <w:tc>
          <w:tcPr>
            <w:tcW w:w="958" w:type="dxa"/>
            <w:vAlign w:val="bottom"/>
            <w:tcBorders>
              <w:top w:val="nil"/>
              <w:bottom w:val="nil"/>
            </w:tcBorders>
          </w:tcPr>
          <w:p>
            <w:pPr>
              <w:pStyle w:val="0"/>
              <w:jc w:val="center"/>
            </w:pPr>
            <w:r>
              <w:rPr>
                <w:sz w:val="20"/>
              </w:rPr>
              <w:t xml:space="preserve">50</w:t>
            </w:r>
          </w:p>
        </w:tc>
        <w:tc>
          <w:tcPr>
            <w:tcW w:w="958" w:type="dxa"/>
            <w:vAlign w:val="bottom"/>
            <w:tcBorders>
              <w:top w:val="nil"/>
              <w:bottom w:val="nil"/>
            </w:tcBorders>
          </w:tcPr>
          <w:p>
            <w:pPr>
              <w:pStyle w:val="0"/>
              <w:jc w:val="center"/>
            </w:pPr>
            <w:r>
              <w:rPr>
                <w:sz w:val="20"/>
              </w:rPr>
              <w:t xml:space="preserve">40</w:t>
            </w:r>
          </w:p>
        </w:tc>
      </w:tr>
      <w:tr>
        <w:tblPrEx>
          <w:tblBorders>
            <w:insideH w:val="nil"/>
          </w:tblBorders>
        </w:tblPrEx>
        <w:tc>
          <w:tcPr>
            <w:tcW w:w="3996" w:type="dxa"/>
            <w:tcBorders>
              <w:top w:val="nil"/>
            </w:tcBorders>
          </w:tcPr>
          <w:p>
            <w:pPr>
              <w:pStyle w:val="0"/>
              <w:ind w:left="283"/>
            </w:pPr>
            <w:r>
              <w:rPr>
                <w:sz w:val="20"/>
              </w:rPr>
              <w:t xml:space="preserve">на перегонах</w:t>
            </w:r>
          </w:p>
        </w:tc>
        <w:tc>
          <w:tcPr>
            <w:tcW w:w="1041" w:type="dxa"/>
            <w:vAlign w:val="bottom"/>
            <w:tcBorders>
              <w:top w:val="nil"/>
            </w:tcBorders>
          </w:tcPr>
          <w:p>
            <w:pPr>
              <w:pStyle w:val="0"/>
              <w:jc w:val="center"/>
            </w:pPr>
            <w:r>
              <w:rPr>
                <w:sz w:val="20"/>
              </w:rPr>
              <w:t xml:space="preserve">60</w:t>
            </w:r>
          </w:p>
        </w:tc>
        <w:tc>
          <w:tcPr>
            <w:tcW w:w="1053" w:type="dxa"/>
            <w:vAlign w:val="bottom"/>
            <w:tcBorders>
              <w:top w:val="nil"/>
            </w:tcBorders>
          </w:tcPr>
          <w:p>
            <w:pPr>
              <w:pStyle w:val="0"/>
              <w:jc w:val="center"/>
            </w:pPr>
            <w:r>
              <w:rPr>
                <w:sz w:val="20"/>
              </w:rPr>
              <w:t xml:space="preserve">50</w:t>
            </w:r>
          </w:p>
        </w:tc>
        <w:tc>
          <w:tcPr>
            <w:tcW w:w="958" w:type="dxa"/>
            <w:vAlign w:val="bottom"/>
            <w:tcBorders>
              <w:top w:val="nil"/>
            </w:tcBorders>
          </w:tcPr>
          <w:p>
            <w:pPr>
              <w:pStyle w:val="0"/>
              <w:jc w:val="center"/>
            </w:pPr>
            <w:r>
              <w:rPr>
                <w:sz w:val="20"/>
              </w:rPr>
              <w:t xml:space="preserve">40</w:t>
            </w:r>
          </w:p>
        </w:tc>
        <w:tc>
          <w:tcPr>
            <w:tcW w:w="958" w:type="dxa"/>
            <w:vAlign w:val="bottom"/>
            <w:tcBorders>
              <w:top w:val="nil"/>
            </w:tcBorders>
          </w:tcPr>
          <w:p>
            <w:pPr>
              <w:pStyle w:val="0"/>
              <w:jc w:val="center"/>
            </w:pPr>
            <w:r>
              <w:rPr>
                <w:sz w:val="20"/>
              </w:rPr>
              <w:t xml:space="preserve">40</w:t>
            </w:r>
          </w:p>
        </w:tc>
        <w:tc>
          <w:tcPr>
            <w:tcW w:w="958" w:type="dxa"/>
            <w:vAlign w:val="bottom"/>
            <w:tcBorders>
              <w:top w:val="nil"/>
            </w:tcBorders>
          </w:tcPr>
          <w:p>
            <w:pPr>
              <w:pStyle w:val="0"/>
              <w:jc w:val="center"/>
            </w:pPr>
            <w:r>
              <w:rPr>
                <w:sz w:val="20"/>
              </w:rPr>
              <w:t xml:space="preserve">30</w:t>
            </w:r>
          </w:p>
        </w:tc>
      </w:tr>
      <w:tr>
        <w:tblPrEx>
          <w:tblBorders>
            <w:insideH w:val="nil"/>
          </w:tblBorders>
        </w:tblPrEx>
        <w:tc>
          <w:tcPr>
            <w:tcW w:w="3996" w:type="dxa"/>
            <w:tcBorders>
              <w:bottom w:val="nil"/>
            </w:tcBorders>
          </w:tcPr>
          <w:p>
            <w:pPr>
              <w:pStyle w:val="0"/>
            </w:pPr>
            <w:r>
              <w:rPr>
                <w:sz w:val="20"/>
              </w:rPr>
              <w:t xml:space="preserve">Автомобильные дороги общей сети (край проезжей части):</w:t>
            </w:r>
          </w:p>
        </w:tc>
        <w:tc>
          <w:tcPr>
            <w:tcW w:w="1041" w:type="dxa"/>
            <w:vAlign w:val="bottom"/>
            <w:tcBorders>
              <w:bottom w:val="nil"/>
            </w:tcBorders>
          </w:tcPr>
          <w:p>
            <w:pPr>
              <w:pStyle w:val="0"/>
              <w:jc w:val="center"/>
            </w:pPr>
            <w:r>
              <w:rPr>
                <w:sz w:val="20"/>
              </w:rPr>
            </w:r>
          </w:p>
        </w:tc>
        <w:tc>
          <w:tcPr>
            <w:tcW w:w="1053" w:type="dxa"/>
            <w:vAlign w:val="bottom"/>
            <w:tcBorders>
              <w:bottom w:val="nil"/>
            </w:tcBorders>
          </w:tcPr>
          <w:p>
            <w:pPr>
              <w:pStyle w:val="0"/>
              <w:jc w:val="center"/>
            </w:pPr>
            <w:r>
              <w:rPr>
                <w:sz w:val="20"/>
              </w:rPr>
            </w:r>
          </w:p>
        </w:tc>
        <w:tc>
          <w:tcPr>
            <w:tcW w:w="958" w:type="dxa"/>
            <w:vAlign w:val="bottom"/>
            <w:tcBorders>
              <w:bottom w:val="nil"/>
            </w:tcBorders>
          </w:tcPr>
          <w:p>
            <w:pPr>
              <w:pStyle w:val="0"/>
              <w:jc w:val="center"/>
            </w:pPr>
            <w:r>
              <w:rPr>
                <w:sz w:val="20"/>
              </w:rPr>
            </w:r>
          </w:p>
        </w:tc>
        <w:tc>
          <w:tcPr>
            <w:tcW w:w="958" w:type="dxa"/>
            <w:vAlign w:val="bottom"/>
            <w:tcBorders>
              <w:bottom w:val="nil"/>
            </w:tcBorders>
          </w:tcPr>
          <w:p>
            <w:pPr>
              <w:pStyle w:val="0"/>
              <w:jc w:val="center"/>
            </w:pPr>
            <w:r>
              <w:rPr>
                <w:sz w:val="20"/>
              </w:rPr>
            </w:r>
          </w:p>
        </w:tc>
        <w:tc>
          <w:tcPr>
            <w:tcW w:w="958" w:type="dxa"/>
            <w:vAlign w:val="bottom"/>
            <w:tcBorders>
              <w:bottom w:val="nil"/>
            </w:tcBorders>
          </w:tcPr>
          <w:p>
            <w:pPr>
              <w:pStyle w:val="0"/>
              <w:jc w:val="center"/>
            </w:pPr>
            <w:r>
              <w:rPr>
                <w:sz w:val="20"/>
              </w:rPr>
            </w:r>
          </w:p>
        </w:tc>
      </w:tr>
      <w:tr>
        <w:tblPrEx>
          <w:tblBorders>
            <w:insideH w:val="nil"/>
          </w:tblBorders>
        </w:tblPrEx>
        <w:tc>
          <w:tcPr>
            <w:tcW w:w="3996" w:type="dxa"/>
            <w:tcBorders>
              <w:top w:val="nil"/>
              <w:bottom w:val="nil"/>
            </w:tcBorders>
          </w:tcPr>
          <w:p>
            <w:pPr>
              <w:pStyle w:val="0"/>
              <w:ind w:left="283"/>
            </w:pPr>
            <w:r>
              <w:rPr>
                <w:sz w:val="20"/>
              </w:rPr>
              <w:t xml:space="preserve">I, II и III категорий</w:t>
            </w:r>
          </w:p>
        </w:tc>
        <w:tc>
          <w:tcPr>
            <w:tcW w:w="1041" w:type="dxa"/>
            <w:vAlign w:val="bottom"/>
            <w:tcBorders>
              <w:top w:val="nil"/>
              <w:bottom w:val="nil"/>
            </w:tcBorders>
          </w:tcPr>
          <w:p>
            <w:pPr>
              <w:pStyle w:val="0"/>
              <w:jc w:val="center"/>
            </w:pPr>
            <w:r>
              <w:rPr>
                <w:sz w:val="20"/>
              </w:rPr>
              <w:t xml:space="preserve">75</w:t>
            </w:r>
          </w:p>
        </w:tc>
        <w:tc>
          <w:tcPr>
            <w:tcW w:w="1053" w:type="dxa"/>
            <w:vAlign w:val="bottom"/>
            <w:tcBorders>
              <w:top w:val="nil"/>
              <w:bottom w:val="nil"/>
            </w:tcBorders>
          </w:tcPr>
          <w:p>
            <w:pPr>
              <w:pStyle w:val="0"/>
              <w:jc w:val="center"/>
            </w:pPr>
            <w:r>
              <w:rPr>
                <w:sz w:val="20"/>
              </w:rPr>
              <w:t xml:space="preserve">50</w:t>
            </w:r>
          </w:p>
        </w:tc>
        <w:tc>
          <w:tcPr>
            <w:tcW w:w="958" w:type="dxa"/>
            <w:vAlign w:val="bottom"/>
            <w:tcBorders>
              <w:top w:val="nil"/>
              <w:bottom w:val="nil"/>
            </w:tcBorders>
          </w:tcPr>
          <w:p>
            <w:pPr>
              <w:pStyle w:val="0"/>
              <w:jc w:val="center"/>
            </w:pPr>
            <w:r>
              <w:rPr>
                <w:sz w:val="20"/>
              </w:rPr>
              <w:t xml:space="preserve">45</w:t>
            </w:r>
          </w:p>
        </w:tc>
        <w:tc>
          <w:tcPr>
            <w:tcW w:w="958" w:type="dxa"/>
            <w:vAlign w:val="bottom"/>
            <w:tcBorders>
              <w:top w:val="nil"/>
              <w:bottom w:val="nil"/>
            </w:tcBorders>
          </w:tcPr>
          <w:p>
            <w:pPr>
              <w:pStyle w:val="0"/>
              <w:jc w:val="center"/>
            </w:pPr>
            <w:r>
              <w:rPr>
                <w:sz w:val="20"/>
              </w:rPr>
              <w:t xml:space="preserve">45</w:t>
            </w:r>
          </w:p>
        </w:tc>
        <w:tc>
          <w:tcPr>
            <w:tcW w:w="958" w:type="dxa"/>
            <w:vAlign w:val="bottom"/>
            <w:tcBorders>
              <w:top w:val="nil"/>
              <w:bottom w:val="nil"/>
            </w:tcBorders>
          </w:tcPr>
          <w:p>
            <w:pPr>
              <w:pStyle w:val="0"/>
              <w:jc w:val="center"/>
            </w:pPr>
            <w:r>
              <w:rPr>
                <w:sz w:val="20"/>
              </w:rPr>
              <w:t xml:space="preserve">45</w:t>
            </w:r>
          </w:p>
        </w:tc>
      </w:tr>
      <w:tr>
        <w:tblPrEx>
          <w:tblBorders>
            <w:insideH w:val="nil"/>
          </w:tblBorders>
        </w:tblPrEx>
        <w:tc>
          <w:tcPr>
            <w:tcW w:w="3996" w:type="dxa"/>
            <w:tcBorders>
              <w:top w:val="nil"/>
            </w:tcBorders>
          </w:tcPr>
          <w:p>
            <w:pPr>
              <w:pStyle w:val="0"/>
              <w:ind w:left="283"/>
            </w:pPr>
            <w:r>
              <w:rPr>
                <w:sz w:val="20"/>
              </w:rPr>
              <w:t xml:space="preserve">IV и V категорий</w:t>
            </w:r>
          </w:p>
        </w:tc>
        <w:tc>
          <w:tcPr>
            <w:tcW w:w="1041" w:type="dxa"/>
            <w:vAlign w:val="bottom"/>
            <w:tcBorders>
              <w:top w:val="nil"/>
            </w:tcBorders>
          </w:tcPr>
          <w:p>
            <w:pPr>
              <w:pStyle w:val="0"/>
              <w:jc w:val="center"/>
            </w:pPr>
            <w:r>
              <w:rPr>
                <w:sz w:val="20"/>
              </w:rPr>
              <w:t xml:space="preserve">40</w:t>
            </w:r>
          </w:p>
        </w:tc>
        <w:tc>
          <w:tcPr>
            <w:tcW w:w="1053" w:type="dxa"/>
            <w:vAlign w:val="bottom"/>
            <w:tcBorders>
              <w:top w:val="nil"/>
            </w:tcBorders>
          </w:tcPr>
          <w:p>
            <w:pPr>
              <w:pStyle w:val="0"/>
              <w:jc w:val="center"/>
            </w:pPr>
            <w:r>
              <w:rPr>
                <w:sz w:val="20"/>
              </w:rPr>
              <w:t xml:space="preserve">30</w:t>
            </w:r>
          </w:p>
        </w:tc>
        <w:tc>
          <w:tcPr>
            <w:tcW w:w="958" w:type="dxa"/>
            <w:vAlign w:val="bottom"/>
            <w:tcBorders>
              <w:top w:val="nil"/>
            </w:tcBorders>
          </w:tcPr>
          <w:p>
            <w:pPr>
              <w:pStyle w:val="0"/>
              <w:jc w:val="center"/>
            </w:pPr>
            <w:r>
              <w:rPr>
                <w:sz w:val="20"/>
              </w:rPr>
              <w:t xml:space="preserve">20</w:t>
            </w:r>
          </w:p>
        </w:tc>
        <w:tc>
          <w:tcPr>
            <w:tcW w:w="958" w:type="dxa"/>
            <w:vAlign w:val="bottom"/>
            <w:tcBorders>
              <w:top w:val="nil"/>
            </w:tcBorders>
          </w:tcPr>
          <w:p>
            <w:pPr>
              <w:pStyle w:val="0"/>
              <w:jc w:val="center"/>
            </w:pPr>
            <w:r>
              <w:rPr>
                <w:sz w:val="20"/>
              </w:rPr>
              <w:t xml:space="preserve">20</w:t>
            </w:r>
          </w:p>
        </w:tc>
        <w:tc>
          <w:tcPr>
            <w:tcW w:w="958" w:type="dxa"/>
            <w:vAlign w:val="bottom"/>
            <w:tcBorders>
              <w:top w:val="nil"/>
            </w:tcBorders>
          </w:tcPr>
          <w:p>
            <w:pPr>
              <w:pStyle w:val="0"/>
              <w:jc w:val="center"/>
            </w:pPr>
            <w:r>
              <w:rPr>
                <w:sz w:val="20"/>
              </w:rPr>
              <w:t xml:space="preserve">15</w:t>
            </w:r>
          </w:p>
        </w:tc>
      </w:tr>
      <w:tr>
        <w:tc>
          <w:tcPr>
            <w:tcW w:w="3996" w:type="dxa"/>
          </w:tcPr>
          <w:p>
            <w:pPr>
              <w:pStyle w:val="0"/>
            </w:pPr>
            <w:r>
              <w:rPr>
                <w:sz w:val="20"/>
              </w:rPr>
              <w:t xml:space="preserve">Жилые и общественные здания</w:t>
            </w:r>
          </w:p>
        </w:tc>
        <w:tc>
          <w:tcPr>
            <w:tcW w:w="1041" w:type="dxa"/>
            <w:vAlign w:val="bottom"/>
          </w:tcPr>
          <w:p>
            <w:pPr>
              <w:pStyle w:val="0"/>
              <w:jc w:val="center"/>
            </w:pPr>
            <w:r>
              <w:rPr>
                <w:sz w:val="20"/>
              </w:rPr>
              <w:t xml:space="preserve">200</w:t>
            </w:r>
          </w:p>
        </w:tc>
        <w:tc>
          <w:tcPr>
            <w:tcW w:w="1053" w:type="dxa"/>
            <w:vAlign w:val="bottom"/>
          </w:tcPr>
          <w:p>
            <w:pPr>
              <w:pStyle w:val="0"/>
              <w:jc w:val="center"/>
            </w:pPr>
            <w:r>
              <w:rPr>
                <w:sz w:val="20"/>
              </w:rPr>
              <w:t xml:space="preserve">100 (200)</w:t>
            </w:r>
          </w:p>
        </w:tc>
        <w:tc>
          <w:tcPr>
            <w:tcW w:w="958" w:type="dxa"/>
            <w:vAlign w:val="bottom"/>
          </w:tcPr>
          <w:p>
            <w:pPr>
              <w:pStyle w:val="0"/>
              <w:jc w:val="center"/>
            </w:pPr>
            <w:r>
              <w:rPr>
                <w:sz w:val="20"/>
              </w:rPr>
              <w:t xml:space="preserve">100</w:t>
            </w:r>
          </w:p>
        </w:tc>
        <w:tc>
          <w:tcPr>
            <w:tcW w:w="958" w:type="dxa"/>
            <w:vAlign w:val="bottom"/>
          </w:tcPr>
          <w:p>
            <w:pPr>
              <w:pStyle w:val="0"/>
              <w:jc w:val="center"/>
            </w:pPr>
            <w:r>
              <w:rPr>
                <w:sz w:val="20"/>
              </w:rPr>
              <w:t xml:space="preserve">100</w:t>
            </w:r>
          </w:p>
        </w:tc>
        <w:tc>
          <w:tcPr>
            <w:tcW w:w="958" w:type="dxa"/>
            <w:vAlign w:val="bottom"/>
          </w:tcPr>
          <w:p>
            <w:pPr>
              <w:pStyle w:val="0"/>
              <w:jc w:val="center"/>
            </w:pPr>
            <w:r>
              <w:rPr>
                <w:sz w:val="20"/>
              </w:rPr>
              <w:t xml:space="preserve">100</w:t>
            </w:r>
          </w:p>
        </w:tc>
      </w:tr>
      <w:tr>
        <w:tc>
          <w:tcPr>
            <w:tcW w:w="3996" w:type="dxa"/>
          </w:tcPr>
          <w:p>
            <w:pPr>
              <w:pStyle w:val="0"/>
            </w:pPr>
            <w:r>
              <w:rPr>
                <w:sz w:val="20"/>
              </w:rPr>
              <w:t xml:space="preserve">Раздаточные колонки автозаправочных станций общего пользования</w:t>
            </w:r>
          </w:p>
        </w:tc>
        <w:tc>
          <w:tcPr>
            <w:tcW w:w="1041" w:type="dxa"/>
            <w:vAlign w:val="bottom"/>
          </w:tcPr>
          <w:p>
            <w:pPr>
              <w:pStyle w:val="0"/>
              <w:jc w:val="center"/>
            </w:pPr>
            <w:r>
              <w:rPr>
                <w:sz w:val="20"/>
              </w:rPr>
              <w:t xml:space="preserve">50</w:t>
            </w:r>
          </w:p>
        </w:tc>
        <w:tc>
          <w:tcPr>
            <w:tcW w:w="1053" w:type="dxa"/>
            <w:vAlign w:val="bottom"/>
          </w:tcPr>
          <w:p>
            <w:pPr>
              <w:pStyle w:val="0"/>
              <w:jc w:val="center"/>
            </w:pPr>
            <w:r>
              <w:rPr>
                <w:sz w:val="20"/>
              </w:rPr>
              <w:t xml:space="preserve">30</w:t>
            </w:r>
          </w:p>
        </w:tc>
        <w:tc>
          <w:tcPr>
            <w:tcW w:w="958" w:type="dxa"/>
            <w:vAlign w:val="bottom"/>
          </w:tcPr>
          <w:p>
            <w:pPr>
              <w:pStyle w:val="0"/>
              <w:jc w:val="center"/>
            </w:pPr>
            <w:r>
              <w:rPr>
                <w:sz w:val="20"/>
              </w:rPr>
              <w:t xml:space="preserve">30</w:t>
            </w:r>
          </w:p>
        </w:tc>
        <w:tc>
          <w:tcPr>
            <w:tcW w:w="958" w:type="dxa"/>
            <w:vAlign w:val="bottom"/>
          </w:tcPr>
          <w:p>
            <w:pPr>
              <w:pStyle w:val="0"/>
              <w:jc w:val="center"/>
            </w:pPr>
            <w:r>
              <w:rPr>
                <w:sz w:val="20"/>
              </w:rPr>
              <w:t xml:space="preserve">30</w:t>
            </w:r>
          </w:p>
        </w:tc>
        <w:tc>
          <w:tcPr>
            <w:tcW w:w="958" w:type="dxa"/>
            <w:vAlign w:val="bottom"/>
          </w:tcPr>
          <w:p>
            <w:pPr>
              <w:pStyle w:val="0"/>
              <w:jc w:val="center"/>
            </w:pPr>
            <w:r>
              <w:rPr>
                <w:sz w:val="20"/>
              </w:rPr>
              <w:t xml:space="preserve">30</w:t>
            </w:r>
          </w:p>
        </w:tc>
      </w:tr>
      <w:tr>
        <w:tc>
          <w:tcPr>
            <w:tcW w:w="3996" w:type="dxa"/>
          </w:tcPr>
          <w:p>
            <w:pPr>
              <w:pStyle w:val="0"/>
            </w:pPr>
            <w:r>
              <w:rPr>
                <w:sz w:val="20"/>
              </w:rPr>
              <w:t xml:space="preserve">Индивидуальные гаражи и открытые стоянки для автомобилей</w:t>
            </w:r>
          </w:p>
        </w:tc>
        <w:tc>
          <w:tcPr>
            <w:tcW w:w="1041" w:type="dxa"/>
            <w:vAlign w:val="bottom"/>
          </w:tcPr>
          <w:p>
            <w:pPr>
              <w:pStyle w:val="0"/>
              <w:jc w:val="center"/>
            </w:pPr>
            <w:r>
              <w:rPr>
                <w:sz w:val="20"/>
              </w:rPr>
              <w:t xml:space="preserve">100</w:t>
            </w:r>
          </w:p>
        </w:tc>
        <w:tc>
          <w:tcPr>
            <w:tcW w:w="1053" w:type="dxa"/>
            <w:vAlign w:val="bottom"/>
          </w:tcPr>
          <w:p>
            <w:pPr>
              <w:pStyle w:val="0"/>
              <w:jc w:val="center"/>
            </w:pPr>
            <w:r>
              <w:rPr>
                <w:sz w:val="20"/>
              </w:rPr>
              <w:t xml:space="preserve">40 (100)</w:t>
            </w:r>
          </w:p>
        </w:tc>
        <w:tc>
          <w:tcPr>
            <w:tcW w:w="958" w:type="dxa"/>
            <w:vAlign w:val="bottom"/>
          </w:tcPr>
          <w:p>
            <w:pPr>
              <w:pStyle w:val="0"/>
              <w:jc w:val="center"/>
            </w:pPr>
            <w:r>
              <w:rPr>
                <w:sz w:val="20"/>
              </w:rPr>
              <w:t xml:space="preserve">40</w:t>
            </w:r>
          </w:p>
        </w:tc>
        <w:tc>
          <w:tcPr>
            <w:tcW w:w="958" w:type="dxa"/>
            <w:vAlign w:val="bottom"/>
          </w:tcPr>
          <w:p>
            <w:pPr>
              <w:pStyle w:val="0"/>
              <w:jc w:val="center"/>
            </w:pPr>
            <w:r>
              <w:rPr>
                <w:sz w:val="20"/>
              </w:rPr>
              <w:t xml:space="preserve">40</w:t>
            </w:r>
          </w:p>
        </w:tc>
        <w:tc>
          <w:tcPr>
            <w:tcW w:w="958" w:type="dxa"/>
            <w:vAlign w:val="bottom"/>
          </w:tcPr>
          <w:p>
            <w:pPr>
              <w:pStyle w:val="0"/>
              <w:jc w:val="center"/>
            </w:pPr>
            <w:r>
              <w:rPr>
                <w:sz w:val="20"/>
              </w:rPr>
              <w:t xml:space="preserve">40</w:t>
            </w:r>
          </w:p>
        </w:tc>
      </w:tr>
      <w:tr>
        <w:tc>
          <w:tcPr>
            <w:tcW w:w="3996" w:type="dxa"/>
          </w:tcPr>
          <w:p>
            <w:pPr>
              <w:pStyle w:val="0"/>
            </w:pPr>
            <w:r>
              <w:rPr>
                <w:sz w:val="20"/>
              </w:rPr>
              <w:t xml:space="preserve">Очистные канализационные сооружения и насосные станции, не относящиеся к складу</w:t>
            </w:r>
          </w:p>
        </w:tc>
        <w:tc>
          <w:tcPr>
            <w:tcW w:w="1041" w:type="dxa"/>
            <w:vAlign w:val="bottom"/>
          </w:tcPr>
          <w:p>
            <w:pPr>
              <w:pStyle w:val="0"/>
              <w:jc w:val="center"/>
            </w:pPr>
            <w:r>
              <w:rPr>
                <w:sz w:val="20"/>
              </w:rPr>
              <w:t xml:space="preserve">100</w:t>
            </w:r>
          </w:p>
        </w:tc>
        <w:tc>
          <w:tcPr>
            <w:tcW w:w="1053" w:type="dxa"/>
            <w:vAlign w:val="bottom"/>
          </w:tcPr>
          <w:p>
            <w:pPr>
              <w:pStyle w:val="0"/>
              <w:jc w:val="center"/>
            </w:pPr>
            <w:r>
              <w:rPr>
                <w:sz w:val="20"/>
              </w:rPr>
              <w:t xml:space="preserve">100</w:t>
            </w:r>
          </w:p>
        </w:tc>
        <w:tc>
          <w:tcPr>
            <w:tcW w:w="958" w:type="dxa"/>
            <w:vAlign w:val="bottom"/>
          </w:tcPr>
          <w:p>
            <w:pPr>
              <w:pStyle w:val="0"/>
              <w:jc w:val="center"/>
            </w:pPr>
            <w:r>
              <w:rPr>
                <w:sz w:val="20"/>
              </w:rPr>
              <w:t xml:space="preserve">40</w:t>
            </w:r>
          </w:p>
        </w:tc>
        <w:tc>
          <w:tcPr>
            <w:tcW w:w="958" w:type="dxa"/>
            <w:vAlign w:val="bottom"/>
          </w:tcPr>
          <w:p>
            <w:pPr>
              <w:pStyle w:val="0"/>
              <w:jc w:val="center"/>
            </w:pPr>
            <w:r>
              <w:rPr>
                <w:sz w:val="20"/>
              </w:rPr>
              <w:t xml:space="preserve">40</w:t>
            </w:r>
          </w:p>
        </w:tc>
        <w:tc>
          <w:tcPr>
            <w:tcW w:w="958" w:type="dxa"/>
            <w:vAlign w:val="bottom"/>
          </w:tcPr>
          <w:p>
            <w:pPr>
              <w:pStyle w:val="0"/>
              <w:jc w:val="center"/>
            </w:pPr>
            <w:r>
              <w:rPr>
                <w:sz w:val="20"/>
              </w:rPr>
              <w:t xml:space="preserve">40</w:t>
            </w:r>
          </w:p>
        </w:tc>
      </w:tr>
      <w:tr>
        <w:tc>
          <w:tcPr>
            <w:tcW w:w="3996" w:type="dxa"/>
          </w:tcPr>
          <w:p>
            <w:pPr>
              <w:pStyle w:val="0"/>
            </w:pPr>
            <w:r>
              <w:rPr>
                <w:sz w:val="20"/>
              </w:rPr>
              <w:t xml:space="preserve">Водозаправочные сооружения, не относящиеся к складу</w:t>
            </w:r>
          </w:p>
        </w:tc>
        <w:tc>
          <w:tcPr>
            <w:tcW w:w="1041" w:type="dxa"/>
            <w:vAlign w:val="bottom"/>
          </w:tcPr>
          <w:p>
            <w:pPr>
              <w:pStyle w:val="0"/>
              <w:jc w:val="center"/>
            </w:pPr>
            <w:r>
              <w:rPr>
                <w:sz w:val="20"/>
              </w:rPr>
              <w:t xml:space="preserve">200</w:t>
            </w:r>
          </w:p>
        </w:tc>
        <w:tc>
          <w:tcPr>
            <w:tcW w:w="1053" w:type="dxa"/>
            <w:vAlign w:val="bottom"/>
          </w:tcPr>
          <w:p>
            <w:pPr>
              <w:pStyle w:val="0"/>
              <w:jc w:val="center"/>
            </w:pPr>
            <w:r>
              <w:rPr>
                <w:sz w:val="20"/>
              </w:rPr>
              <w:t xml:space="preserve">150</w:t>
            </w:r>
          </w:p>
        </w:tc>
        <w:tc>
          <w:tcPr>
            <w:tcW w:w="958" w:type="dxa"/>
            <w:vAlign w:val="bottom"/>
          </w:tcPr>
          <w:p>
            <w:pPr>
              <w:pStyle w:val="0"/>
              <w:jc w:val="center"/>
            </w:pPr>
            <w:r>
              <w:rPr>
                <w:sz w:val="20"/>
              </w:rPr>
              <w:t xml:space="preserve">100</w:t>
            </w:r>
          </w:p>
        </w:tc>
        <w:tc>
          <w:tcPr>
            <w:tcW w:w="958" w:type="dxa"/>
            <w:vAlign w:val="bottom"/>
          </w:tcPr>
          <w:p>
            <w:pPr>
              <w:pStyle w:val="0"/>
              <w:jc w:val="center"/>
            </w:pPr>
            <w:r>
              <w:rPr>
                <w:sz w:val="20"/>
              </w:rPr>
              <w:t xml:space="preserve">75</w:t>
            </w:r>
          </w:p>
        </w:tc>
        <w:tc>
          <w:tcPr>
            <w:tcW w:w="958" w:type="dxa"/>
            <w:vAlign w:val="bottom"/>
          </w:tcPr>
          <w:p>
            <w:pPr>
              <w:pStyle w:val="0"/>
              <w:jc w:val="center"/>
            </w:pPr>
            <w:r>
              <w:rPr>
                <w:sz w:val="20"/>
              </w:rPr>
              <w:t xml:space="preserve">75</w:t>
            </w:r>
          </w:p>
        </w:tc>
      </w:tr>
      <w:tr>
        <w:tc>
          <w:tcPr>
            <w:tcW w:w="3996" w:type="dxa"/>
          </w:tcPr>
          <w:p>
            <w:pPr>
              <w:pStyle w:val="0"/>
            </w:pPr>
            <w:r>
              <w:rPr>
                <w:sz w:val="20"/>
              </w:rPr>
              <w:t xml:space="preserve">Аварийная емкость (аварийные емкости) для резервуарного парка</w:t>
            </w:r>
          </w:p>
        </w:tc>
        <w:tc>
          <w:tcPr>
            <w:tcW w:w="1041" w:type="dxa"/>
            <w:vAlign w:val="bottom"/>
          </w:tcPr>
          <w:p>
            <w:pPr>
              <w:pStyle w:val="0"/>
              <w:jc w:val="center"/>
            </w:pPr>
            <w:r>
              <w:rPr>
                <w:sz w:val="20"/>
              </w:rPr>
              <w:t xml:space="preserve">60</w:t>
            </w:r>
          </w:p>
        </w:tc>
        <w:tc>
          <w:tcPr>
            <w:tcW w:w="1053" w:type="dxa"/>
            <w:vAlign w:val="bottom"/>
          </w:tcPr>
          <w:p>
            <w:pPr>
              <w:pStyle w:val="0"/>
              <w:jc w:val="center"/>
            </w:pPr>
            <w:r>
              <w:rPr>
                <w:sz w:val="20"/>
              </w:rPr>
              <w:t xml:space="preserve">40</w:t>
            </w:r>
          </w:p>
        </w:tc>
        <w:tc>
          <w:tcPr>
            <w:tcW w:w="958" w:type="dxa"/>
            <w:vAlign w:val="bottom"/>
          </w:tcPr>
          <w:p>
            <w:pPr>
              <w:pStyle w:val="0"/>
              <w:jc w:val="center"/>
            </w:pPr>
            <w:r>
              <w:rPr>
                <w:sz w:val="20"/>
              </w:rPr>
              <w:t xml:space="preserve">40</w:t>
            </w:r>
          </w:p>
        </w:tc>
        <w:tc>
          <w:tcPr>
            <w:tcW w:w="958" w:type="dxa"/>
            <w:vAlign w:val="bottom"/>
          </w:tcPr>
          <w:p>
            <w:pPr>
              <w:pStyle w:val="0"/>
              <w:jc w:val="center"/>
            </w:pPr>
            <w:r>
              <w:rPr>
                <w:sz w:val="20"/>
              </w:rPr>
              <w:t xml:space="preserve">40</w:t>
            </w:r>
          </w:p>
        </w:tc>
        <w:tc>
          <w:tcPr>
            <w:tcW w:w="958" w:type="dxa"/>
            <w:vAlign w:val="bottom"/>
          </w:tcPr>
          <w:p>
            <w:pPr>
              <w:pStyle w:val="0"/>
              <w:jc w:val="center"/>
            </w:pPr>
            <w:r>
              <w:rPr>
                <w:sz w:val="20"/>
              </w:rPr>
              <w:t xml:space="preserve">40</w:t>
            </w:r>
          </w:p>
        </w:tc>
      </w:tr>
      <w:tr>
        <w:tc>
          <w:tcPr>
            <w:tcW w:w="3996" w:type="dxa"/>
          </w:tcPr>
          <w:p>
            <w:pPr>
              <w:pStyle w:val="0"/>
            </w:pPr>
            <w:r>
              <w:rPr>
                <w:sz w:val="20"/>
              </w:rPr>
              <w:t xml:space="preserve">Технологические установки категорий А и Б по взрывопожарной и пожарной опасности и факельные установки для сжигания газа</w:t>
            </w:r>
          </w:p>
        </w:tc>
        <w:tc>
          <w:tcPr>
            <w:tcW w:w="1041" w:type="dxa"/>
            <w:vAlign w:val="bottom"/>
          </w:tcPr>
          <w:p>
            <w:pPr>
              <w:pStyle w:val="0"/>
              <w:jc w:val="center"/>
            </w:pPr>
            <w:r>
              <w:rPr>
                <w:sz w:val="20"/>
              </w:rPr>
              <w:t xml:space="preserve">100</w:t>
            </w:r>
          </w:p>
        </w:tc>
        <w:tc>
          <w:tcPr>
            <w:tcW w:w="1053" w:type="dxa"/>
            <w:vAlign w:val="bottom"/>
          </w:tcPr>
          <w:p>
            <w:pPr>
              <w:pStyle w:val="0"/>
              <w:jc w:val="center"/>
            </w:pPr>
            <w:r>
              <w:rPr>
                <w:sz w:val="20"/>
              </w:rPr>
              <w:t xml:space="preserve">100</w:t>
            </w:r>
          </w:p>
        </w:tc>
        <w:tc>
          <w:tcPr>
            <w:tcW w:w="958" w:type="dxa"/>
            <w:vAlign w:val="bottom"/>
          </w:tcPr>
          <w:p>
            <w:pPr>
              <w:pStyle w:val="0"/>
              <w:jc w:val="center"/>
            </w:pPr>
            <w:r>
              <w:rPr>
                <w:sz w:val="20"/>
              </w:rPr>
              <w:t xml:space="preserve">100</w:t>
            </w:r>
          </w:p>
        </w:tc>
        <w:tc>
          <w:tcPr>
            <w:tcW w:w="958" w:type="dxa"/>
            <w:vAlign w:val="bottom"/>
          </w:tcPr>
          <w:p>
            <w:pPr>
              <w:pStyle w:val="0"/>
              <w:jc w:val="center"/>
            </w:pPr>
            <w:r>
              <w:rPr>
                <w:sz w:val="20"/>
              </w:rPr>
              <w:t xml:space="preserve">100</w:t>
            </w:r>
          </w:p>
        </w:tc>
        <w:tc>
          <w:tcPr>
            <w:tcW w:w="958" w:type="dxa"/>
            <w:vAlign w:val="bottom"/>
          </w:tcPr>
          <w:p>
            <w:pPr>
              <w:pStyle w:val="0"/>
              <w:jc w:val="center"/>
            </w:pPr>
            <w:r>
              <w:rPr>
                <w:sz w:val="20"/>
              </w:rPr>
              <w:t xml:space="preserve">100</w:t>
            </w:r>
          </w:p>
        </w:tc>
      </w:tr>
    </w:tbl>
    <w:p>
      <w:pPr>
        <w:pStyle w:val="0"/>
        <w:ind w:firstLine="540"/>
        <w:jc w:val="both"/>
      </w:pPr>
      <w:r>
        <w:rPr>
          <w:sz w:val="20"/>
        </w:rPr>
      </w:r>
    </w:p>
    <w:p>
      <w:pPr>
        <w:pStyle w:val="0"/>
        <w:ind w:firstLine="540"/>
        <w:jc w:val="both"/>
      </w:pPr>
      <w:r>
        <w:rPr>
          <w:sz w:val="20"/>
        </w:rPr>
        <w:t xml:space="preserve">Примечание. В скобках указаны значения для складов II категории общей вместимостью более 50 000 кубических метров.</w:t>
      </w:r>
    </w:p>
    <w:p>
      <w:pPr>
        <w:pStyle w:val="0"/>
        <w:ind w:firstLine="540"/>
        <w:jc w:val="both"/>
      </w:pPr>
      <w:r>
        <w:rPr>
          <w:sz w:val="20"/>
        </w:rPr>
      </w:r>
    </w:p>
    <w:p>
      <w:pPr>
        <w:pStyle w:val="0"/>
        <w:outlineLvl w:val="1"/>
        <w:jc w:val="center"/>
      </w:pPr>
      <w:r>
        <w:rPr>
          <w:sz w:val="20"/>
        </w:rPr>
        <w:t xml:space="preserve">Таблица 13</w:t>
      </w:r>
    </w:p>
    <w:p>
      <w:pPr>
        <w:pStyle w:val="0"/>
        <w:jc w:val="right"/>
      </w:pPr>
      <w:r>
        <w:rPr>
          <w:sz w:val="20"/>
        </w:rPr>
      </w:r>
    </w:p>
    <w:bookmarkStart w:id="2392" w:name="P2392"/>
    <w:bookmarkEnd w:id="2392"/>
    <w:p>
      <w:pPr>
        <w:pStyle w:val="2"/>
        <w:jc w:val="center"/>
      </w:pPr>
      <w:r>
        <w:rPr>
          <w:sz w:val="20"/>
        </w:rPr>
        <w:t xml:space="preserve">Противопожарные расстояния от зданий и сооружений</w:t>
      </w:r>
    </w:p>
    <w:p>
      <w:pPr>
        <w:pStyle w:val="2"/>
        <w:jc w:val="center"/>
      </w:pPr>
      <w:r>
        <w:rPr>
          <w:sz w:val="20"/>
        </w:rPr>
        <w:t xml:space="preserve">до складов горючих жидкостей</w:t>
      </w:r>
    </w:p>
    <w:p>
      <w:pPr>
        <w:pStyle w:val="0"/>
        <w:jc w:val="center"/>
      </w:pPr>
      <w:r>
        <w:rPr>
          <w:sz w:val="20"/>
        </w:rPr>
        <w:t xml:space="preserve">(в ред. Федерального </w:t>
      </w:r>
      <w:hyperlink w:history="0" r:id="rId53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83"/>
        <w:gridCol w:w="2088"/>
        <w:gridCol w:w="2088"/>
        <w:gridCol w:w="2005"/>
      </w:tblGrid>
      <w:tr>
        <w:tc>
          <w:tcPr>
            <w:tcW w:w="2783" w:type="dxa"/>
            <w:vMerge w:val="restart"/>
          </w:tcPr>
          <w:p>
            <w:pPr>
              <w:pStyle w:val="0"/>
              <w:jc w:val="center"/>
            </w:pPr>
            <w:r>
              <w:rPr>
                <w:sz w:val="20"/>
              </w:rPr>
              <w:t xml:space="preserve">Вместимость склада, кубические метры</w:t>
            </w:r>
          </w:p>
        </w:tc>
        <w:tc>
          <w:tcPr>
            <w:gridSpan w:val="3"/>
            <w:tcW w:w="6181" w:type="dxa"/>
          </w:tcPr>
          <w:p>
            <w:pPr>
              <w:pStyle w:val="0"/>
              <w:jc w:val="center"/>
            </w:pPr>
            <w:r>
              <w:rPr>
                <w:sz w:val="20"/>
              </w:rPr>
              <w:t xml:space="preserve">Противопожарные расстояния при степени огнестойкости зданий и сооружений, метры</w:t>
            </w:r>
          </w:p>
        </w:tc>
      </w:tr>
      <w:tr>
        <w:tc>
          <w:tcPr>
            <w:vMerge w:val="continue"/>
          </w:tcPr>
          <w:p/>
        </w:tc>
        <w:tc>
          <w:tcPr>
            <w:tcW w:w="2088" w:type="dxa"/>
          </w:tcPr>
          <w:p>
            <w:pPr>
              <w:pStyle w:val="0"/>
              <w:jc w:val="center"/>
            </w:pPr>
            <w:r>
              <w:rPr>
                <w:sz w:val="20"/>
              </w:rPr>
              <w:t xml:space="preserve">I, II</w:t>
            </w:r>
          </w:p>
        </w:tc>
        <w:tc>
          <w:tcPr>
            <w:tcW w:w="2088" w:type="dxa"/>
          </w:tcPr>
          <w:p>
            <w:pPr>
              <w:pStyle w:val="0"/>
              <w:jc w:val="center"/>
            </w:pPr>
            <w:r>
              <w:rPr>
                <w:sz w:val="20"/>
              </w:rPr>
              <w:t xml:space="preserve">III</w:t>
            </w:r>
          </w:p>
        </w:tc>
        <w:tc>
          <w:tcPr>
            <w:tcW w:w="2005" w:type="dxa"/>
          </w:tcPr>
          <w:p>
            <w:pPr>
              <w:pStyle w:val="0"/>
              <w:jc w:val="center"/>
            </w:pPr>
            <w:r>
              <w:rPr>
                <w:sz w:val="20"/>
              </w:rPr>
              <w:t xml:space="preserve">IV, V</w:t>
            </w:r>
          </w:p>
        </w:tc>
      </w:tr>
      <w:tr>
        <w:tc>
          <w:tcPr>
            <w:tcW w:w="2783" w:type="dxa"/>
          </w:tcPr>
          <w:p>
            <w:pPr>
              <w:pStyle w:val="0"/>
            </w:pPr>
            <w:r>
              <w:rPr>
                <w:sz w:val="20"/>
              </w:rPr>
              <w:t xml:space="preserve">Не более 100</w:t>
            </w:r>
          </w:p>
        </w:tc>
        <w:tc>
          <w:tcPr>
            <w:tcW w:w="2088" w:type="dxa"/>
          </w:tcPr>
          <w:p>
            <w:pPr>
              <w:pStyle w:val="0"/>
              <w:jc w:val="center"/>
            </w:pPr>
            <w:r>
              <w:rPr>
                <w:sz w:val="20"/>
              </w:rPr>
              <w:t xml:space="preserve">20</w:t>
            </w:r>
          </w:p>
        </w:tc>
        <w:tc>
          <w:tcPr>
            <w:tcW w:w="2088" w:type="dxa"/>
          </w:tcPr>
          <w:p>
            <w:pPr>
              <w:pStyle w:val="0"/>
              <w:jc w:val="center"/>
            </w:pPr>
            <w:r>
              <w:rPr>
                <w:sz w:val="20"/>
              </w:rPr>
              <w:t xml:space="preserve">25</w:t>
            </w:r>
          </w:p>
        </w:tc>
        <w:tc>
          <w:tcPr>
            <w:tcW w:w="2005" w:type="dxa"/>
          </w:tcPr>
          <w:p>
            <w:pPr>
              <w:pStyle w:val="0"/>
              <w:jc w:val="center"/>
            </w:pPr>
            <w:r>
              <w:rPr>
                <w:sz w:val="20"/>
              </w:rPr>
              <w:t xml:space="preserve">30</w:t>
            </w:r>
          </w:p>
        </w:tc>
      </w:tr>
      <w:tr>
        <w:tc>
          <w:tcPr>
            <w:tcW w:w="2783" w:type="dxa"/>
          </w:tcPr>
          <w:p>
            <w:pPr>
              <w:pStyle w:val="0"/>
            </w:pPr>
            <w:r>
              <w:rPr>
                <w:sz w:val="20"/>
              </w:rPr>
              <w:t xml:space="preserve">Более 100, но не более 800</w:t>
            </w:r>
          </w:p>
        </w:tc>
        <w:tc>
          <w:tcPr>
            <w:tcW w:w="2088" w:type="dxa"/>
            <w:vAlign w:val="bottom"/>
          </w:tcPr>
          <w:p>
            <w:pPr>
              <w:pStyle w:val="0"/>
              <w:jc w:val="center"/>
            </w:pPr>
            <w:r>
              <w:rPr>
                <w:sz w:val="20"/>
              </w:rPr>
              <w:t xml:space="preserve">30</w:t>
            </w:r>
          </w:p>
        </w:tc>
        <w:tc>
          <w:tcPr>
            <w:tcW w:w="2088" w:type="dxa"/>
            <w:vAlign w:val="bottom"/>
          </w:tcPr>
          <w:p>
            <w:pPr>
              <w:pStyle w:val="0"/>
              <w:jc w:val="center"/>
            </w:pPr>
            <w:r>
              <w:rPr>
                <w:sz w:val="20"/>
              </w:rPr>
              <w:t xml:space="preserve">35</w:t>
            </w:r>
          </w:p>
        </w:tc>
        <w:tc>
          <w:tcPr>
            <w:tcW w:w="2005" w:type="dxa"/>
            <w:vAlign w:val="bottom"/>
          </w:tcPr>
          <w:p>
            <w:pPr>
              <w:pStyle w:val="0"/>
              <w:jc w:val="center"/>
            </w:pPr>
            <w:r>
              <w:rPr>
                <w:sz w:val="20"/>
              </w:rPr>
              <w:t xml:space="preserve">40</w:t>
            </w:r>
          </w:p>
        </w:tc>
      </w:tr>
      <w:tr>
        <w:tc>
          <w:tcPr>
            <w:tcW w:w="2783" w:type="dxa"/>
          </w:tcPr>
          <w:p>
            <w:pPr>
              <w:pStyle w:val="0"/>
            </w:pPr>
            <w:r>
              <w:rPr>
                <w:sz w:val="20"/>
              </w:rPr>
              <w:t xml:space="preserve">Более 800, но не более 2000</w:t>
            </w:r>
          </w:p>
        </w:tc>
        <w:tc>
          <w:tcPr>
            <w:tcW w:w="2088" w:type="dxa"/>
            <w:vAlign w:val="bottom"/>
          </w:tcPr>
          <w:p>
            <w:pPr>
              <w:pStyle w:val="0"/>
              <w:jc w:val="center"/>
            </w:pPr>
            <w:r>
              <w:rPr>
                <w:sz w:val="20"/>
              </w:rPr>
              <w:t xml:space="preserve">40</w:t>
            </w:r>
          </w:p>
        </w:tc>
        <w:tc>
          <w:tcPr>
            <w:tcW w:w="2088" w:type="dxa"/>
            <w:vAlign w:val="bottom"/>
          </w:tcPr>
          <w:p>
            <w:pPr>
              <w:pStyle w:val="0"/>
              <w:jc w:val="center"/>
            </w:pPr>
            <w:r>
              <w:rPr>
                <w:sz w:val="20"/>
              </w:rPr>
              <w:t xml:space="preserve">45</w:t>
            </w:r>
          </w:p>
        </w:tc>
        <w:tc>
          <w:tcPr>
            <w:tcW w:w="2005" w:type="dxa"/>
            <w:vAlign w:val="bottom"/>
          </w:tcPr>
          <w:p>
            <w:pPr>
              <w:pStyle w:val="0"/>
              <w:jc w:val="center"/>
            </w:pPr>
            <w:r>
              <w:rPr>
                <w:sz w:val="20"/>
              </w:rPr>
              <w:t xml:space="preserve">50</w:t>
            </w:r>
          </w:p>
        </w:tc>
      </w:tr>
    </w:tbl>
    <w:p>
      <w:pPr>
        <w:pStyle w:val="0"/>
        <w:jc w:val="both"/>
      </w:pPr>
      <w:r>
        <w:rPr>
          <w:sz w:val="20"/>
        </w:rPr>
        <w:t xml:space="preserve">(в ред. Федерального </w:t>
      </w:r>
      <w:hyperlink w:history="0" r:id="rId53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outlineLvl w:val="1"/>
        <w:jc w:val="center"/>
      </w:pPr>
      <w:r>
        <w:rPr>
          <w:sz w:val="20"/>
        </w:rPr>
        <w:t xml:space="preserve">Таблица 14</w:t>
      </w:r>
    </w:p>
    <w:p>
      <w:pPr>
        <w:pStyle w:val="0"/>
        <w:jc w:val="right"/>
      </w:pPr>
      <w:r>
        <w:rPr>
          <w:sz w:val="20"/>
        </w:rPr>
      </w:r>
    </w:p>
    <w:bookmarkStart w:id="2417" w:name="P2417"/>
    <w:bookmarkEnd w:id="2417"/>
    <w:p>
      <w:pPr>
        <w:pStyle w:val="2"/>
        <w:jc w:val="center"/>
      </w:pPr>
      <w:r>
        <w:rPr>
          <w:sz w:val="20"/>
        </w:rPr>
        <w:t xml:space="preserve">Категории складов для хранения нефти и нефтепродуктов</w:t>
      </w:r>
    </w:p>
    <w:p>
      <w:pPr>
        <w:pStyle w:val="0"/>
        <w:jc w:val="right"/>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35"/>
        <w:gridCol w:w="3165"/>
        <w:gridCol w:w="4064"/>
      </w:tblGrid>
      <w:tr>
        <w:tc>
          <w:tcPr>
            <w:tcW w:w="1735" w:type="dxa"/>
          </w:tcPr>
          <w:p>
            <w:pPr>
              <w:pStyle w:val="0"/>
              <w:jc w:val="center"/>
            </w:pPr>
            <w:r>
              <w:rPr>
                <w:sz w:val="20"/>
              </w:rPr>
              <w:t xml:space="preserve">Категория склада</w:t>
            </w:r>
          </w:p>
        </w:tc>
        <w:tc>
          <w:tcPr>
            <w:tcW w:w="3165" w:type="dxa"/>
          </w:tcPr>
          <w:p>
            <w:pPr>
              <w:pStyle w:val="0"/>
              <w:jc w:val="center"/>
            </w:pPr>
            <w:r>
              <w:rPr>
                <w:sz w:val="20"/>
              </w:rPr>
              <w:t xml:space="preserve">Максимальный объем одного резервуара, кубические метры</w:t>
            </w:r>
          </w:p>
        </w:tc>
        <w:tc>
          <w:tcPr>
            <w:tcW w:w="4064" w:type="dxa"/>
          </w:tcPr>
          <w:p>
            <w:pPr>
              <w:pStyle w:val="0"/>
              <w:jc w:val="center"/>
            </w:pPr>
            <w:r>
              <w:rPr>
                <w:sz w:val="20"/>
              </w:rPr>
              <w:t xml:space="preserve">Общая вместимость склада, кубические метры</w:t>
            </w:r>
          </w:p>
        </w:tc>
      </w:tr>
      <w:tr>
        <w:tc>
          <w:tcPr>
            <w:tcW w:w="1735" w:type="dxa"/>
          </w:tcPr>
          <w:p>
            <w:pPr>
              <w:pStyle w:val="0"/>
              <w:jc w:val="center"/>
            </w:pPr>
            <w:r>
              <w:rPr>
                <w:sz w:val="20"/>
              </w:rPr>
              <w:t xml:space="preserve">I</w:t>
            </w:r>
          </w:p>
        </w:tc>
        <w:tc>
          <w:tcPr>
            <w:tcW w:w="3165" w:type="dxa"/>
          </w:tcPr>
          <w:p>
            <w:pPr>
              <w:pStyle w:val="0"/>
              <w:jc w:val="center"/>
            </w:pPr>
            <w:r>
              <w:rPr>
                <w:sz w:val="20"/>
              </w:rPr>
              <w:t xml:space="preserve">-</w:t>
            </w:r>
          </w:p>
        </w:tc>
        <w:tc>
          <w:tcPr>
            <w:tcW w:w="4064" w:type="dxa"/>
          </w:tcPr>
          <w:p>
            <w:pPr>
              <w:pStyle w:val="0"/>
              <w:jc w:val="center"/>
            </w:pPr>
            <w:r>
              <w:rPr>
                <w:sz w:val="20"/>
              </w:rPr>
              <w:t xml:space="preserve">более 100 000</w:t>
            </w:r>
          </w:p>
        </w:tc>
      </w:tr>
      <w:tr>
        <w:tc>
          <w:tcPr>
            <w:tcW w:w="1735" w:type="dxa"/>
          </w:tcPr>
          <w:p>
            <w:pPr>
              <w:pStyle w:val="0"/>
              <w:jc w:val="center"/>
            </w:pPr>
            <w:r>
              <w:rPr>
                <w:sz w:val="20"/>
              </w:rPr>
              <w:t xml:space="preserve">II</w:t>
            </w:r>
          </w:p>
        </w:tc>
        <w:tc>
          <w:tcPr>
            <w:tcW w:w="3165" w:type="dxa"/>
          </w:tcPr>
          <w:p>
            <w:pPr>
              <w:pStyle w:val="0"/>
              <w:jc w:val="center"/>
            </w:pPr>
            <w:r>
              <w:rPr>
                <w:sz w:val="20"/>
              </w:rPr>
              <w:t xml:space="preserve">-</w:t>
            </w:r>
          </w:p>
        </w:tc>
        <w:tc>
          <w:tcPr>
            <w:tcW w:w="4064" w:type="dxa"/>
          </w:tcPr>
          <w:p>
            <w:pPr>
              <w:pStyle w:val="0"/>
              <w:jc w:val="center"/>
            </w:pPr>
            <w:r>
              <w:rPr>
                <w:sz w:val="20"/>
              </w:rPr>
              <w:t xml:space="preserve">более 20 000, но не более 100 000</w:t>
            </w:r>
          </w:p>
        </w:tc>
      </w:tr>
      <w:tr>
        <w:tc>
          <w:tcPr>
            <w:tcW w:w="1735" w:type="dxa"/>
          </w:tcPr>
          <w:p>
            <w:pPr>
              <w:pStyle w:val="0"/>
              <w:jc w:val="center"/>
            </w:pPr>
            <w:r>
              <w:rPr>
                <w:sz w:val="20"/>
              </w:rPr>
              <w:t xml:space="preserve">IIIа</w:t>
            </w:r>
          </w:p>
        </w:tc>
        <w:tc>
          <w:tcPr>
            <w:tcW w:w="3165" w:type="dxa"/>
          </w:tcPr>
          <w:p>
            <w:pPr>
              <w:pStyle w:val="0"/>
              <w:jc w:val="center"/>
            </w:pPr>
            <w:r>
              <w:rPr>
                <w:sz w:val="20"/>
              </w:rPr>
              <w:t xml:space="preserve">не более 5000</w:t>
            </w:r>
          </w:p>
        </w:tc>
        <w:tc>
          <w:tcPr>
            <w:tcW w:w="4064" w:type="dxa"/>
          </w:tcPr>
          <w:p>
            <w:pPr>
              <w:pStyle w:val="0"/>
              <w:jc w:val="center"/>
            </w:pPr>
            <w:r>
              <w:rPr>
                <w:sz w:val="20"/>
              </w:rPr>
              <w:t xml:space="preserve">более 10 000, но не более 20 000</w:t>
            </w:r>
          </w:p>
        </w:tc>
      </w:tr>
      <w:tr>
        <w:tc>
          <w:tcPr>
            <w:tcW w:w="1735" w:type="dxa"/>
          </w:tcPr>
          <w:p>
            <w:pPr>
              <w:pStyle w:val="0"/>
              <w:jc w:val="center"/>
            </w:pPr>
            <w:r>
              <w:rPr>
                <w:sz w:val="20"/>
              </w:rPr>
              <w:t xml:space="preserve">IIIб</w:t>
            </w:r>
          </w:p>
        </w:tc>
        <w:tc>
          <w:tcPr>
            <w:tcW w:w="3165" w:type="dxa"/>
          </w:tcPr>
          <w:p>
            <w:pPr>
              <w:pStyle w:val="0"/>
              <w:jc w:val="center"/>
            </w:pPr>
            <w:r>
              <w:rPr>
                <w:sz w:val="20"/>
              </w:rPr>
              <w:t xml:space="preserve">не более 2000</w:t>
            </w:r>
          </w:p>
        </w:tc>
        <w:tc>
          <w:tcPr>
            <w:tcW w:w="4064" w:type="dxa"/>
          </w:tcPr>
          <w:p>
            <w:pPr>
              <w:pStyle w:val="0"/>
              <w:jc w:val="center"/>
            </w:pPr>
            <w:r>
              <w:rPr>
                <w:sz w:val="20"/>
              </w:rPr>
              <w:t xml:space="preserve">более 2000, но не более 10 000</w:t>
            </w:r>
          </w:p>
        </w:tc>
      </w:tr>
      <w:tr>
        <w:tc>
          <w:tcPr>
            <w:tcW w:w="1735" w:type="dxa"/>
          </w:tcPr>
          <w:p>
            <w:pPr>
              <w:pStyle w:val="0"/>
              <w:jc w:val="center"/>
            </w:pPr>
            <w:r>
              <w:rPr>
                <w:sz w:val="20"/>
              </w:rPr>
              <w:t xml:space="preserve">IIIв</w:t>
            </w:r>
          </w:p>
        </w:tc>
        <w:tc>
          <w:tcPr>
            <w:tcW w:w="3165" w:type="dxa"/>
          </w:tcPr>
          <w:p>
            <w:pPr>
              <w:pStyle w:val="0"/>
              <w:jc w:val="center"/>
            </w:pPr>
            <w:r>
              <w:rPr>
                <w:sz w:val="20"/>
              </w:rPr>
              <w:t xml:space="preserve">не более 700</w:t>
            </w:r>
          </w:p>
        </w:tc>
        <w:tc>
          <w:tcPr>
            <w:tcW w:w="4064" w:type="dxa"/>
          </w:tcPr>
          <w:p>
            <w:pPr>
              <w:pStyle w:val="0"/>
              <w:jc w:val="center"/>
            </w:pPr>
            <w:r>
              <w:rPr>
                <w:sz w:val="20"/>
              </w:rPr>
              <w:t xml:space="preserve">не более 2000</w:t>
            </w:r>
          </w:p>
        </w:tc>
      </w:tr>
    </w:tbl>
    <w:p>
      <w:pPr>
        <w:pStyle w:val="0"/>
        <w:jc w:val="right"/>
      </w:pPr>
      <w:r>
        <w:rPr>
          <w:sz w:val="20"/>
        </w:rPr>
      </w:r>
    </w:p>
    <w:bookmarkStart w:id="2438" w:name="P2438"/>
    <w:bookmarkEnd w:id="2438"/>
    <w:p>
      <w:pPr>
        <w:pStyle w:val="0"/>
        <w:outlineLvl w:val="1"/>
        <w:jc w:val="center"/>
      </w:pPr>
      <w:r>
        <w:rPr>
          <w:sz w:val="20"/>
        </w:rPr>
        <w:t xml:space="preserve">Таблица 15</w:t>
      </w:r>
    </w:p>
    <w:p>
      <w:pPr>
        <w:pStyle w:val="0"/>
        <w:ind w:firstLine="540"/>
        <w:jc w:val="both"/>
      </w:pPr>
      <w:r>
        <w:rPr>
          <w:sz w:val="20"/>
        </w:rPr>
      </w:r>
    </w:p>
    <w:bookmarkStart w:id="2440" w:name="P2440"/>
    <w:bookmarkEnd w:id="2440"/>
    <w:p>
      <w:pPr>
        <w:pStyle w:val="2"/>
        <w:jc w:val="center"/>
      </w:pPr>
      <w:r>
        <w:rPr>
          <w:sz w:val="20"/>
        </w:rPr>
        <w:t xml:space="preserve">Противопожарные расстояния от автозаправочных станций</w:t>
      </w:r>
    </w:p>
    <w:p>
      <w:pPr>
        <w:pStyle w:val="2"/>
        <w:jc w:val="center"/>
      </w:pPr>
      <w:r>
        <w:rPr>
          <w:sz w:val="20"/>
        </w:rPr>
        <w:t xml:space="preserve">бензина и дизельного топлива до граничащих с ними объектов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48"/>
        <w:gridCol w:w="2381"/>
        <w:gridCol w:w="1870"/>
        <w:gridCol w:w="1870"/>
      </w:tblGrid>
      <w:tr>
        <w:tc>
          <w:tcPr>
            <w:tcW w:w="2948" w:type="dxa"/>
            <w:vMerge w:val="restart"/>
          </w:tcPr>
          <w:p>
            <w:pPr>
              <w:pStyle w:val="0"/>
              <w:jc w:val="center"/>
            </w:pPr>
            <w:r>
              <w:rPr>
                <w:sz w:val="20"/>
              </w:rPr>
              <w:t xml:space="preserve">Наименования объектов, до которых определяются противопожарные расстояния</w:t>
            </w:r>
          </w:p>
        </w:tc>
        <w:tc>
          <w:tcPr>
            <w:tcW w:w="2381" w:type="dxa"/>
            <w:vMerge w:val="restart"/>
          </w:tcPr>
          <w:p>
            <w:pPr>
              <w:pStyle w:val="0"/>
              <w:jc w:val="center"/>
            </w:pPr>
            <w:r>
              <w:rPr>
                <w:sz w:val="20"/>
              </w:rPr>
              <w:t xml:space="preserve">Противопожарные расстояния от автозаправочных станций с подземными резервуарами, метры</w:t>
            </w:r>
          </w:p>
        </w:tc>
        <w:tc>
          <w:tcPr>
            <w:gridSpan w:val="2"/>
            <w:tcW w:w="3740" w:type="dxa"/>
          </w:tcPr>
          <w:p>
            <w:pPr>
              <w:pStyle w:val="0"/>
              <w:jc w:val="center"/>
            </w:pPr>
            <w:r>
              <w:rPr>
                <w:sz w:val="20"/>
              </w:rPr>
              <w:t xml:space="preserve">Противопожарные расстояния от автозаправочных станций с надземными резервуарами, метры</w:t>
            </w:r>
          </w:p>
        </w:tc>
      </w:tr>
      <w:tr>
        <w:tc>
          <w:tcPr>
            <w:vMerge w:val="continue"/>
          </w:tcPr>
          <w:p/>
        </w:tc>
        <w:tc>
          <w:tcPr>
            <w:vMerge w:val="continue"/>
          </w:tcPr>
          <w:p/>
        </w:tc>
        <w:tc>
          <w:tcPr>
            <w:tcW w:w="1870" w:type="dxa"/>
          </w:tcPr>
          <w:p>
            <w:pPr>
              <w:pStyle w:val="0"/>
              <w:jc w:val="center"/>
            </w:pPr>
            <w:r>
              <w:rPr>
                <w:sz w:val="20"/>
              </w:rPr>
              <w:t xml:space="preserve">общей вместимостью более 20 кубических метров</w:t>
            </w:r>
          </w:p>
        </w:tc>
        <w:tc>
          <w:tcPr>
            <w:tcW w:w="1870" w:type="dxa"/>
          </w:tcPr>
          <w:p>
            <w:pPr>
              <w:pStyle w:val="0"/>
              <w:jc w:val="center"/>
            </w:pPr>
            <w:r>
              <w:rPr>
                <w:sz w:val="20"/>
              </w:rPr>
              <w:t xml:space="preserve">общей вместимостью не более 20 кубических метров</w:t>
            </w:r>
          </w:p>
        </w:tc>
      </w:tr>
      <w:tr>
        <w:tblPrEx>
          <w:tblBorders>
            <w:insideH w:val="nil"/>
          </w:tblBorders>
        </w:tblPrEx>
        <w:tc>
          <w:tcPr>
            <w:tcW w:w="2948" w:type="dxa"/>
            <w:tcBorders>
              <w:bottom w:val="nil"/>
            </w:tcBorders>
          </w:tcPr>
          <w:p>
            <w:pPr>
              <w:pStyle w:val="0"/>
            </w:pPr>
            <w:r>
              <w:rPr>
                <w:sz w:val="20"/>
              </w:rPr>
              <w:t xml:space="preserve">Производственные, складские и административно-бытовые здания и сооружения промышленных организаций</w:t>
            </w:r>
          </w:p>
        </w:tc>
        <w:tc>
          <w:tcPr>
            <w:tcW w:w="2381" w:type="dxa"/>
            <w:vAlign w:val="bottom"/>
            <w:tcBorders>
              <w:bottom w:val="nil"/>
            </w:tcBorders>
          </w:tcPr>
          <w:p>
            <w:pPr>
              <w:pStyle w:val="0"/>
              <w:jc w:val="center"/>
            </w:pPr>
            <w:r>
              <w:rPr>
                <w:sz w:val="20"/>
              </w:rPr>
              <w:t xml:space="preserve">15</w:t>
            </w:r>
          </w:p>
        </w:tc>
        <w:tc>
          <w:tcPr>
            <w:tcW w:w="1870" w:type="dxa"/>
            <w:vAlign w:val="bottom"/>
            <w:tcBorders>
              <w:bottom w:val="nil"/>
            </w:tcBorders>
          </w:tcPr>
          <w:p>
            <w:pPr>
              <w:pStyle w:val="0"/>
              <w:jc w:val="center"/>
            </w:pPr>
            <w:r>
              <w:rPr>
                <w:sz w:val="20"/>
              </w:rPr>
              <w:t xml:space="preserve">25</w:t>
            </w:r>
          </w:p>
        </w:tc>
        <w:tc>
          <w:tcPr>
            <w:tcW w:w="1870" w:type="dxa"/>
            <w:vAlign w:val="bottom"/>
            <w:tcBorders>
              <w:bottom w:val="nil"/>
            </w:tcBorders>
          </w:tcPr>
          <w:p>
            <w:pPr>
              <w:pStyle w:val="0"/>
              <w:jc w:val="center"/>
            </w:pPr>
            <w:r>
              <w:rPr>
                <w:sz w:val="20"/>
              </w:rPr>
              <w:t xml:space="preserve">25</w:t>
            </w:r>
          </w:p>
        </w:tc>
      </w:tr>
      <w:tr>
        <w:tblPrEx>
          <w:tblBorders>
            <w:insideH w:val="nil"/>
          </w:tblBorders>
        </w:tblPrEx>
        <w:tc>
          <w:tcPr>
            <w:gridSpan w:val="4"/>
            <w:tcW w:w="9069" w:type="dxa"/>
            <w:tcBorders>
              <w:top w:val="nil"/>
            </w:tcBorders>
          </w:tcPr>
          <w:p>
            <w:pPr>
              <w:pStyle w:val="0"/>
              <w:jc w:val="both"/>
            </w:pPr>
            <w:r>
              <w:rPr>
                <w:sz w:val="20"/>
              </w:rPr>
              <w:t xml:space="preserve">(в ред. Федерального </w:t>
            </w:r>
            <w:hyperlink w:history="0" r:id="rId53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tc>
      </w:tr>
      <w:tr>
        <w:tblPrEx>
          <w:tblBorders>
            <w:insideH w:val="nil"/>
          </w:tblBorders>
        </w:tblPrEx>
        <w:tc>
          <w:tcPr>
            <w:tcW w:w="2948" w:type="dxa"/>
            <w:tcBorders>
              <w:bottom w:val="nil"/>
            </w:tcBorders>
          </w:tcPr>
          <w:p>
            <w:pPr>
              <w:pStyle w:val="0"/>
            </w:pPr>
            <w:r>
              <w:rPr>
                <w:sz w:val="20"/>
              </w:rPr>
              <w:t xml:space="preserve">Лесничества с лесными насаждениями:</w:t>
            </w:r>
          </w:p>
        </w:tc>
        <w:tc>
          <w:tcPr>
            <w:tcW w:w="2381" w:type="dxa"/>
            <w:tcBorders>
              <w:bottom w:val="nil"/>
            </w:tcBorders>
          </w:tcPr>
          <w:p>
            <w:pPr>
              <w:pStyle w:val="0"/>
              <w:jc w:val="both"/>
            </w:pPr>
            <w:r>
              <w:rPr>
                <w:sz w:val="20"/>
              </w:rPr>
            </w:r>
          </w:p>
        </w:tc>
        <w:tc>
          <w:tcPr>
            <w:tcW w:w="1870" w:type="dxa"/>
            <w:tcBorders>
              <w:bottom w:val="nil"/>
            </w:tcBorders>
          </w:tcPr>
          <w:p>
            <w:pPr>
              <w:pStyle w:val="0"/>
              <w:jc w:val="both"/>
            </w:pPr>
            <w:r>
              <w:rPr>
                <w:sz w:val="20"/>
              </w:rPr>
            </w:r>
          </w:p>
        </w:tc>
        <w:tc>
          <w:tcPr>
            <w:tcW w:w="1870" w:type="dxa"/>
            <w:tcBorders>
              <w:bottom w:val="nil"/>
            </w:tcBorders>
          </w:tcPr>
          <w:p>
            <w:pPr>
              <w:pStyle w:val="0"/>
              <w:jc w:val="both"/>
            </w:pPr>
            <w:r>
              <w:rPr>
                <w:sz w:val="20"/>
              </w:rPr>
            </w:r>
          </w:p>
        </w:tc>
      </w:tr>
      <w:tr>
        <w:tblPrEx>
          <w:tblBorders>
            <w:insideH w:val="nil"/>
          </w:tblBorders>
        </w:tblPrEx>
        <w:tc>
          <w:tcPr>
            <w:gridSpan w:val="4"/>
            <w:tcW w:w="9069" w:type="dxa"/>
            <w:tcBorders>
              <w:top w:val="nil"/>
              <w:bottom w:val="nil"/>
            </w:tcBorders>
          </w:tcPr>
          <w:p>
            <w:pPr>
              <w:pStyle w:val="0"/>
              <w:jc w:val="both"/>
            </w:pPr>
            <w:r>
              <w:rPr>
                <w:sz w:val="20"/>
              </w:rPr>
              <w:t xml:space="preserve">(в ред. Федеральных законов от 10.07.2012 </w:t>
            </w:r>
            <w:hyperlink w:history="0" r:id="rId53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27.12.2018 </w:t>
            </w:r>
            <w:hyperlink w:history="0" r:id="rId536"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rPr>
              <w:t xml:space="preserve">)</w:t>
            </w:r>
          </w:p>
        </w:tc>
      </w:tr>
      <w:tr>
        <w:tblPrEx>
          <w:tblBorders>
            <w:insideH w:val="nil"/>
          </w:tblBorders>
        </w:tblPrEx>
        <w:tc>
          <w:tcPr>
            <w:tcW w:w="2948" w:type="dxa"/>
            <w:tcBorders>
              <w:top w:val="nil"/>
              <w:bottom w:val="nil"/>
            </w:tcBorders>
          </w:tcPr>
          <w:p>
            <w:pPr>
              <w:pStyle w:val="0"/>
              <w:ind w:left="283"/>
            </w:pPr>
            <w:r>
              <w:rPr>
                <w:sz w:val="20"/>
              </w:rPr>
              <w:t xml:space="preserve">хвойных и смешанных пород</w:t>
            </w:r>
          </w:p>
        </w:tc>
        <w:tc>
          <w:tcPr>
            <w:tcW w:w="2381" w:type="dxa"/>
            <w:vAlign w:val="bottom"/>
            <w:tcBorders>
              <w:top w:val="nil"/>
              <w:bottom w:val="nil"/>
            </w:tcBorders>
          </w:tcPr>
          <w:p>
            <w:pPr>
              <w:pStyle w:val="0"/>
              <w:jc w:val="center"/>
            </w:pPr>
            <w:r>
              <w:rPr>
                <w:sz w:val="20"/>
              </w:rPr>
              <w:t xml:space="preserve">25</w:t>
            </w:r>
          </w:p>
        </w:tc>
        <w:tc>
          <w:tcPr>
            <w:tcW w:w="1870" w:type="dxa"/>
            <w:vAlign w:val="bottom"/>
            <w:tcBorders>
              <w:top w:val="nil"/>
              <w:bottom w:val="nil"/>
            </w:tcBorders>
          </w:tcPr>
          <w:p>
            <w:pPr>
              <w:pStyle w:val="0"/>
              <w:jc w:val="center"/>
            </w:pPr>
            <w:r>
              <w:rPr>
                <w:sz w:val="20"/>
              </w:rPr>
              <w:t xml:space="preserve">40</w:t>
            </w:r>
          </w:p>
        </w:tc>
        <w:tc>
          <w:tcPr>
            <w:tcW w:w="1870" w:type="dxa"/>
            <w:vAlign w:val="bottom"/>
            <w:tcBorders>
              <w:top w:val="nil"/>
              <w:bottom w:val="nil"/>
            </w:tcBorders>
          </w:tcPr>
          <w:p>
            <w:pPr>
              <w:pStyle w:val="0"/>
              <w:jc w:val="center"/>
            </w:pPr>
            <w:r>
              <w:rPr>
                <w:sz w:val="20"/>
              </w:rPr>
              <w:t xml:space="preserve">30</w:t>
            </w:r>
          </w:p>
        </w:tc>
      </w:tr>
      <w:tr>
        <w:tblPrEx>
          <w:tblBorders>
            <w:insideH w:val="nil"/>
          </w:tblBorders>
        </w:tblPrEx>
        <w:tc>
          <w:tcPr>
            <w:tcW w:w="2948" w:type="dxa"/>
            <w:tcBorders>
              <w:top w:val="nil"/>
            </w:tcBorders>
          </w:tcPr>
          <w:p>
            <w:pPr>
              <w:pStyle w:val="0"/>
              <w:ind w:left="283"/>
            </w:pPr>
            <w:r>
              <w:rPr>
                <w:sz w:val="20"/>
              </w:rPr>
              <w:t xml:space="preserve">лиственных пород</w:t>
            </w:r>
          </w:p>
        </w:tc>
        <w:tc>
          <w:tcPr>
            <w:tcW w:w="2381" w:type="dxa"/>
            <w:vAlign w:val="bottom"/>
            <w:tcBorders>
              <w:top w:val="nil"/>
            </w:tcBorders>
          </w:tcPr>
          <w:p>
            <w:pPr>
              <w:pStyle w:val="0"/>
              <w:jc w:val="center"/>
            </w:pPr>
            <w:r>
              <w:rPr>
                <w:sz w:val="20"/>
              </w:rPr>
              <w:t xml:space="preserve">10</w:t>
            </w:r>
          </w:p>
        </w:tc>
        <w:tc>
          <w:tcPr>
            <w:tcW w:w="1870" w:type="dxa"/>
            <w:vAlign w:val="bottom"/>
            <w:tcBorders>
              <w:top w:val="nil"/>
            </w:tcBorders>
          </w:tcPr>
          <w:p>
            <w:pPr>
              <w:pStyle w:val="0"/>
              <w:jc w:val="center"/>
            </w:pPr>
            <w:r>
              <w:rPr>
                <w:sz w:val="20"/>
              </w:rPr>
              <w:t xml:space="preserve">15</w:t>
            </w:r>
          </w:p>
        </w:tc>
        <w:tc>
          <w:tcPr>
            <w:tcW w:w="1870" w:type="dxa"/>
            <w:vAlign w:val="bottom"/>
            <w:tcBorders>
              <w:top w:val="nil"/>
            </w:tcBorders>
          </w:tcPr>
          <w:p>
            <w:pPr>
              <w:pStyle w:val="0"/>
              <w:jc w:val="center"/>
            </w:pPr>
            <w:r>
              <w:rPr>
                <w:sz w:val="20"/>
              </w:rPr>
              <w:t xml:space="preserve">12</w:t>
            </w:r>
          </w:p>
        </w:tc>
      </w:tr>
      <w:tr>
        <w:tc>
          <w:tcPr>
            <w:tcW w:w="2948" w:type="dxa"/>
          </w:tcPr>
          <w:p>
            <w:pPr>
              <w:pStyle w:val="0"/>
            </w:pPr>
            <w:r>
              <w:rPr>
                <w:sz w:val="20"/>
              </w:rPr>
              <w:t xml:space="preserve">Жилые и общественные здания</w:t>
            </w:r>
          </w:p>
        </w:tc>
        <w:tc>
          <w:tcPr>
            <w:tcW w:w="2381" w:type="dxa"/>
            <w:vAlign w:val="bottom"/>
          </w:tcPr>
          <w:p>
            <w:pPr>
              <w:pStyle w:val="0"/>
              <w:jc w:val="center"/>
            </w:pPr>
            <w:r>
              <w:rPr>
                <w:sz w:val="20"/>
              </w:rPr>
              <w:t xml:space="preserve">25</w:t>
            </w:r>
          </w:p>
        </w:tc>
        <w:tc>
          <w:tcPr>
            <w:tcW w:w="1870" w:type="dxa"/>
            <w:vAlign w:val="bottom"/>
          </w:tcPr>
          <w:p>
            <w:pPr>
              <w:pStyle w:val="0"/>
              <w:jc w:val="center"/>
            </w:pPr>
            <w:r>
              <w:rPr>
                <w:sz w:val="20"/>
              </w:rPr>
              <w:t xml:space="preserve">50</w:t>
            </w:r>
          </w:p>
        </w:tc>
        <w:tc>
          <w:tcPr>
            <w:tcW w:w="1870" w:type="dxa"/>
            <w:vAlign w:val="bottom"/>
          </w:tcPr>
          <w:p>
            <w:pPr>
              <w:pStyle w:val="0"/>
              <w:jc w:val="center"/>
            </w:pPr>
            <w:r>
              <w:rPr>
                <w:sz w:val="20"/>
              </w:rPr>
              <w:t xml:space="preserve">40</w:t>
            </w:r>
          </w:p>
        </w:tc>
      </w:tr>
      <w:tr>
        <w:tc>
          <w:tcPr>
            <w:tcW w:w="2948" w:type="dxa"/>
          </w:tcPr>
          <w:p>
            <w:pPr>
              <w:pStyle w:val="0"/>
            </w:pPr>
            <w:r>
              <w:rPr>
                <w:sz w:val="20"/>
              </w:rPr>
              <w:t xml:space="preserve">Места массового пребывания людей</w:t>
            </w:r>
          </w:p>
        </w:tc>
        <w:tc>
          <w:tcPr>
            <w:tcW w:w="2381" w:type="dxa"/>
            <w:vAlign w:val="bottom"/>
          </w:tcPr>
          <w:p>
            <w:pPr>
              <w:pStyle w:val="0"/>
              <w:jc w:val="center"/>
            </w:pPr>
            <w:r>
              <w:rPr>
                <w:sz w:val="20"/>
              </w:rPr>
              <w:t xml:space="preserve">25</w:t>
            </w:r>
          </w:p>
        </w:tc>
        <w:tc>
          <w:tcPr>
            <w:tcW w:w="1870" w:type="dxa"/>
            <w:vAlign w:val="bottom"/>
          </w:tcPr>
          <w:p>
            <w:pPr>
              <w:pStyle w:val="0"/>
              <w:jc w:val="center"/>
            </w:pPr>
            <w:r>
              <w:rPr>
                <w:sz w:val="20"/>
              </w:rPr>
              <w:t xml:space="preserve">50</w:t>
            </w:r>
          </w:p>
        </w:tc>
        <w:tc>
          <w:tcPr>
            <w:tcW w:w="1870" w:type="dxa"/>
            <w:vAlign w:val="bottom"/>
          </w:tcPr>
          <w:p>
            <w:pPr>
              <w:pStyle w:val="0"/>
              <w:jc w:val="center"/>
            </w:pPr>
            <w:r>
              <w:rPr>
                <w:sz w:val="20"/>
              </w:rPr>
              <w:t xml:space="preserve">50</w:t>
            </w:r>
          </w:p>
        </w:tc>
      </w:tr>
      <w:tr>
        <w:tc>
          <w:tcPr>
            <w:tcW w:w="2948" w:type="dxa"/>
          </w:tcPr>
          <w:p>
            <w:pPr>
              <w:pStyle w:val="0"/>
            </w:pPr>
            <w:r>
              <w:rPr>
                <w:sz w:val="20"/>
              </w:rPr>
              <w:t xml:space="preserve">Индивидуальные гаражи и открытые стоянки для автомобилей</w:t>
            </w:r>
          </w:p>
        </w:tc>
        <w:tc>
          <w:tcPr>
            <w:tcW w:w="2381" w:type="dxa"/>
            <w:vAlign w:val="bottom"/>
          </w:tcPr>
          <w:p>
            <w:pPr>
              <w:pStyle w:val="0"/>
              <w:jc w:val="center"/>
            </w:pPr>
            <w:r>
              <w:rPr>
                <w:sz w:val="20"/>
              </w:rPr>
              <w:t xml:space="preserve">18</w:t>
            </w:r>
          </w:p>
        </w:tc>
        <w:tc>
          <w:tcPr>
            <w:tcW w:w="1870" w:type="dxa"/>
            <w:vAlign w:val="bottom"/>
          </w:tcPr>
          <w:p>
            <w:pPr>
              <w:pStyle w:val="0"/>
              <w:jc w:val="center"/>
            </w:pPr>
            <w:r>
              <w:rPr>
                <w:sz w:val="20"/>
              </w:rPr>
              <w:t xml:space="preserve">30</w:t>
            </w:r>
          </w:p>
        </w:tc>
        <w:tc>
          <w:tcPr>
            <w:tcW w:w="1870" w:type="dxa"/>
            <w:vAlign w:val="bottom"/>
          </w:tcPr>
          <w:p>
            <w:pPr>
              <w:pStyle w:val="0"/>
              <w:jc w:val="center"/>
            </w:pPr>
            <w:r>
              <w:rPr>
                <w:sz w:val="20"/>
              </w:rPr>
              <w:t xml:space="preserve">20</w:t>
            </w:r>
          </w:p>
        </w:tc>
      </w:tr>
      <w:tr>
        <w:tc>
          <w:tcPr>
            <w:tcW w:w="2948" w:type="dxa"/>
          </w:tcPr>
          <w:p>
            <w:pPr>
              <w:pStyle w:val="0"/>
            </w:pPr>
            <w:r>
              <w:rPr>
                <w:sz w:val="20"/>
              </w:rPr>
              <w:t xml:space="preserve">Торговые киоски</w:t>
            </w:r>
          </w:p>
        </w:tc>
        <w:tc>
          <w:tcPr>
            <w:tcW w:w="2381" w:type="dxa"/>
            <w:vAlign w:val="bottom"/>
          </w:tcPr>
          <w:p>
            <w:pPr>
              <w:pStyle w:val="0"/>
              <w:jc w:val="center"/>
            </w:pPr>
            <w:r>
              <w:rPr>
                <w:sz w:val="20"/>
              </w:rPr>
              <w:t xml:space="preserve">20</w:t>
            </w:r>
          </w:p>
        </w:tc>
        <w:tc>
          <w:tcPr>
            <w:tcW w:w="1870" w:type="dxa"/>
            <w:vAlign w:val="bottom"/>
          </w:tcPr>
          <w:p>
            <w:pPr>
              <w:pStyle w:val="0"/>
              <w:jc w:val="center"/>
            </w:pPr>
            <w:r>
              <w:rPr>
                <w:sz w:val="20"/>
              </w:rPr>
              <w:t xml:space="preserve">25</w:t>
            </w:r>
          </w:p>
        </w:tc>
        <w:tc>
          <w:tcPr>
            <w:tcW w:w="1870" w:type="dxa"/>
            <w:vAlign w:val="bottom"/>
          </w:tcPr>
          <w:p>
            <w:pPr>
              <w:pStyle w:val="0"/>
              <w:jc w:val="center"/>
            </w:pPr>
            <w:r>
              <w:rPr>
                <w:sz w:val="20"/>
              </w:rPr>
              <w:t xml:space="preserve">25</w:t>
            </w:r>
          </w:p>
        </w:tc>
      </w:tr>
      <w:tr>
        <w:tblPrEx>
          <w:tblBorders>
            <w:insideH w:val="nil"/>
          </w:tblBorders>
        </w:tblPrEx>
        <w:tc>
          <w:tcPr>
            <w:tcW w:w="2948" w:type="dxa"/>
            <w:tcBorders>
              <w:bottom w:val="nil"/>
            </w:tcBorders>
          </w:tcPr>
          <w:p>
            <w:pPr>
              <w:pStyle w:val="0"/>
            </w:pPr>
            <w:r>
              <w:rPr>
                <w:sz w:val="20"/>
              </w:rPr>
              <w:t xml:space="preserve">Автомобильные дороги общей сети (край проезжей части):</w:t>
            </w:r>
          </w:p>
        </w:tc>
        <w:tc>
          <w:tcPr>
            <w:tcW w:w="2381" w:type="dxa"/>
            <w:vAlign w:val="bottom"/>
            <w:tcBorders>
              <w:bottom w:val="nil"/>
            </w:tcBorders>
          </w:tcPr>
          <w:p>
            <w:pPr>
              <w:pStyle w:val="0"/>
              <w:jc w:val="center"/>
            </w:pPr>
            <w:r>
              <w:rPr>
                <w:sz w:val="20"/>
              </w:rPr>
            </w:r>
          </w:p>
        </w:tc>
        <w:tc>
          <w:tcPr>
            <w:tcW w:w="1870" w:type="dxa"/>
            <w:vAlign w:val="bottom"/>
            <w:tcBorders>
              <w:bottom w:val="nil"/>
            </w:tcBorders>
          </w:tcPr>
          <w:p>
            <w:pPr>
              <w:pStyle w:val="0"/>
              <w:jc w:val="center"/>
            </w:pPr>
            <w:r>
              <w:rPr>
                <w:sz w:val="20"/>
              </w:rPr>
            </w:r>
          </w:p>
        </w:tc>
        <w:tc>
          <w:tcPr>
            <w:tcW w:w="1870" w:type="dxa"/>
            <w:vAlign w:val="bottom"/>
            <w:tcBorders>
              <w:bottom w:val="nil"/>
            </w:tcBorders>
          </w:tcPr>
          <w:p>
            <w:pPr>
              <w:pStyle w:val="0"/>
              <w:jc w:val="center"/>
            </w:pPr>
            <w:r>
              <w:rPr>
                <w:sz w:val="20"/>
              </w:rPr>
            </w:r>
          </w:p>
        </w:tc>
      </w:tr>
      <w:tr>
        <w:tblPrEx>
          <w:tblBorders>
            <w:insideH w:val="nil"/>
          </w:tblBorders>
        </w:tblPrEx>
        <w:tc>
          <w:tcPr>
            <w:tcW w:w="2948" w:type="dxa"/>
            <w:tcBorders>
              <w:top w:val="nil"/>
              <w:bottom w:val="nil"/>
            </w:tcBorders>
          </w:tcPr>
          <w:p>
            <w:pPr>
              <w:pStyle w:val="0"/>
              <w:ind w:left="283"/>
            </w:pPr>
            <w:r>
              <w:rPr>
                <w:sz w:val="20"/>
              </w:rPr>
              <w:t xml:space="preserve">I, II и III категорий</w:t>
            </w:r>
          </w:p>
        </w:tc>
        <w:tc>
          <w:tcPr>
            <w:tcW w:w="2381" w:type="dxa"/>
            <w:vAlign w:val="bottom"/>
            <w:tcBorders>
              <w:top w:val="nil"/>
              <w:bottom w:val="nil"/>
            </w:tcBorders>
          </w:tcPr>
          <w:p>
            <w:pPr>
              <w:pStyle w:val="0"/>
              <w:jc w:val="center"/>
            </w:pPr>
            <w:r>
              <w:rPr>
                <w:sz w:val="20"/>
              </w:rPr>
              <w:t xml:space="preserve">12</w:t>
            </w:r>
          </w:p>
        </w:tc>
        <w:tc>
          <w:tcPr>
            <w:tcW w:w="1870" w:type="dxa"/>
            <w:vAlign w:val="bottom"/>
            <w:tcBorders>
              <w:top w:val="nil"/>
              <w:bottom w:val="nil"/>
            </w:tcBorders>
          </w:tcPr>
          <w:p>
            <w:pPr>
              <w:pStyle w:val="0"/>
              <w:jc w:val="center"/>
            </w:pPr>
            <w:r>
              <w:rPr>
                <w:sz w:val="20"/>
              </w:rPr>
              <w:t xml:space="preserve">20</w:t>
            </w:r>
          </w:p>
        </w:tc>
        <w:tc>
          <w:tcPr>
            <w:tcW w:w="1870" w:type="dxa"/>
            <w:vAlign w:val="bottom"/>
            <w:tcBorders>
              <w:top w:val="nil"/>
              <w:bottom w:val="nil"/>
            </w:tcBorders>
          </w:tcPr>
          <w:p>
            <w:pPr>
              <w:pStyle w:val="0"/>
              <w:jc w:val="center"/>
            </w:pPr>
            <w:r>
              <w:rPr>
                <w:sz w:val="20"/>
              </w:rPr>
              <w:t xml:space="preserve">15</w:t>
            </w:r>
          </w:p>
        </w:tc>
      </w:tr>
      <w:tr>
        <w:tblPrEx>
          <w:tblBorders>
            <w:insideH w:val="nil"/>
          </w:tblBorders>
        </w:tblPrEx>
        <w:tc>
          <w:tcPr>
            <w:tcW w:w="2948" w:type="dxa"/>
            <w:tcBorders>
              <w:top w:val="nil"/>
            </w:tcBorders>
          </w:tcPr>
          <w:p>
            <w:pPr>
              <w:pStyle w:val="0"/>
              <w:ind w:left="283"/>
            </w:pPr>
            <w:r>
              <w:rPr>
                <w:sz w:val="20"/>
              </w:rPr>
              <w:t xml:space="preserve">IV и V категорий</w:t>
            </w:r>
          </w:p>
        </w:tc>
        <w:tc>
          <w:tcPr>
            <w:tcW w:w="2381" w:type="dxa"/>
            <w:vAlign w:val="bottom"/>
            <w:tcBorders>
              <w:top w:val="nil"/>
            </w:tcBorders>
          </w:tcPr>
          <w:p>
            <w:pPr>
              <w:pStyle w:val="0"/>
              <w:jc w:val="center"/>
            </w:pPr>
            <w:r>
              <w:rPr>
                <w:sz w:val="20"/>
              </w:rPr>
              <w:t xml:space="preserve">9</w:t>
            </w:r>
          </w:p>
        </w:tc>
        <w:tc>
          <w:tcPr>
            <w:tcW w:w="1870" w:type="dxa"/>
            <w:vAlign w:val="bottom"/>
            <w:tcBorders>
              <w:top w:val="nil"/>
            </w:tcBorders>
          </w:tcPr>
          <w:p>
            <w:pPr>
              <w:pStyle w:val="0"/>
              <w:jc w:val="center"/>
            </w:pPr>
            <w:r>
              <w:rPr>
                <w:sz w:val="20"/>
              </w:rPr>
              <w:t xml:space="preserve">12</w:t>
            </w:r>
          </w:p>
        </w:tc>
        <w:tc>
          <w:tcPr>
            <w:tcW w:w="1870" w:type="dxa"/>
            <w:vAlign w:val="bottom"/>
            <w:tcBorders>
              <w:top w:val="nil"/>
            </w:tcBorders>
          </w:tcPr>
          <w:p>
            <w:pPr>
              <w:pStyle w:val="0"/>
              <w:jc w:val="center"/>
            </w:pPr>
            <w:r>
              <w:rPr>
                <w:sz w:val="20"/>
              </w:rPr>
              <w:t xml:space="preserve">9</w:t>
            </w:r>
          </w:p>
        </w:tc>
      </w:tr>
      <w:tr>
        <w:tc>
          <w:tcPr>
            <w:tcW w:w="2948" w:type="dxa"/>
          </w:tcPr>
          <w:p>
            <w:pPr>
              <w:pStyle w:val="0"/>
            </w:pPr>
            <w:r>
              <w:rPr>
                <w:sz w:val="20"/>
              </w:rPr>
              <w:t xml:space="preserve">Маршруты электрифицированного городского транспорта (до контактной сети)</w:t>
            </w:r>
          </w:p>
        </w:tc>
        <w:tc>
          <w:tcPr>
            <w:tcW w:w="2381" w:type="dxa"/>
            <w:vAlign w:val="bottom"/>
          </w:tcPr>
          <w:p>
            <w:pPr>
              <w:pStyle w:val="0"/>
              <w:jc w:val="center"/>
            </w:pPr>
            <w:r>
              <w:rPr>
                <w:sz w:val="20"/>
              </w:rPr>
              <w:t xml:space="preserve">15</w:t>
            </w:r>
          </w:p>
        </w:tc>
        <w:tc>
          <w:tcPr>
            <w:tcW w:w="1870" w:type="dxa"/>
            <w:vAlign w:val="bottom"/>
          </w:tcPr>
          <w:p>
            <w:pPr>
              <w:pStyle w:val="0"/>
              <w:jc w:val="center"/>
            </w:pPr>
            <w:r>
              <w:rPr>
                <w:sz w:val="20"/>
              </w:rPr>
              <w:t xml:space="preserve">20</w:t>
            </w:r>
          </w:p>
        </w:tc>
        <w:tc>
          <w:tcPr>
            <w:tcW w:w="1870" w:type="dxa"/>
            <w:vAlign w:val="bottom"/>
          </w:tcPr>
          <w:p>
            <w:pPr>
              <w:pStyle w:val="0"/>
              <w:jc w:val="center"/>
            </w:pPr>
            <w:r>
              <w:rPr>
                <w:sz w:val="20"/>
              </w:rPr>
              <w:t xml:space="preserve">20</w:t>
            </w:r>
          </w:p>
        </w:tc>
      </w:tr>
      <w:tr>
        <w:tc>
          <w:tcPr>
            <w:tcW w:w="2948" w:type="dxa"/>
          </w:tcPr>
          <w:p>
            <w:pPr>
              <w:pStyle w:val="0"/>
            </w:pPr>
            <w:r>
              <w:rPr>
                <w:sz w:val="20"/>
              </w:rPr>
              <w:t xml:space="preserve">Железные дороги общей сети (до подошвы насыпи или бровки выемки)</w:t>
            </w:r>
          </w:p>
        </w:tc>
        <w:tc>
          <w:tcPr>
            <w:tcW w:w="2381" w:type="dxa"/>
            <w:vAlign w:val="bottom"/>
          </w:tcPr>
          <w:p>
            <w:pPr>
              <w:pStyle w:val="0"/>
              <w:jc w:val="center"/>
            </w:pPr>
            <w:r>
              <w:rPr>
                <w:sz w:val="20"/>
              </w:rPr>
              <w:t xml:space="preserve">25</w:t>
            </w:r>
          </w:p>
        </w:tc>
        <w:tc>
          <w:tcPr>
            <w:tcW w:w="1870" w:type="dxa"/>
            <w:vAlign w:val="bottom"/>
          </w:tcPr>
          <w:p>
            <w:pPr>
              <w:pStyle w:val="0"/>
              <w:jc w:val="center"/>
            </w:pPr>
            <w:r>
              <w:rPr>
                <w:sz w:val="20"/>
              </w:rPr>
              <w:t xml:space="preserve">30</w:t>
            </w:r>
          </w:p>
        </w:tc>
        <w:tc>
          <w:tcPr>
            <w:tcW w:w="1870" w:type="dxa"/>
            <w:vAlign w:val="bottom"/>
          </w:tcPr>
          <w:p>
            <w:pPr>
              <w:pStyle w:val="0"/>
              <w:jc w:val="center"/>
            </w:pPr>
            <w:r>
              <w:rPr>
                <w:sz w:val="20"/>
              </w:rPr>
              <w:t xml:space="preserve">30</w:t>
            </w:r>
          </w:p>
        </w:tc>
      </w:tr>
      <w:tr>
        <w:tc>
          <w:tcPr>
            <w:tcW w:w="2948" w:type="dxa"/>
          </w:tcPr>
          <w:p>
            <w:pPr>
              <w:pStyle w:val="0"/>
            </w:pPr>
            <w:r>
              <w:rPr>
                <w:sz w:val="20"/>
              </w:rPr>
              <w:t xml:space="preserve">Очистные канализационные сооружения и насосные станции, не относящиеся к автозаправочным станциям</w:t>
            </w:r>
          </w:p>
        </w:tc>
        <w:tc>
          <w:tcPr>
            <w:tcW w:w="2381" w:type="dxa"/>
            <w:vAlign w:val="bottom"/>
          </w:tcPr>
          <w:p>
            <w:pPr>
              <w:pStyle w:val="0"/>
              <w:jc w:val="center"/>
            </w:pPr>
            <w:r>
              <w:rPr>
                <w:sz w:val="20"/>
              </w:rPr>
              <w:t xml:space="preserve">15</w:t>
            </w:r>
          </w:p>
        </w:tc>
        <w:tc>
          <w:tcPr>
            <w:tcW w:w="1870" w:type="dxa"/>
            <w:vAlign w:val="bottom"/>
          </w:tcPr>
          <w:p>
            <w:pPr>
              <w:pStyle w:val="0"/>
              <w:jc w:val="center"/>
            </w:pPr>
            <w:r>
              <w:rPr>
                <w:sz w:val="20"/>
              </w:rPr>
              <w:t xml:space="preserve">30</w:t>
            </w:r>
          </w:p>
        </w:tc>
        <w:tc>
          <w:tcPr>
            <w:tcW w:w="1870" w:type="dxa"/>
            <w:vAlign w:val="bottom"/>
          </w:tcPr>
          <w:p>
            <w:pPr>
              <w:pStyle w:val="0"/>
              <w:jc w:val="center"/>
            </w:pPr>
            <w:r>
              <w:rPr>
                <w:sz w:val="20"/>
              </w:rPr>
              <w:t xml:space="preserve">25</w:t>
            </w:r>
          </w:p>
        </w:tc>
      </w:tr>
      <w:tr>
        <w:tc>
          <w:tcPr>
            <w:tcW w:w="2948" w:type="dxa"/>
          </w:tcPr>
          <w:p>
            <w:pPr>
              <w:pStyle w:val="0"/>
            </w:pPr>
            <w:r>
              <w:rPr>
                <w:sz w:val="20"/>
              </w:rPr>
              <w:t xml:space="preserve">Технологические установки категорий АН, БН, ГН, здания и сооружения с наличием радиоактивных и вредных веществ I и II классов опасности</w:t>
            </w:r>
          </w:p>
        </w:tc>
        <w:tc>
          <w:tcPr>
            <w:tcW w:w="2381" w:type="dxa"/>
            <w:vAlign w:val="bottom"/>
          </w:tcPr>
          <w:p>
            <w:pPr>
              <w:pStyle w:val="0"/>
              <w:jc w:val="center"/>
            </w:pPr>
            <w:r>
              <w:rPr>
                <w:sz w:val="20"/>
              </w:rPr>
              <w:t xml:space="preserve">-</w:t>
            </w:r>
          </w:p>
        </w:tc>
        <w:tc>
          <w:tcPr>
            <w:tcW w:w="1870" w:type="dxa"/>
            <w:vAlign w:val="bottom"/>
          </w:tcPr>
          <w:p>
            <w:pPr>
              <w:pStyle w:val="0"/>
              <w:jc w:val="center"/>
            </w:pPr>
            <w:r>
              <w:rPr>
                <w:sz w:val="20"/>
              </w:rPr>
              <w:t xml:space="preserve">100</w:t>
            </w:r>
          </w:p>
        </w:tc>
        <w:tc>
          <w:tcPr>
            <w:tcW w:w="1870" w:type="dxa"/>
            <w:vAlign w:val="bottom"/>
          </w:tcPr>
          <w:p>
            <w:pPr>
              <w:pStyle w:val="0"/>
              <w:jc w:val="center"/>
            </w:pPr>
            <w:r>
              <w:rPr>
                <w:sz w:val="20"/>
              </w:rPr>
              <w:t xml:space="preserve">-</w:t>
            </w:r>
          </w:p>
        </w:tc>
      </w:tr>
      <w:tr>
        <w:tc>
          <w:tcPr>
            <w:tcW w:w="2948" w:type="dxa"/>
          </w:tcPr>
          <w:p>
            <w:pPr>
              <w:pStyle w:val="0"/>
            </w:pPr>
            <w:r>
              <w:rPr>
                <w:sz w:val="20"/>
              </w:rPr>
              <w:t xml:space="preserve">Склады лесных материалов, торфа, волокнистых горючих веществ, сена, соломы, а также участки открытого залегания торфа</w:t>
            </w:r>
          </w:p>
        </w:tc>
        <w:tc>
          <w:tcPr>
            <w:tcW w:w="2381" w:type="dxa"/>
            <w:vAlign w:val="bottom"/>
          </w:tcPr>
          <w:p>
            <w:pPr>
              <w:pStyle w:val="0"/>
              <w:jc w:val="center"/>
            </w:pPr>
            <w:r>
              <w:rPr>
                <w:sz w:val="20"/>
              </w:rPr>
              <w:t xml:space="preserve">20</w:t>
            </w:r>
          </w:p>
        </w:tc>
        <w:tc>
          <w:tcPr>
            <w:tcW w:w="1870" w:type="dxa"/>
            <w:vAlign w:val="bottom"/>
          </w:tcPr>
          <w:p>
            <w:pPr>
              <w:pStyle w:val="0"/>
              <w:jc w:val="center"/>
            </w:pPr>
            <w:r>
              <w:rPr>
                <w:sz w:val="20"/>
              </w:rPr>
              <w:t xml:space="preserve">40</w:t>
            </w:r>
          </w:p>
        </w:tc>
        <w:tc>
          <w:tcPr>
            <w:tcW w:w="1870" w:type="dxa"/>
            <w:vAlign w:val="bottom"/>
          </w:tcPr>
          <w:p>
            <w:pPr>
              <w:pStyle w:val="0"/>
              <w:jc w:val="center"/>
            </w:pPr>
            <w:r>
              <w:rPr>
                <w:sz w:val="20"/>
              </w:rPr>
              <w:t xml:space="preserve">30</w:t>
            </w:r>
          </w:p>
        </w:tc>
      </w:tr>
    </w:tbl>
    <w:p>
      <w:pPr>
        <w:pStyle w:val="0"/>
        <w:ind w:firstLine="540"/>
        <w:jc w:val="both"/>
      </w:pPr>
      <w:r>
        <w:rPr>
          <w:sz w:val="20"/>
        </w:rPr>
      </w:r>
    </w:p>
    <w:p>
      <w:pPr>
        <w:pStyle w:val="0"/>
        <w:outlineLvl w:val="1"/>
        <w:jc w:val="center"/>
      </w:pPr>
      <w:r>
        <w:rPr>
          <w:sz w:val="20"/>
        </w:rPr>
        <w:t xml:space="preserve">Таблица 16</w:t>
      </w:r>
    </w:p>
    <w:p>
      <w:pPr>
        <w:pStyle w:val="0"/>
        <w:ind w:firstLine="540"/>
        <w:jc w:val="both"/>
      </w:pPr>
      <w:r>
        <w:rPr>
          <w:sz w:val="20"/>
        </w:rPr>
      </w:r>
    </w:p>
    <w:p>
      <w:pPr>
        <w:pStyle w:val="2"/>
        <w:jc w:val="center"/>
      </w:pPr>
      <w:r>
        <w:rPr>
          <w:sz w:val="20"/>
        </w:rPr>
        <w:t xml:space="preserve">Противопожарные расстояния от мест организованного хранения</w:t>
      </w:r>
    </w:p>
    <w:p>
      <w:pPr>
        <w:pStyle w:val="2"/>
        <w:jc w:val="center"/>
      </w:pPr>
      <w:r>
        <w:rPr>
          <w:sz w:val="20"/>
        </w:rPr>
        <w:t xml:space="preserve">и обслуживания транспортных средств</w:t>
      </w:r>
    </w:p>
    <w:p>
      <w:pPr>
        <w:pStyle w:val="0"/>
        <w:ind w:firstLine="540"/>
        <w:jc w:val="both"/>
      </w:pPr>
      <w:r>
        <w:rPr>
          <w:sz w:val="20"/>
        </w:rPr>
      </w:r>
    </w:p>
    <w:p>
      <w:pPr>
        <w:pStyle w:val="0"/>
        <w:ind w:firstLine="540"/>
        <w:jc w:val="both"/>
      </w:pPr>
      <w:r>
        <w:rPr>
          <w:sz w:val="20"/>
        </w:rPr>
        <w:t xml:space="preserve">Утратила силу. - Федеральный </w:t>
      </w:r>
      <w:hyperlink w:history="0" r:id="rId53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ind w:firstLine="540"/>
        <w:jc w:val="both"/>
      </w:pPr>
      <w:r>
        <w:rPr>
          <w:sz w:val="20"/>
        </w:rPr>
      </w:r>
    </w:p>
    <w:bookmarkStart w:id="2522" w:name="P2522"/>
    <w:bookmarkEnd w:id="2522"/>
    <w:p>
      <w:pPr>
        <w:pStyle w:val="0"/>
        <w:outlineLvl w:val="1"/>
        <w:jc w:val="center"/>
      </w:pPr>
      <w:r>
        <w:rPr>
          <w:sz w:val="20"/>
        </w:rPr>
        <w:t xml:space="preserve">Таблица 17</w:t>
      </w:r>
    </w:p>
    <w:p>
      <w:pPr>
        <w:pStyle w:val="0"/>
        <w:jc w:val="right"/>
      </w:pPr>
      <w:r>
        <w:rPr>
          <w:sz w:val="20"/>
        </w:rPr>
      </w:r>
    </w:p>
    <w:bookmarkStart w:id="2524" w:name="P2524"/>
    <w:bookmarkEnd w:id="2524"/>
    <w:p>
      <w:pPr>
        <w:pStyle w:val="2"/>
        <w:jc w:val="center"/>
      </w:pPr>
      <w:r>
        <w:rPr>
          <w:sz w:val="20"/>
        </w:rPr>
        <w:t xml:space="preserve">Противопожарные расстояния от резервуара на складе</w:t>
      </w:r>
    </w:p>
    <w:p>
      <w:pPr>
        <w:pStyle w:val="2"/>
        <w:jc w:val="center"/>
      </w:pPr>
      <w:r>
        <w:rPr>
          <w:sz w:val="20"/>
        </w:rPr>
        <w:t xml:space="preserve">общей вместимостью до 10 000 кубических метров при хранении</w:t>
      </w:r>
    </w:p>
    <w:p>
      <w:pPr>
        <w:pStyle w:val="2"/>
        <w:jc w:val="center"/>
      </w:pPr>
      <w:r>
        <w:rPr>
          <w:sz w:val="20"/>
        </w:rPr>
        <w:t xml:space="preserve">под давлением или 40 000 кубических метров при хранении</w:t>
      </w:r>
    </w:p>
    <w:p>
      <w:pPr>
        <w:pStyle w:val="2"/>
        <w:jc w:val="center"/>
      </w:pPr>
      <w:r>
        <w:rPr>
          <w:sz w:val="20"/>
        </w:rPr>
        <w:t xml:space="preserve">изотермическим способом до зданий и сооружений</w:t>
      </w:r>
    </w:p>
    <w:p>
      <w:pPr>
        <w:pStyle w:val="2"/>
        <w:jc w:val="center"/>
      </w:pPr>
      <w:r>
        <w:rPr>
          <w:sz w:val="20"/>
        </w:rPr>
        <w:t xml:space="preserve">объектов, не относящихся к складу</w:t>
      </w:r>
    </w:p>
    <w:p>
      <w:pPr>
        <w:pStyle w:val="0"/>
        <w:jc w:val="center"/>
      </w:pPr>
      <w:r>
        <w:rPr>
          <w:sz w:val="20"/>
        </w:rPr>
        <w:t xml:space="preserve">(в ред. Федерального </w:t>
      </w:r>
      <w:hyperlink w:history="0" r:id="rId53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20"/>
        <w:gridCol w:w="2800"/>
        <w:gridCol w:w="1624"/>
        <w:gridCol w:w="2176"/>
        <w:gridCol w:w="2176"/>
      </w:tblGrid>
      <w:tr>
        <w:tc>
          <w:tcPr>
            <w:tcW w:w="2620" w:type="dxa"/>
            <w:vMerge w:val="restart"/>
          </w:tcPr>
          <w:p>
            <w:pPr>
              <w:pStyle w:val="0"/>
              <w:jc w:val="center"/>
            </w:pPr>
            <w:r>
              <w:rPr>
                <w:sz w:val="20"/>
              </w:rPr>
              <w:t xml:space="preserve">Наименование здания и сооружения</w:t>
            </w:r>
          </w:p>
        </w:tc>
        <w:tc>
          <w:tcPr>
            <w:gridSpan w:val="4"/>
            <w:tcW w:w="8776" w:type="dxa"/>
          </w:tcPr>
          <w:p>
            <w:pPr>
              <w:pStyle w:val="0"/>
              <w:jc w:val="center"/>
            </w:pPr>
            <w:r>
              <w:rPr>
                <w:sz w:val="20"/>
              </w:rPr>
              <w:t xml:space="preserve">Противопожарные расстояния, метры</w:t>
            </w:r>
          </w:p>
        </w:tc>
      </w:tr>
      <w:tr>
        <w:tc>
          <w:tcPr>
            <w:vMerge w:val="continue"/>
          </w:tcPr>
          <w:p/>
        </w:tc>
        <w:tc>
          <w:tcPr>
            <w:tcW w:w="2800" w:type="dxa"/>
          </w:tcPr>
          <w:p>
            <w:pPr>
              <w:pStyle w:val="0"/>
              <w:jc w:val="center"/>
            </w:pPr>
            <w:r>
              <w:rPr>
                <w:sz w:val="20"/>
              </w:rPr>
              <w:t xml:space="preserve">Резервуары надземные под давлением, включая полуизотермические</w:t>
            </w:r>
          </w:p>
        </w:tc>
        <w:tc>
          <w:tcPr>
            <w:tcW w:w="1624" w:type="dxa"/>
          </w:tcPr>
          <w:p>
            <w:pPr>
              <w:pStyle w:val="0"/>
              <w:jc w:val="center"/>
            </w:pPr>
            <w:r>
              <w:rPr>
                <w:sz w:val="20"/>
              </w:rPr>
              <w:t xml:space="preserve">Резервуары подземные под давлением</w:t>
            </w:r>
          </w:p>
        </w:tc>
        <w:tc>
          <w:tcPr>
            <w:tcW w:w="2176" w:type="dxa"/>
          </w:tcPr>
          <w:p>
            <w:pPr>
              <w:pStyle w:val="0"/>
              <w:jc w:val="center"/>
            </w:pPr>
            <w:r>
              <w:rPr>
                <w:sz w:val="20"/>
              </w:rPr>
              <w:t xml:space="preserve">Резервуары надземные изотермические</w:t>
            </w:r>
          </w:p>
        </w:tc>
        <w:tc>
          <w:tcPr>
            <w:tcW w:w="2176" w:type="dxa"/>
          </w:tcPr>
          <w:p>
            <w:pPr>
              <w:pStyle w:val="0"/>
              <w:jc w:val="center"/>
            </w:pPr>
            <w:r>
              <w:rPr>
                <w:sz w:val="20"/>
              </w:rPr>
              <w:t xml:space="preserve">Резервуары подземные изотермические</w:t>
            </w:r>
          </w:p>
        </w:tc>
      </w:tr>
      <w:tr>
        <w:tc>
          <w:tcPr>
            <w:tcW w:w="2620" w:type="dxa"/>
          </w:tcPr>
          <w:p>
            <w:pPr>
              <w:pStyle w:val="0"/>
            </w:pPr>
            <w:r>
              <w:rPr>
                <w:sz w:val="20"/>
              </w:rPr>
              <w:t xml:space="preserve">Трамвайные пути и троллейбусные линии, железные дороги общей сети (до подошвы насыпи или бровки выемки)</w:t>
            </w:r>
          </w:p>
        </w:tc>
        <w:tc>
          <w:tcPr>
            <w:tcW w:w="2800" w:type="dxa"/>
            <w:vAlign w:val="bottom"/>
          </w:tcPr>
          <w:p>
            <w:pPr>
              <w:pStyle w:val="0"/>
              <w:jc w:val="center"/>
            </w:pPr>
            <w:r>
              <w:rPr>
                <w:sz w:val="20"/>
              </w:rPr>
              <w:t xml:space="preserve">100</w:t>
            </w:r>
          </w:p>
        </w:tc>
        <w:tc>
          <w:tcPr>
            <w:tcW w:w="1624" w:type="dxa"/>
            <w:vAlign w:val="bottom"/>
          </w:tcPr>
          <w:p>
            <w:pPr>
              <w:pStyle w:val="0"/>
              <w:jc w:val="center"/>
            </w:pPr>
            <w:r>
              <w:rPr>
                <w:sz w:val="20"/>
              </w:rPr>
              <w:t xml:space="preserve">75</w:t>
            </w:r>
          </w:p>
        </w:tc>
        <w:tc>
          <w:tcPr>
            <w:tcW w:w="2176" w:type="dxa"/>
            <w:vAlign w:val="bottom"/>
          </w:tcPr>
          <w:p>
            <w:pPr>
              <w:pStyle w:val="0"/>
              <w:jc w:val="center"/>
            </w:pPr>
            <w:r>
              <w:rPr>
                <w:sz w:val="20"/>
              </w:rPr>
              <w:t xml:space="preserve">100</w:t>
            </w:r>
          </w:p>
        </w:tc>
        <w:tc>
          <w:tcPr>
            <w:tcW w:w="2176" w:type="dxa"/>
            <w:vAlign w:val="bottom"/>
          </w:tcPr>
          <w:p>
            <w:pPr>
              <w:pStyle w:val="0"/>
              <w:jc w:val="center"/>
            </w:pPr>
            <w:r>
              <w:rPr>
                <w:sz w:val="20"/>
              </w:rPr>
              <w:t xml:space="preserve">75</w:t>
            </w:r>
          </w:p>
        </w:tc>
      </w:tr>
      <w:tr>
        <w:tc>
          <w:tcPr>
            <w:tcW w:w="2620" w:type="dxa"/>
          </w:tcPr>
          <w:p>
            <w:pPr>
              <w:pStyle w:val="0"/>
            </w:pPr>
            <w:r>
              <w:rPr>
                <w:sz w:val="20"/>
              </w:rPr>
              <w:t xml:space="preserve">Автомобильные дороги общей сети (край проезжей части)</w:t>
            </w:r>
          </w:p>
        </w:tc>
        <w:tc>
          <w:tcPr>
            <w:tcW w:w="2800" w:type="dxa"/>
            <w:vAlign w:val="bottom"/>
          </w:tcPr>
          <w:p>
            <w:pPr>
              <w:pStyle w:val="0"/>
              <w:jc w:val="center"/>
            </w:pPr>
            <w:r>
              <w:rPr>
                <w:sz w:val="20"/>
              </w:rPr>
              <w:t xml:space="preserve">50</w:t>
            </w:r>
          </w:p>
        </w:tc>
        <w:tc>
          <w:tcPr>
            <w:tcW w:w="1624" w:type="dxa"/>
            <w:vAlign w:val="bottom"/>
          </w:tcPr>
          <w:p>
            <w:pPr>
              <w:pStyle w:val="0"/>
              <w:jc w:val="center"/>
            </w:pPr>
            <w:r>
              <w:rPr>
                <w:sz w:val="20"/>
              </w:rPr>
              <w:t xml:space="preserve">50</w:t>
            </w:r>
          </w:p>
        </w:tc>
        <w:tc>
          <w:tcPr>
            <w:tcW w:w="2176" w:type="dxa"/>
            <w:vAlign w:val="bottom"/>
          </w:tcPr>
          <w:p>
            <w:pPr>
              <w:pStyle w:val="0"/>
              <w:jc w:val="center"/>
            </w:pPr>
            <w:r>
              <w:rPr>
                <w:sz w:val="20"/>
              </w:rPr>
              <w:t xml:space="preserve">50</w:t>
            </w:r>
          </w:p>
        </w:tc>
        <w:tc>
          <w:tcPr>
            <w:tcW w:w="2176" w:type="dxa"/>
            <w:vAlign w:val="bottom"/>
          </w:tcPr>
          <w:p>
            <w:pPr>
              <w:pStyle w:val="0"/>
              <w:jc w:val="center"/>
            </w:pPr>
            <w:r>
              <w:rPr>
                <w:sz w:val="20"/>
              </w:rPr>
              <w:t xml:space="preserve">50</w:t>
            </w:r>
          </w:p>
        </w:tc>
      </w:tr>
      <w:tr>
        <w:tc>
          <w:tcPr>
            <w:tcW w:w="2620" w:type="dxa"/>
          </w:tcPr>
          <w:p>
            <w:pPr>
              <w:pStyle w:val="0"/>
            </w:pPr>
            <w:r>
              <w:rPr>
                <w:sz w:val="20"/>
              </w:rPr>
              <w:t xml:space="preserve">Линии электропередачи (воздушные) высокого напряжения (от подошвы обвалования)</w:t>
            </w:r>
          </w:p>
        </w:tc>
        <w:tc>
          <w:tcPr>
            <w:tcW w:w="2800" w:type="dxa"/>
            <w:vAlign w:val="bottom"/>
          </w:tcPr>
          <w:p>
            <w:pPr>
              <w:pStyle w:val="0"/>
              <w:jc w:val="center"/>
            </w:pPr>
            <w:r>
              <w:rPr>
                <w:sz w:val="20"/>
              </w:rPr>
              <w:t xml:space="preserve">не менее 1,5 высоты опоры</w:t>
            </w:r>
          </w:p>
        </w:tc>
        <w:tc>
          <w:tcPr>
            <w:tcW w:w="1624" w:type="dxa"/>
            <w:vAlign w:val="bottom"/>
          </w:tcPr>
          <w:p>
            <w:pPr>
              <w:pStyle w:val="0"/>
              <w:jc w:val="center"/>
            </w:pPr>
            <w:r>
              <w:rPr>
                <w:sz w:val="20"/>
              </w:rPr>
              <w:t xml:space="preserve">не менее 1,5 высоты опоры</w:t>
            </w:r>
          </w:p>
        </w:tc>
        <w:tc>
          <w:tcPr>
            <w:tcW w:w="2176" w:type="dxa"/>
            <w:vAlign w:val="bottom"/>
          </w:tcPr>
          <w:p>
            <w:pPr>
              <w:pStyle w:val="0"/>
              <w:jc w:val="center"/>
            </w:pPr>
            <w:r>
              <w:rPr>
                <w:sz w:val="20"/>
              </w:rPr>
              <w:t xml:space="preserve">не менее 1,5 высоты опоры</w:t>
            </w:r>
          </w:p>
        </w:tc>
        <w:tc>
          <w:tcPr>
            <w:tcW w:w="2176" w:type="dxa"/>
            <w:vAlign w:val="bottom"/>
          </w:tcPr>
          <w:p>
            <w:pPr>
              <w:pStyle w:val="0"/>
              <w:jc w:val="center"/>
            </w:pPr>
            <w:r>
              <w:rPr>
                <w:sz w:val="20"/>
              </w:rPr>
              <w:t xml:space="preserve">не менее 1,5 высоты опоры</w:t>
            </w:r>
          </w:p>
        </w:tc>
      </w:tr>
      <w:tr>
        <w:tc>
          <w:tcPr>
            <w:tcW w:w="2620" w:type="dxa"/>
          </w:tcPr>
          <w:p>
            <w:pPr>
              <w:pStyle w:val="0"/>
            </w:pPr>
            <w:r>
              <w:rPr>
                <w:sz w:val="20"/>
              </w:rPr>
              <w:t xml:space="preserve">Границы территорий смежных организаций (до ограждения)</w:t>
            </w:r>
          </w:p>
        </w:tc>
        <w:tc>
          <w:tcPr>
            <w:tcW w:w="2800" w:type="dxa"/>
            <w:vAlign w:val="bottom"/>
          </w:tcPr>
          <w:p>
            <w:pPr>
              <w:pStyle w:val="0"/>
              <w:jc w:val="center"/>
            </w:pPr>
            <w:r>
              <w:rPr>
                <w:sz w:val="20"/>
              </w:rPr>
              <w:t xml:space="preserve">300</w:t>
            </w:r>
          </w:p>
        </w:tc>
        <w:tc>
          <w:tcPr>
            <w:tcW w:w="1624" w:type="dxa"/>
            <w:vAlign w:val="bottom"/>
          </w:tcPr>
          <w:p>
            <w:pPr>
              <w:pStyle w:val="0"/>
              <w:jc w:val="center"/>
            </w:pPr>
            <w:r>
              <w:rPr>
                <w:sz w:val="20"/>
              </w:rPr>
              <w:t xml:space="preserve">250</w:t>
            </w:r>
          </w:p>
        </w:tc>
        <w:tc>
          <w:tcPr>
            <w:tcW w:w="2176" w:type="dxa"/>
            <w:vAlign w:val="bottom"/>
          </w:tcPr>
          <w:p>
            <w:pPr>
              <w:pStyle w:val="0"/>
              <w:jc w:val="center"/>
            </w:pPr>
            <w:r>
              <w:rPr>
                <w:sz w:val="20"/>
              </w:rPr>
              <w:t xml:space="preserve">300</w:t>
            </w:r>
          </w:p>
        </w:tc>
        <w:tc>
          <w:tcPr>
            <w:tcW w:w="2176" w:type="dxa"/>
            <w:vAlign w:val="bottom"/>
          </w:tcPr>
          <w:p>
            <w:pPr>
              <w:pStyle w:val="0"/>
              <w:jc w:val="center"/>
            </w:pPr>
            <w:r>
              <w:rPr>
                <w:sz w:val="20"/>
              </w:rPr>
              <w:t xml:space="preserve">200</w:t>
            </w:r>
          </w:p>
        </w:tc>
      </w:tr>
      <w:tr>
        <w:tc>
          <w:tcPr>
            <w:tcW w:w="2620" w:type="dxa"/>
          </w:tcPr>
          <w:p>
            <w:pPr>
              <w:pStyle w:val="0"/>
            </w:pPr>
            <w:r>
              <w:rPr>
                <w:sz w:val="20"/>
              </w:rPr>
              <w:t xml:space="preserve">Жилые и общественные здания</w:t>
            </w:r>
          </w:p>
        </w:tc>
        <w:tc>
          <w:tcPr>
            <w:tcW w:w="2800" w:type="dxa"/>
          </w:tcPr>
          <w:p>
            <w:pPr>
              <w:pStyle w:val="0"/>
              <w:jc w:val="center"/>
            </w:pPr>
            <w:r>
              <w:rPr>
                <w:sz w:val="20"/>
              </w:rPr>
              <w:t xml:space="preserve">вне пределов санитарно-защитной зоны, но не менее 500</w:t>
            </w:r>
          </w:p>
        </w:tc>
        <w:tc>
          <w:tcPr>
            <w:tcW w:w="1624" w:type="dxa"/>
          </w:tcPr>
          <w:p>
            <w:pPr>
              <w:pStyle w:val="0"/>
              <w:jc w:val="center"/>
            </w:pPr>
            <w:r>
              <w:rPr>
                <w:sz w:val="20"/>
              </w:rPr>
              <w:t xml:space="preserve">вне пределов санитарно-защитной зоны, но не менее 300</w:t>
            </w:r>
          </w:p>
        </w:tc>
        <w:tc>
          <w:tcPr>
            <w:tcW w:w="2176" w:type="dxa"/>
          </w:tcPr>
          <w:p>
            <w:pPr>
              <w:pStyle w:val="0"/>
              <w:jc w:val="center"/>
            </w:pPr>
            <w:r>
              <w:rPr>
                <w:sz w:val="20"/>
              </w:rPr>
              <w:t xml:space="preserve">вне пределов санитарно-защитной зоны, но не менее 500</w:t>
            </w:r>
          </w:p>
        </w:tc>
        <w:tc>
          <w:tcPr>
            <w:tcW w:w="2176" w:type="dxa"/>
          </w:tcPr>
          <w:p>
            <w:pPr>
              <w:pStyle w:val="0"/>
              <w:jc w:val="center"/>
            </w:pPr>
            <w:r>
              <w:rPr>
                <w:sz w:val="20"/>
              </w:rPr>
              <w:t xml:space="preserve">вне пределов санитарно-защитной зоны, но не менее 300</w:t>
            </w:r>
          </w:p>
        </w:tc>
      </w:tr>
      <w:tr>
        <w:tc>
          <w:tcPr>
            <w:tcW w:w="2620" w:type="dxa"/>
          </w:tcPr>
          <w:p>
            <w:pPr>
              <w:pStyle w:val="0"/>
            </w:pPr>
            <w:r>
              <w:rPr>
                <w:sz w:val="20"/>
              </w:rPr>
              <w:t xml:space="preserve">ТЭЦ</w:t>
            </w:r>
          </w:p>
        </w:tc>
        <w:tc>
          <w:tcPr>
            <w:tcW w:w="2800" w:type="dxa"/>
            <w:vAlign w:val="bottom"/>
          </w:tcPr>
          <w:p>
            <w:pPr>
              <w:pStyle w:val="0"/>
              <w:jc w:val="center"/>
            </w:pPr>
            <w:r>
              <w:rPr>
                <w:sz w:val="20"/>
              </w:rPr>
              <w:t xml:space="preserve">200</w:t>
            </w:r>
          </w:p>
        </w:tc>
        <w:tc>
          <w:tcPr>
            <w:tcW w:w="1624" w:type="dxa"/>
            <w:vAlign w:val="bottom"/>
          </w:tcPr>
          <w:p>
            <w:pPr>
              <w:pStyle w:val="0"/>
              <w:jc w:val="center"/>
            </w:pPr>
            <w:r>
              <w:rPr>
                <w:sz w:val="20"/>
              </w:rPr>
              <w:t xml:space="preserve">200</w:t>
            </w:r>
          </w:p>
        </w:tc>
        <w:tc>
          <w:tcPr>
            <w:tcW w:w="2176" w:type="dxa"/>
            <w:vAlign w:val="bottom"/>
          </w:tcPr>
          <w:p>
            <w:pPr>
              <w:pStyle w:val="0"/>
              <w:jc w:val="center"/>
            </w:pPr>
            <w:r>
              <w:rPr>
                <w:sz w:val="20"/>
              </w:rPr>
              <w:t xml:space="preserve">200</w:t>
            </w:r>
          </w:p>
        </w:tc>
        <w:tc>
          <w:tcPr>
            <w:tcW w:w="2176" w:type="dxa"/>
            <w:vAlign w:val="bottom"/>
          </w:tcPr>
          <w:p>
            <w:pPr>
              <w:pStyle w:val="0"/>
              <w:jc w:val="center"/>
            </w:pPr>
            <w:r>
              <w:rPr>
                <w:sz w:val="20"/>
              </w:rPr>
              <w:t xml:space="preserve">200</w:t>
            </w:r>
          </w:p>
        </w:tc>
      </w:tr>
      <w:tr>
        <w:tc>
          <w:tcPr>
            <w:tcW w:w="2620" w:type="dxa"/>
          </w:tcPr>
          <w:p>
            <w:pPr>
              <w:pStyle w:val="0"/>
            </w:pPr>
            <w:r>
              <w:rPr>
                <w:sz w:val="20"/>
              </w:rPr>
              <w:t xml:space="preserve">Склады лесоматериалов и твердого топлива</w:t>
            </w:r>
          </w:p>
        </w:tc>
        <w:tc>
          <w:tcPr>
            <w:tcW w:w="2800" w:type="dxa"/>
            <w:vAlign w:val="bottom"/>
          </w:tcPr>
          <w:p>
            <w:pPr>
              <w:pStyle w:val="0"/>
              <w:jc w:val="center"/>
            </w:pPr>
            <w:r>
              <w:rPr>
                <w:sz w:val="20"/>
              </w:rPr>
              <w:t xml:space="preserve">200</w:t>
            </w:r>
          </w:p>
        </w:tc>
        <w:tc>
          <w:tcPr>
            <w:tcW w:w="1624" w:type="dxa"/>
            <w:vAlign w:val="bottom"/>
          </w:tcPr>
          <w:p>
            <w:pPr>
              <w:pStyle w:val="0"/>
              <w:jc w:val="center"/>
            </w:pPr>
            <w:r>
              <w:rPr>
                <w:sz w:val="20"/>
              </w:rPr>
              <w:t xml:space="preserve">150</w:t>
            </w:r>
          </w:p>
        </w:tc>
        <w:tc>
          <w:tcPr>
            <w:tcW w:w="2176" w:type="dxa"/>
            <w:vAlign w:val="bottom"/>
          </w:tcPr>
          <w:p>
            <w:pPr>
              <w:pStyle w:val="0"/>
              <w:jc w:val="center"/>
            </w:pPr>
            <w:r>
              <w:rPr>
                <w:sz w:val="20"/>
              </w:rPr>
              <w:t xml:space="preserve">200</w:t>
            </w:r>
          </w:p>
        </w:tc>
        <w:tc>
          <w:tcPr>
            <w:tcW w:w="2176" w:type="dxa"/>
            <w:vAlign w:val="bottom"/>
          </w:tcPr>
          <w:p>
            <w:pPr>
              <w:pStyle w:val="0"/>
              <w:jc w:val="center"/>
            </w:pPr>
            <w:r>
              <w:rPr>
                <w:sz w:val="20"/>
              </w:rPr>
              <w:t xml:space="preserve">150</w:t>
            </w:r>
          </w:p>
        </w:tc>
      </w:tr>
      <w:tr>
        <w:tblPrEx>
          <w:tblBorders>
            <w:insideH w:val="nil"/>
          </w:tblBorders>
        </w:tblPrEx>
        <w:tc>
          <w:tcPr>
            <w:tcW w:w="2620" w:type="dxa"/>
            <w:tcBorders>
              <w:bottom w:val="nil"/>
            </w:tcBorders>
          </w:tcPr>
          <w:p>
            <w:pPr>
              <w:pStyle w:val="0"/>
            </w:pPr>
            <w:r>
              <w:rPr>
                <w:sz w:val="20"/>
              </w:rPr>
              <w:t xml:space="preserve">Лесничества с лесными насаждениями хвойных пород (от ограждения территории организации или склада)</w:t>
            </w:r>
          </w:p>
        </w:tc>
        <w:tc>
          <w:tcPr>
            <w:tcW w:w="2800" w:type="dxa"/>
            <w:vAlign w:val="bottom"/>
            <w:tcBorders>
              <w:bottom w:val="nil"/>
            </w:tcBorders>
          </w:tcPr>
          <w:p>
            <w:pPr>
              <w:pStyle w:val="0"/>
              <w:jc w:val="center"/>
            </w:pPr>
            <w:r>
              <w:rPr>
                <w:sz w:val="20"/>
              </w:rPr>
              <w:t xml:space="preserve">100</w:t>
            </w:r>
          </w:p>
        </w:tc>
        <w:tc>
          <w:tcPr>
            <w:tcW w:w="1624" w:type="dxa"/>
            <w:vAlign w:val="bottom"/>
            <w:tcBorders>
              <w:bottom w:val="nil"/>
            </w:tcBorders>
          </w:tcPr>
          <w:p>
            <w:pPr>
              <w:pStyle w:val="0"/>
              <w:jc w:val="center"/>
            </w:pPr>
            <w:r>
              <w:rPr>
                <w:sz w:val="20"/>
              </w:rPr>
              <w:t xml:space="preserve">75</w:t>
            </w:r>
          </w:p>
        </w:tc>
        <w:tc>
          <w:tcPr>
            <w:tcW w:w="2176" w:type="dxa"/>
            <w:vAlign w:val="bottom"/>
            <w:tcBorders>
              <w:bottom w:val="nil"/>
            </w:tcBorders>
          </w:tcPr>
          <w:p>
            <w:pPr>
              <w:pStyle w:val="0"/>
              <w:jc w:val="center"/>
            </w:pPr>
            <w:r>
              <w:rPr>
                <w:sz w:val="20"/>
              </w:rPr>
              <w:t xml:space="preserve">100</w:t>
            </w:r>
          </w:p>
        </w:tc>
        <w:tc>
          <w:tcPr>
            <w:tcW w:w="2176" w:type="dxa"/>
            <w:vAlign w:val="bottom"/>
            <w:tcBorders>
              <w:bottom w:val="nil"/>
            </w:tcBorders>
          </w:tcPr>
          <w:p>
            <w:pPr>
              <w:pStyle w:val="0"/>
              <w:jc w:val="center"/>
            </w:pPr>
            <w:r>
              <w:rPr>
                <w:sz w:val="20"/>
              </w:rPr>
              <w:t xml:space="preserve">75</w:t>
            </w:r>
          </w:p>
        </w:tc>
      </w:tr>
      <w:tr>
        <w:tblPrEx>
          <w:tblBorders>
            <w:insideH w:val="nil"/>
          </w:tblBorders>
        </w:tblPrEx>
        <w:tc>
          <w:tcPr>
            <w:gridSpan w:val="5"/>
            <w:tcW w:w="11396" w:type="dxa"/>
            <w:tcBorders>
              <w:top w:val="nil"/>
            </w:tcBorders>
          </w:tcPr>
          <w:p>
            <w:pPr>
              <w:pStyle w:val="0"/>
              <w:jc w:val="both"/>
            </w:pPr>
            <w:r>
              <w:rPr>
                <w:sz w:val="20"/>
              </w:rPr>
              <w:t xml:space="preserve">(в ред. Федеральных законов от 10.07.2012 </w:t>
            </w:r>
            <w:hyperlink w:history="0" r:id="rId54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27.12.2018 </w:t>
            </w:r>
            <w:hyperlink w:history="0" r:id="rId542"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rPr>
              <w:t xml:space="preserve">)</w:t>
            </w:r>
          </w:p>
        </w:tc>
      </w:tr>
      <w:tr>
        <w:tblPrEx>
          <w:tblBorders>
            <w:insideH w:val="nil"/>
          </w:tblBorders>
        </w:tblPrEx>
        <w:tc>
          <w:tcPr>
            <w:tcW w:w="2620" w:type="dxa"/>
            <w:tcBorders>
              <w:bottom w:val="nil"/>
            </w:tcBorders>
          </w:tcPr>
          <w:p>
            <w:pPr>
              <w:pStyle w:val="0"/>
            </w:pPr>
            <w:r>
              <w:rPr>
                <w:sz w:val="20"/>
              </w:rPr>
              <w:t xml:space="preserve">Лесничества с лесными насаждениями лиственных пород (от ограждения территории организации или склада)</w:t>
            </w:r>
          </w:p>
        </w:tc>
        <w:tc>
          <w:tcPr>
            <w:tcW w:w="2800" w:type="dxa"/>
            <w:vAlign w:val="bottom"/>
            <w:tcBorders>
              <w:bottom w:val="nil"/>
            </w:tcBorders>
          </w:tcPr>
          <w:p>
            <w:pPr>
              <w:pStyle w:val="0"/>
              <w:jc w:val="center"/>
            </w:pPr>
            <w:r>
              <w:rPr>
                <w:sz w:val="20"/>
              </w:rPr>
              <w:t xml:space="preserve">20</w:t>
            </w:r>
          </w:p>
        </w:tc>
        <w:tc>
          <w:tcPr>
            <w:tcW w:w="1624" w:type="dxa"/>
            <w:vAlign w:val="bottom"/>
            <w:tcBorders>
              <w:bottom w:val="nil"/>
            </w:tcBorders>
          </w:tcPr>
          <w:p>
            <w:pPr>
              <w:pStyle w:val="0"/>
              <w:jc w:val="center"/>
            </w:pPr>
            <w:r>
              <w:rPr>
                <w:sz w:val="20"/>
              </w:rPr>
              <w:t xml:space="preserve">20</w:t>
            </w:r>
          </w:p>
        </w:tc>
        <w:tc>
          <w:tcPr>
            <w:tcW w:w="2176" w:type="dxa"/>
            <w:vAlign w:val="bottom"/>
            <w:tcBorders>
              <w:bottom w:val="nil"/>
            </w:tcBorders>
          </w:tcPr>
          <w:p>
            <w:pPr>
              <w:pStyle w:val="0"/>
              <w:jc w:val="center"/>
            </w:pPr>
            <w:r>
              <w:rPr>
                <w:sz w:val="20"/>
              </w:rPr>
              <w:t xml:space="preserve">20</w:t>
            </w:r>
          </w:p>
        </w:tc>
        <w:tc>
          <w:tcPr>
            <w:tcW w:w="2176" w:type="dxa"/>
            <w:vAlign w:val="bottom"/>
            <w:tcBorders>
              <w:bottom w:val="nil"/>
            </w:tcBorders>
          </w:tcPr>
          <w:p>
            <w:pPr>
              <w:pStyle w:val="0"/>
              <w:jc w:val="center"/>
            </w:pPr>
            <w:r>
              <w:rPr>
                <w:sz w:val="20"/>
              </w:rPr>
              <w:t xml:space="preserve">20</w:t>
            </w:r>
          </w:p>
        </w:tc>
      </w:tr>
      <w:tr>
        <w:tblPrEx>
          <w:tblBorders>
            <w:insideH w:val="nil"/>
          </w:tblBorders>
        </w:tblPrEx>
        <w:tc>
          <w:tcPr>
            <w:gridSpan w:val="5"/>
            <w:tcW w:w="11396" w:type="dxa"/>
            <w:tcBorders>
              <w:top w:val="nil"/>
            </w:tcBorders>
          </w:tcPr>
          <w:p>
            <w:pPr>
              <w:pStyle w:val="0"/>
              <w:jc w:val="both"/>
            </w:pPr>
            <w:r>
              <w:rPr>
                <w:sz w:val="20"/>
              </w:rPr>
              <w:t xml:space="preserve">(в ред. Федеральных законов от 10.07.2012 </w:t>
            </w:r>
            <w:hyperlink w:history="0" r:id="rId54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27.12.2018 </w:t>
            </w:r>
            <w:hyperlink w:history="0" r:id="rId544"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rPr>
              <w:t xml:space="preserve">)</w:t>
            </w:r>
          </w:p>
        </w:tc>
      </w:tr>
      <w:tr>
        <w:tc>
          <w:tcPr>
            <w:tcW w:w="2620" w:type="dxa"/>
          </w:tcPr>
          <w:p>
            <w:pPr>
              <w:pStyle w:val="0"/>
            </w:pPr>
            <w:r>
              <w:rPr>
                <w:sz w:val="20"/>
              </w:rPr>
              <w:t xml:space="preserve">Внутризаводские наземные и подземные технологические трубопроводы, не относящиеся к складу</w:t>
            </w:r>
          </w:p>
        </w:tc>
        <w:tc>
          <w:tcPr>
            <w:tcW w:w="2800" w:type="dxa"/>
            <w:vAlign w:val="bottom"/>
          </w:tcPr>
          <w:p>
            <w:pPr>
              <w:pStyle w:val="0"/>
              <w:jc w:val="center"/>
            </w:pPr>
            <w:r>
              <w:rPr>
                <w:sz w:val="20"/>
              </w:rPr>
              <w:t xml:space="preserve">вне обвалования, но не ближе 20</w:t>
            </w:r>
          </w:p>
        </w:tc>
        <w:tc>
          <w:tcPr>
            <w:tcW w:w="1624" w:type="dxa"/>
            <w:vAlign w:val="bottom"/>
          </w:tcPr>
          <w:p>
            <w:pPr>
              <w:pStyle w:val="0"/>
              <w:jc w:val="center"/>
            </w:pPr>
            <w:r>
              <w:rPr>
                <w:sz w:val="20"/>
              </w:rPr>
              <w:t xml:space="preserve">не ближе 15</w:t>
            </w:r>
          </w:p>
        </w:tc>
        <w:tc>
          <w:tcPr>
            <w:tcW w:w="2176" w:type="dxa"/>
            <w:vAlign w:val="bottom"/>
          </w:tcPr>
          <w:p>
            <w:pPr>
              <w:pStyle w:val="0"/>
              <w:jc w:val="center"/>
            </w:pPr>
            <w:r>
              <w:rPr>
                <w:sz w:val="20"/>
              </w:rPr>
              <w:t xml:space="preserve">вне обвалования, но не ближе 20</w:t>
            </w:r>
          </w:p>
        </w:tc>
        <w:tc>
          <w:tcPr>
            <w:tcW w:w="2176" w:type="dxa"/>
            <w:vAlign w:val="bottom"/>
          </w:tcPr>
          <w:p>
            <w:pPr>
              <w:pStyle w:val="0"/>
              <w:jc w:val="center"/>
            </w:pPr>
            <w:r>
              <w:rPr>
                <w:sz w:val="20"/>
              </w:rPr>
              <w:t xml:space="preserve">не ближе 15</w:t>
            </w:r>
          </w:p>
        </w:tc>
      </w:tr>
      <w:tr>
        <w:tblPrEx>
          <w:tblBorders>
            <w:insideH w:val="nil"/>
          </w:tblBorders>
        </w:tblPrEx>
        <w:tc>
          <w:tcPr>
            <w:tcW w:w="2620" w:type="dxa"/>
            <w:tcBorders>
              <w:bottom w:val="nil"/>
            </w:tcBorders>
          </w:tcPr>
          <w:p>
            <w:pPr>
              <w:pStyle w:val="0"/>
            </w:pPr>
            <w:r>
              <w:rPr>
                <w:sz w:val="20"/>
              </w:rPr>
              <w:t xml:space="preserve">Здания и сооружения организации в производственной зоне при объеме резервуаров, кубические метры:</w:t>
            </w:r>
          </w:p>
        </w:tc>
        <w:tc>
          <w:tcPr>
            <w:tcW w:w="2800" w:type="dxa"/>
            <w:tcBorders>
              <w:bottom w:val="nil"/>
            </w:tcBorders>
          </w:tcPr>
          <w:p>
            <w:pPr>
              <w:pStyle w:val="0"/>
              <w:jc w:val="center"/>
            </w:pPr>
            <w:r>
              <w:rPr>
                <w:sz w:val="20"/>
              </w:rPr>
            </w:r>
          </w:p>
        </w:tc>
        <w:tc>
          <w:tcPr>
            <w:tcW w:w="1624" w:type="dxa"/>
            <w:tcBorders>
              <w:bottom w:val="nil"/>
            </w:tcBorders>
          </w:tcPr>
          <w:p>
            <w:pPr>
              <w:pStyle w:val="0"/>
              <w:jc w:val="center"/>
            </w:pPr>
            <w:r>
              <w:rPr>
                <w:sz w:val="20"/>
              </w:rPr>
            </w:r>
          </w:p>
        </w:tc>
        <w:tc>
          <w:tcPr>
            <w:tcW w:w="2176" w:type="dxa"/>
            <w:tcBorders>
              <w:bottom w:val="nil"/>
            </w:tcBorders>
          </w:tcPr>
          <w:p>
            <w:pPr>
              <w:pStyle w:val="0"/>
              <w:jc w:val="center"/>
            </w:pPr>
            <w:r>
              <w:rPr>
                <w:sz w:val="20"/>
              </w:rPr>
            </w:r>
          </w:p>
        </w:tc>
        <w:tc>
          <w:tcPr>
            <w:tcW w:w="2176" w:type="dxa"/>
            <w:tcBorders>
              <w:bottom w:val="nil"/>
            </w:tcBorders>
          </w:tcPr>
          <w:p>
            <w:pPr>
              <w:pStyle w:val="0"/>
              <w:jc w:val="center"/>
            </w:pPr>
            <w:r>
              <w:rPr>
                <w:sz w:val="20"/>
              </w:rPr>
            </w:r>
          </w:p>
        </w:tc>
      </w:tr>
      <w:tr>
        <w:tblPrEx>
          <w:tblBorders>
            <w:insideH w:val="nil"/>
          </w:tblBorders>
        </w:tblPrEx>
        <w:tc>
          <w:tcPr>
            <w:gridSpan w:val="5"/>
            <w:tcW w:w="11396" w:type="dxa"/>
            <w:tcBorders>
              <w:top w:val="nil"/>
              <w:bottom w:val="nil"/>
            </w:tcBorders>
          </w:tcPr>
          <w:p>
            <w:pPr>
              <w:pStyle w:val="0"/>
              <w:jc w:val="both"/>
            </w:pPr>
            <w:r>
              <w:rPr>
                <w:sz w:val="20"/>
              </w:rPr>
              <w:t xml:space="preserve">(в ред. Федерального </w:t>
            </w:r>
            <w:hyperlink w:history="0" r:id="rId54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tc>
      </w:tr>
      <w:tr>
        <w:tblPrEx>
          <w:tblBorders>
            <w:insideH w:val="nil"/>
          </w:tblBorders>
        </w:tblPrEx>
        <w:tc>
          <w:tcPr>
            <w:tcW w:w="2620" w:type="dxa"/>
            <w:tcBorders>
              <w:top w:val="nil"/>
              <w:bottom w:val="nil"/>
            </w:tcBorders>
          </w:tcPr>
          <w:p>
            <w:pPr>
              <w:pStyle w:val="0"/>
              <w:ind w:left="283"/>
            </w:pPr>
            <w:r>
              <w:rPr>
                <w:sz w:val="20"/>
              </w:rPr>
              <w:t xml:space="preserve">2000 - 5000</w:t>
            </w:r>
          </w:p>
        </w:tc>
        <w:tc>
          <w:tcPr>
            <w:tcW w:w="2800" w:type="dxa"/>
            <w:tcBorders>
              <w:top w:val="nil"/>
              <w:bottom w:val="nil"/>
            </w:tcBorders>
          </w:tcPr>
          <w:p>
            <w:pPr>
              <w:pStyle w:val="0"/>
              <w:jc w:val="center"/>
            </w:pPr>
            <w:r>
              <w:rPr>
                <w:sz w:val="20"/>
              </w:rPr>
              <w:t xml:space="preserve">150</w:t>
            </w:r>
          </w:p>
        </w:tc>
        <w:tc>
          <w:tcPr>
            <w:tcW w:w="1624" w:type="dxa"/>
            <w:tcBorders>
              <w:top w:val="nil"/>
              <w:bottom w:val="nil"/>
            </w:tcBorders>
          </w:tcPr>
          <w:p>
            <w:pPr>
              <w:pStyle w:val="0"/>
              <w:jc w:val="center"/>
            </w:pPr>
            <w:r>
              <w:rPr>
                <w:sz w:val="20"/>
              </w:rPr>
              <w:t xml:space="preserve">120</w:t>
            </w:r>
          </w:p>
        </w:tc>
        <w:tc>
          <w:tcPr>
            <w:tcW w:w="2176" w:type="dxa"/>
            <w:tcBorders>
              <w:top w:val="nil"/>
              <w:bottom w:val="nil"/>
            </w:tcBorders>
          </w:tcPr>
          <w:p>
            <w:pPr>
              <w:pStyle w:val="0"/>
              <w:jc w:val="center"/>
            </w:pPr>
            <w:r>
              <w:rPr>
                <w:sz w:val="20"/>
              </w:rPr>
              <w:t xml:space="preserve">150</w:t>
            </w:r>
          </w:p>
        </w:tc>
        <w:tc>
          <w:tcPr>
            <w:tcW w:w="2176" w:type="dxa"/>
            <w:tcBorders>
              <w:top w:val="nil"/>
              <w:bottom w:val="nil"/>
            </w:tcBorders>
          </w:tcPr>
          <w:p>
            <w:pPr>
              <w:pStyle w:val="0"/>
              <w:jc w:val="center"/>
            </w:pPr>
            <w:r>
              <w:rPr>
                <w:sz w:val="20"/>
              </w:rPr>
              <w:t xml:space="preserve">100</w:t>
            </w:r>
          </w:p>
        </w:tc>
      </w:tr>
      <w:tr>
        <w:tblPrEx>
          <w:tblBorders>
            <w:insideH w:val="nil"/>
          </w:tblBorders>
        </w:tblPrEx>
        <w:tc>
          <w:tcPr>
            <w:tcW w:w="2620" w:type="dxa"/>
            <w:tcBorders>
              <w:top w:val="nil"/>
            </w:tcBorders>
          </w:tcPr>
          <w:p>
            <w:pPr>
              <w:pStyle w:val="0"/>
              <w:ind w:left="283"/>
            </w:pPr>
            <w:r>
              <w:rPr>
                <w:sz w:val="20"/>
              </w:rPr>
              <w:t xml:space="preserve">6000 - 10 000</w:t>
            </w:r>
          </w:p>
        </w:tc>
        <w:tc>
          <w:tcPr>
            <w:tcW w:w="2800" w:type="dxa"/>
            <w:tcBorders>
              <w:top w:val="nil"/>
            </w:tcBorders>
          </w:tcPr>
          <w:p>
            <w:pPr>
              <w:pStyle w:val="0"/>
              <w:jc w:val="center"/>
            </w:pPr>
            <w:r>
              <w:rPr>
                <w:sz w:val="20"/>
              </w:rPr>
              <w:t xml:space="preserve">250</w:t>
            </w:r>
          </w:p>
        </w:tc>
        <w:tc>
          <w:tcPr>
            <w:tcW w:w="1624" w:type="dxa"/>
            <w:tcBorders>
              <w:top w:val="nil"/>
            </w:tcBorders>
          </w:tcPr>
          <w:p>
            <w:pPr>
              <w:pStyle w:val="0"/>
              <w:jc w:val="center"/>
            </w:pPr>
            <w:r>
              <w:rPr>
                <w:sz w:val="20"/>
              </w:rPr>
              <w:t xml:space="preserve">200</w:t>
            </w:r>
          </w:p>
        </w:tc>
        <w:tc>
          <w:tcPr>
            <w:tcW w:w="2176" w:type="dxa"/>
            <w:tcBorders>
              <w:top w:val="nil"/>
            </w:tcBorders>
          </w:tcPr>
          <w:p>
            <w:pPr>
              <w:pStyle w:val="0"/>
              <w:jc w:val="center"/>
            </w:pPr>
            <w:r>
              <w:rPr>
                <w:sz w:val="20"/>
              </w:rPr>
              <w:t xml:space="preserve">200</w:t>
            </w:r>
          </w:p>
        </w:tc>
        <w:tc>
          <w:tcPr>
            <w:tcW w:w="2176" w:type="dxa"/>
            <w:tcBorders>
              <w:top w:val="nil"/>
            </w:tcBorders>
          </w:tcPr>
          <w:p>
            <w:pPr>
              <w:pStyle w:val="0"/>
              <w:jc w:val="center"/>
            </w:pPr>
            <w:r>
              <w:rPr>
                <w:sz w:val="20"/>
              </w:rPr>
              <w:t xml:space="preserve">125</w:t>
            </w:r>
          </w:p>
        </w:tc>
      </w:tr>
      <w:tr>
        <w:tc>
          <w:tcPr>
            <w:tcW w:w="2620" w:type="dxa"/>
          </w:tcPr>
          <w:p>
            <w:pPr>
              <w:pStyle w:val="0"/>
            </w:pPr>
            <w:r>
              <w:rPr>
                <w:sz w:val="20"/>
              </w:rPr>
              <w:t xml:space="preserve">Факельная установка (до ствола факела)</w:t>
            </w:r>
          </w:p>
        </w:tc>
        <w:tc>
          <w:tcPr>
            <w:tcW w:w="2800" w:type="dxa"/>
            <w:vAlign w:val="bottom"/>
          </w:tcPr>
          <w:p>
            <w:pPr>
              <w:pStyle w:val="0"/>
              <w:jc w:val="center"/>
            </w:pPr>
            <w:r>
              <w:rPr>
                <w:sz w:val="20"/>
              </w:rPr>
              <w:t xml:space="preserve">150</w:t>
            </w:r>
          </w:p>
        </w:tc>
        <w:tc>
          <w:tcPr>
            <w:tcW w:w="1624" w:type="dxa"/>
            <w:vAlign w:val="bottom"/>
          </w:tcPr>
          <w:p>
            <w:pPr>
              <w:pStyle w:val="0"/>
              <w:jc w:val="center"/>
            </w:pPr>
            <w:r>
              <w:rPr>
                <w:sz w:val="20"/>
              </w:rPr>
              <w:t xml:space="preserve">100</w:t>
            </w:r>
          </w:p>
        </w:tc>
        <w:tc>
          <w:tcPr>
            <w:tcW w:w="2176" w:type="dxa"/>
            <w:vAlign w:val="bottom"/>
          </w:tcPr>
          <w:p>
            <w:pPr>
              <w:pStyle w:val="0"/>
              <w:jc w:val="center"/>
            </w:pPr>
            <w:r>
              <w:rPr>
                <w:sz w:val="20"/>
              </w:rPr>
              <w:t xml:space="preserve">150</w:t>
            </w:r>
          </w:p>
        </w:tc>
        <w:tc>
          <w:tcPr>
            <w:tcW w:w="2176" w:type="dxa"/>
            <w:vAlign w:val="bottom"/>
          </w:tcPr>
          <w:p>
            <w:pPr>
              <w:pStyle w:val="0"/>
              <w:jc w:val="center"/>
            </w:pPr>
            <w:r>
              <w:rPr>
                <w:sz w:val="20"/>
              </w:rPr>
              <w:t xml:space="preserve">200</w:t>
            </w:r>
          </w:p>
        </w:tc>
      </w:tr>
      <w:tr>
        <w:tblPrEx>
          <w:tblBorders>
            <w:insideH w:val="nil"/>
          </w:tblBorders>
        </w:tblPrEx>
        <w:tc>
          <w:tcPr>
            <w:tcW w:w="2620" w:type="dxa"/>
            <w:tcBorders>
              <w:bottom w:val="nil"/>
            </w:tcBorders>
          </w:tcPr>
          <w:p>
            <w:pPr>
              <w:pStyle w:val="0"/>
              <w:jc w:val="both"/>
            </w:pPr>
            <w:r>
              <w:rPr>
                <w:sz w:val="20"/>
              </w:rPr>
              <w:t xml:space="preserve">Здания и сооружения в зоне, прилегающей к территории организации (административной зоне)</w:t>
            </w:r>
          </w:p>
        </w:tc>
        <w:tc>
          <w:tcPr>
            <w:tcW w:w="2800" w:type="dxa"/>
            <w:vAlign w:val="bottom"/>
            <w:tcBorders>
              <w:bottom w:val="nil"/>
            </w:tcBorders>
          </w:tcPr>
          <w:p>
            <w:pPr>
              <w:pStyle w:val="0"/>
              <w:jc w:val="center"/>
            </w:pPr>
            <w:r>
              <w:rPr>
                <w:sz w:val="20"/>
              </w:rPr>
              <w:t xml:space="preserve">250</w:t>
            </w:r>
          </w:p>
        </w:tc>
        <w:tc>
          <w:tcPr>
            <w:tcW w:w="1624" w:type="dxa"/>
            <w:vAlign w:val="bottom"/>
            <w:tcBorders>
              <w:bottom w:val="nil"/>
            </w:tcBorders>
          </w:tcPr>
          <w:p>
            <w:pPr>
              <w:pStyle w:val="0"/>
              <w:jc w:val="center"/>
            </w:pPr>
            <w:r>
              <w:rPr>
                <w:sz w:val="20"/>
              </w:rPr>
              <w:t xml:space="preserve">200</w:t>
            </w:r>
          </w:p>
        </w:tc>
        <w:tc>
          <w:tcPr>
            <w:tcW w:w="2176" w:type="dxa"/>
            <w:vAlign w:val="bottom"/>
            <w:tcBorders>
              <w:bottom w:val="nil"/>
            </w:tcBorders>
          </w:tcPr>
          <w:p>
            <w:pPr>
              <w:pStyle w:val="0"/>
              <w:jc w:val="center"/>
            </w:pPr>
            <w:r>
              <w:rPr>
                <w:sz w:val="20"/>
              </w:rPr>
              <w:t xml:space="preserve">250</w:t>
            </w:r>
          </w:p>
        </w:tc>
        <w:tc>
          <w:tcPr>
            <w:tcW w:w="2176" w:type="dxa"/>
            <w:vAlign w:val="bottom"/>
            <w:tcBorders>
              <w:bottom w:val="nil"/>
            </w:tcBorders>
          </w:tcPr>
          <w:p>
            <w:pPr>
              <w:pStyle w:val="0"/>
              <w:jc w:val="center"/>
            </w:pPr>
            <w:r>
              <w:rPr>
                <w:sz w:val="20"/>
              </w:rPr>
              <w:t xml:space="preserve">200</w:t>
            </w:r>
          </w:p>
        </w:tc>
      </w:tr>
      <w:tr>
        <w:tblPrEx>
          <w:tblBorders>
            <w:insideH w:val="nil"/>
          </w:tblBorders>
        </w:tblPrEx>
        <w:tc>
          <w:tcPr>
            <w:gridSpan w:val="5"/>
            <w:tcW w:w="11396" w:type="dxa"/>
            <w:tcBorders>
              <w:top w:val="nil"/>
            </w:tcBorders>
          </w:tcPr>
          <w:p>
            <w:pPr>
              <w:pStyle w:val="0"/>
              <w:jc w:val="both"/>
            </w:pPr>
            <w:r>
              <w:rPr>
                <w:sz w:val="20"/>
              </w:rPr>
              <w:t xml:space="preserve">(в ред. Федерального </w:t>
            </w:r>
            <w:hyperlink w:history="0" r:id="rId54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tc>
      </w:tr>
    </w:tbl>
    <w:p>
      <w:pPr>
        <w:pStyle w:val="0"/>
        <w:ind w:firstLine="540"/>
        <w:jc w:val="both"/>
      </w:pPr>
      <w:r>
        <w:rPr>
          <w:sz w:val="20"/>
        </w:rPr>
      </w:r>
    </w:p>
    <w:bookmarkStart w:id="2617" w:name="P2617"/>
    <w:bookmarkEnd w:id="2617"/>
    <w:p>
      <w:pPr>
        <w:pStyle w:val="0"/>
        <w:outlineLvl w:val="1"/>
        <w:jc w:val="center"/>
      </w:pPr>
      <w:r>
        <w:rPr>
          <w:sz w:val="20"/>
        </w:rPr>
        <w:t xml:space="preserve">Таблица 18</w:t>
      </w:r>
    </w:p>
    <w:p>
      <w:pPr>
        <w:pStyle w:val="0"/>
        <w:jc w:val="right"/>
      </w:pPr>
      <w:r>
        <w:rPr>
          <w:sz w:val="20"/>
        </w:rPr>
      </w:r>
    </w:p>
    <w:bookmarkStart w:id="2619" w:name="P2619"/>
    <w:bookmarkEnd w:id="2619"/>
    <w:p>
      <w:pPr>
        <w:pStyle w:val="2"/>
        <w:jc w:val="center"/>
      </w:pPr>
      <w:r>
        <w:rPr>
          <w:sz w:val="20"/>
        </w:rPr>
        <w:t xml:space="preserve">Противопожарные расстояния от складов сжиженных</w:t>
      </w:r>
    </w:p>
    <w:p>
      <w:pPr>
        <w:pStyle w:val="2"/>
        <w:jc w:val="center"/>
      </w:pPr>
      <w:r>
        <w:rPr>
          <w:sz w:val="20"/>
        </w:rPr>
        <w:t xml:space="preserve">углеводородных газов общей вместимостью от 10 000 до 20 000</w:t>
      </w:r>
    </w:p>
    <w:p>
      <w:pPr>
        <w:pStyle w:val="2"/>
        <w:jc w:val="center"/>
      </w:pPr>
      <w:r>
        <w:rPr>
          <w:sz w:val="20"/>
        </w:rPr>
        <w:t xml:space="preserve">кубических метров при хранении под давлением либо от 40 000</w:t>
      </w:r>
    </w:p>
    <w:p>
      <w:pPr>
        <w:pStyle w:val="2"/>
        <w:jc w:val="center"/>
      </w:pPr>
      <w:r>
        <w:rPr>
          <w:sz w:val="20"/>
        </w:rPr>
        <w:t xml:space="preserve">до 60 000 кубических метров при хранении изотермическим</w:t>
      </w:r>
    </w:p>
    <w:p>
      <w:pPr>
        <w:pStyle w:val="2"/>
        <w:jc w:val="center"/>
      </w:pPr>
      <w:r>
        <w:rPr>
          <w:sz w:val="20"/>
        </w:rPr>
        <w:t xml:space="preserve">способом в надземных резервуарах или от 40 000 до 100 000</w:t>
      </w:r>
    </w:p>
    <w:p>
      <w:pPr>
        <w:pStyle w:val="2"/>
        <w:jc w:val="center"/>
      </w:pPr>
      <w:r>
        <w:rPr>
          <w:sz w:val="20"/>
        </w:rPr>
        <w:t xml:space="preserve">кубических метров при хранении изотермическим способом</w:t>
      </w:r>
    </w:p>
    <w:p>
      <w:pPr>
        <w:pStyle w:val="2"/>
        <w:jc w:val="center"/>
      </w:pPr>
      <w:r>
        <w:rPr>
          <w:sz w:val="20"/>
        </w:rPr>
        <w:t xml:space="preserve">в подземных резервуарах, входящих в состав</w:t>
      </w:r>
    </w:p>
    <w:p>
      <w:pPr>
        <w:pStyle w:val="2"/>
        <w:jc w:val="center"/>
      </w:pPr>
      <w:r>
        <w:rPr>
          <w:sz w:val="20"/>
        </w:rPr>
        <w:t xml:space="preserve">товарно-сырьевой базы, до промышленных</w:t>
      </w:r>
    </w:p>
    <w:p>
      <w:pPr>
        <w:pStyle w:val="2"/>
        <w:jc w:val="center"/>
      </w:pPr>
      <w:r>
        <w:rPr>
          <w:sz w:val="20"/>
        </w:rPr>
        <w:t xml:space="preserve">и гражданских объектов</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16"/>
        <w:gridCol w:w="1624"/>
        <w:gridCol w:w="1624"/>
        <w:gridCol w:w="2176"/>
        <w:gridCol w:w="2176"/>
      </w:tblGrid>
      <w:tr>
        <w:tc>
          <w:tcPr>
            <w:tcW w:w="2716" w:type="dxa"/>
            <w:vMerge w:val="restart"/>
          </w:tcPr>
          <w:p>
            <w:pPr>
              <w:pStyle w:val="0"/>
              <w:jc w:val="center"/>
            </w:pPr>
            <w:r>
              <w:rPr>
                <w:sz w:val="20"/>
              </w:rPr>
              <w:t xml:space="preserve">Наименование здания и сооружения</w:t>
            </w:r>
          </w:p>
        </w:tc>
        <w:tc>
          <w:tcPr>
            <w:gridSpan w:val="4"/>
            <w:tcW w:w="7600" w:type="dxa"/>
          </w:tcPr>
          <w:p>
            <w:pPr>
              <w:pStyle w:val="0"/>
              <w:jc w:val="center"/>
            </w:pPr>
            <w:r>
              <w:rPr>
                <w:sz w:val="20"/>
              </w:rPr>
              <w:t xml:space="preserve">Противопожарные расстояния, метры</w:t>
            </w:r>
          </w:p>
        </w:tc>
      </w:tr>
      <w:tr>
        <w:tc>
          <w:tcPr>
            <w:vMerge w:val="continue"/>
          </w:tcPr>
          <w:p/>
        </w:tc>
        <w:tc>
          <w:tcPr>
            <w:tcW w:w="1624" w:type="dxa"/>
          </w:tcPr>
          <w:p>
            <w:pPr>
              <w:pStyle w:val="0"/>
              <w:jc w:val="center"/>
            </w:pPr>
            <w:r>
              <w:rPr>
                <w:sz w:val="20"/>
              </w:rPr>
              <w:t xml:space="preserve">Резервуары надземные под давлением</w:t>
            </w:r>
          </w:p>
        </w:tc>
        <w:tc>
          <w:tcPr>
            <w:tcW w:w="1624" w:type="dxa"/>
          </w:tcPr>
          <w:p>
            <w:pPr>
              <w:pStyle w:val="0"/>
              <w:jc w:val="center"/>
            </w:pPr>
            <w:r>
              <w:rPr>
                <w:sz w:val="20"/>
              </w:rPr>
              <w:t xml:space="preserve">Резервуары подземные под давлением</w:t>
            </w:r>
          </w:p>
        </w:tc>
        <w:tc>
          <w:tcPr>
            <w:tcW w:w="2176" w:type="dxa"/>
          </w:tcPr>
          <w:p>
            <w:pPr>
              <w:pStyle w:val="0"/>
              <w:jc w:val="center"/>
            </w:pPr>
            <w:r>
              <w:rPr>
                <w:sz w:val="20"/>
              </w:rPr>
              <w:t xml:space="preserve">Резервуары надземные изотермические</w:t>
            </w:r>
          </w:p>
        </w:tc>
        <w:tc>
          <w:tcPr>
            <w:tcW w:w="2176" w:type="dxa"/>
          </w:tcPr>
          <w:p>
            <w:pPr>
              <w:pStyle w:val="0"/>
              <w:jc w:val="center"/>
            </w:pPr>
            <w:r>
              <w:rPr>
                <w:sz w:val="20"/>
              </w:rPr>
              <w:t xml:space="preserve">Резервуары подземные изотермические</w:t>
            </w:r>
          </w:p>
        </w:tc>
      </w:tr>
      <w:tr>
        <w:tc>
          <w:tcPr>
            <w:tcW w:w="2716" w:type="dxa"/>
          </w:tcPr>
          <w:p>
            <w:pPr>
              <w:pStyle w:val="0"/>
            </w:pPr>
            <w:r>
              <w:rPr>
                <w:sz w:val="20"/>
              </w:rPr>
              <w:t xml:space="preserve">Трамвайные пути и троллейбусные линии, подъездные железнодорожные пути (до подошвы насыпи или бровки выемки) и автомобильные дороги общей сети (край проезжей части)</w:t>
            </w:r>
          </w:p>
        </w:tc>
        <w:tc>
          <w:tcPr>
            <w:tcW w:w="1624" w:type="dxa"/>
            <w:vAlign w:val="bottom"/>
          </w:tcPr>
          <w:p>
            <w:pPr>
              <w:pStyle w:val="0"/>
              <w:jc w:val="center"/>
            </w:pPr>
            <w:r>
              <w:rPr>
                <w:sz w:val="20"/>
              </w:rPr>
              <w:t xml:space="preserve">100</w:t>
            </w:r>
          </w:p>
        </w:tc>
        <w:tc>
          <w:tcPr>
            <w:tcW w:w="1624" w:type="dxa"/>
            <w:vAlign w:val="bottom"/>
          </w:tcPr>
          <w:p>
            <w:pPr>
              <w:pStyle w:val="0"/>
              <w:jc w:val="center"/>
            </w:pPr>
            <w:r>
              <w:rPr>
                <w:sz w:val="20"/>
              </w:rPr>
              <w:t xml:space="preserve">50</w:t>
            </w:r>
          </w:p>
        </w:tc>
        <w:tc>
          <w:tcPr>
            <w:tcW w:w="2176" w:type="dxa"/>
            <w:vAlign w:val="bottom"/>
          </w:tcPr>
          <w:p>
            <w:pPr>
              <w:pStyle w:val="0"/>
              <w:jc w:val="center"/>
            </w:pPr>
            <w:r>
              <w:rPr>
                <w:sz w:val="20"/>
              </w:rPr>
              <w:t xml:space="preserve">100</w:t>
            </w:r>
          </w:p>
        </w:tc>
        <w:tc>
          <w:tcPr>
            <w:tcW w:w="2176" w:type="dxa"/>
            <w:vAlign w:val="bottom"/>
          </w:tcPr>
          <w:p>
            <w:pPr>
              <w:pStyle w:val="0"/>
              <w:jc w:val="center"/>
            </w:pPr>
            <w:r>
              <w:rPr>
                <w:sz w:val="20"/>
              </w:rPr>
              <w:t xml:space="preserve">50</w:t>
            </w:r>
          </w:p>
        </w:tc>
      </w:tr>
      <w:tr>
        <w:tc>
          <w:tcPr>
            <w:tcW w:w="2716" w:type="dxa"/>
          </w:tcPr>
          <w:p>
            <w:pPr>
              <w:pStyle w:val="0"/>
            </w:pPr>
            <w:r>
              <w:rPr>
                <w:sz w:val="20"/>
              </w:rPr>
              <w:t xml:space="preserve">Линии электропередачи (воздушные)</w:t>
            </w:r>
          </w:p>
        </w:tc>
        <w:tc>
          <w:tcPr>
            <w:tcW w:w="1624" w:type="dxa"/>
          </w:tcPr>
          <w:p>
            <w:pPr>
              <w:pStyle w:val="0"/>
              <w:jc w:val="center"/>
            </w:pPr>
            <w:r>
              <w:rPr>
                <w:sz w:val="20"/>
              </w:rPr>
              <w:t xml:space="preserve">не менее 1,5 высоты опоры</w:t>
            </w:r>
          </w:p>
        </w:tc>
        <w:tc>
          <w:tcPr>
            <w:tcW w:w="1624" w:type="dxa"/>
          </w:tcPr>
          <w:p>
            <w:pPr>
              <w:pStyle w:val="0"/>
              <w:jc w:val="center"/>
            </w:pPr>
            <w:r>
              <w:rPr>
                <w:sz w:val="20"/>
              </w:rPr>
              <w:t xml:space="preserve">не менее 1,5 высоты опоры</w:t>
            </w:r>
          </w:p>
        </w:tc>
        <w:tc>
          <w:tcPr>
            <w:tcW w:w="2176" w:type="dxa"/>
          </w:tcPr>
          <w:p>
            <w:pPr>
              <w:pStyle w:val="0"/>
              <w:jc w:val="center"/>
            </w:pPr>
            <w:r>
              <w:rPr>
                <w:sz w:val="20"/>
              </w:rPr>
              <w:t xml:space="preserve">не менее 1,5 высоты опоры</w:t>
            </w:r>
          </w:p>
        </w:tc>
        <w:tc>
          <w:tcPr>
            <w:tcW w:w="2176" w:type="dxa"/>
          </w:tcPr>
          <w:p>
            <w:pPr>
              <w:pStyle w:val="0"/>
              <w:jc w:val="center"/>
            </w:pPr>
            <w:r>
              <w:rPr>
                <w:sz w:val="20"/>
              </w:rPr>
              <w:t xml:space="preserve">не менее 1,5 высоты опоры</w:t>
            </w:r>
          </w:p>
        </w:tc>
      </w:tr>
      <w:tr>
        <w:tblPrEx>
          <w:tblBorders>
            <w:insideH w:val="nil"/>
          </w:tblBorders>
        </w:tblPrEx>
        <w:tc>
          <w:tcPr>
            <w:tcW w:w="2716" w:type="dxa"/>
            <w:tcBorders>
              <w:bottom w:val="nil"/>
            </w:tcBorders>
          </w:tcPr>
          <w:p>
            <w:pPr>
              <w:pStyle w:val="0"/>
            </w:pPr>
            <w:r>
              <w:rPr>
                <w:sz w:val="20"/>
              </w:rPr>
              <w:t xml:space="preserve">Здания и сооружения производственной, складской, подсобной зоны товарно-сырьевой базы или склада</w:t>
            </w:r>
          </w:p>
        </w:tc>
        <w:tc>
          <w:tcPr>
            <w:tcW w:w="1624" w:type="dxa"/>
            <w:vAlign w:val="bottom"/>
            <w:tcBorders>
              <w:bottom w:val="nil"/>
            </w:tcBorders>
          </w:tcPr>
          <w:p>
            <w:pPr>
              <w:pStyle w:val="0"/>
              <w:jc w:val="center"/>
            </w:pPr>
            <w:r>
              <w:rPr>
                <w:sz w:val="20"/>
              </w:rPr>
              <w:t xml:space="preserve">300</w:t>
            </w:r>
          </w:p>
        </w:tc>
        <w:tc>
          <w:tcPr>
            <w:tcW w:w="1624" w:type="dxa"/>
            <w:vAlign w:val="bottom"/>
            <w:tcBorders>
              <w:bottom w:val="nil"/>
            </w:tcBorders>
          </w:tcPr>
          <w:p>
            <w:pPr>
              <w:pStyle w:val="0"/>
              <w:jc w:val="center"/>
            </w:pPr>
            <w:r>
              <w:rPr>
                <w:sz w:val="20"/>
              </w:rPr>
              <w:t xml:space="preserve">250</w:t>
            </w:r>
          </w:p>
        </w:tc>
        <w:tc>
          <w:tcPr>
            <w:tcW w:w="2176" w:type="dxa"/>
            <w:vAlign w:val="bottom"/>
            <w:tcBorders>
              <w:bottom w:val="nil"/>
            </w:tcBorders>
          </w:tcPr>
          <w:p>
            <w:pPr>
              <w:pStyle w:val="0"/>
              <w:jc w:val="center"/>
            </w:pPr>
            <w:r>
              <w:rPr>
                <w:sz w:val="20"/>
              </w:rPr>
              <w:t xml:space="preserve">300</w:t>
            </w:r>
          </w:p>
        </w:tc>
        <w:tc>
          <w:tcPr>
            <w:tcW w:w="2176" w:type="dxa"/>
            <w:vAlign w:val="bottom"/>
            <w:tcBorders>
              <w:bottom w:val="nil"/>
            </w:tcBorders>
          </w:tcPr>
          <w:p>
            <w:pPr>
              <w:pStyle w:val="0"/>
              <w:jc w:val="center"/>
            </w:pPr>
            <w:r>
              <w:rPr>
                <w:sz w:val="20"/>
              </w:rPr>
              <w:t xml:space="preserve">200</w:t>
            </w:r>
          </w:p>
        </w:tc>
      </w:tr>
      <w:tr>
        <w:tblPrEx>
          <w:tblBorders>
            <w:insideH w:val="nil"/>
          </w:tblBorders>
        </w:tblPrEx>
        <w:tc>
          <w:tcPr>
            <w:gridSpan w:val="5"/>
            <w:tcW w:w="10316" w:type="dxa"/>
            <w:tcBorders>
              <w:top w:val="nil"/>
            </w:tcBorders>
          </w:tcPr>
          <w:p>
            <w:pPr>
              <w:pStyle w:val="0"/>
              <w:jc w:val="both"/>
            </w:pPr>
            <w:r>
              <w:rPr>
                <w:sz w:val="20"/>
              </w:rPr>
              <w:t xml:space="preserve">(в ред. Федерального </w:t>
            </w:r>
            <w:hyperlink w:history="0" r:id="rId54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tc>
      </w:tr>
      <w:tr>
        <w:tblPrEx>
          <w:tblBorders>
            <w:insideH w:val="nil"/>
          </w:tblBorders>
        </w:tblPrEx>
        <w:tc>
          <w:tcPr>
            <w:tcW w:w="2716" w:type="dxa"/>
            <w:tcBorders>
              <w:bottom w:val="nil"/>
            </w:tcBorders>
          </w:tcPr>
          <w:p>
            <w:pPr>
              <w:pStyle w:val="0"/>
            </w:pPr>
            <w:r>
              <w:rPr>
                <w:sz w:val="20"/>
              </w:rPr>
              <w:t xml:space="preserve">Здания и сооружения предзаводской (административной) зоны организации</w:t>
            </w:r>
          </w:p>
        </w:tc>
        <w:tc>
          <w:tcPr>
            <w:tcW w:w="1624" w:type="dxa"/>
            <w:vAlign w:val="bottom"/>
            <w:tcBorders>
              <w:bottom w:val="nil"/>
            </w:tcBorders>
          </w:tcPr>
          <w:p>
            <w:pPr>
              <w:pStyle w:val="0"/>
              <w:jc w:val="center"/>
            </w:pPr>
            <w:r>
              <w:rPr>
                <w:sz w:val="20"/>
              </w:rPr>
              <w:t xml:space="preserve">500</w:t>
            </w:r>
          </w:p>
        </w:tc>
        <w:tc>
          <w:tcPr>
            <w:tcW w:w="1624" w:type="dxa"/>
            <w:vAlign w:val="bottom"/>
            <w:tcBorders>
              <w:bottom w:val="nil"/>
            </w:tcBorders>
          </w:tcPr>
          <w:p>
            <w:pPr>
              <w:pStyle w:val="0"/>
              <w:jc w:val="center"/>
            </w:pPr>
            <w:r>
              <w:rPr>
                <w:sz w:val="20"/>
              </w:rPr>
              <w:t xml:space="preserve">300</w:t>
            </w:r>
          </w:p>
        </w:tc>
        <w:tc>
          <w:tcPr>
            <w:tcW w:w="2176" w:type="dxa"/>
            <w:vAlign w:val="bottom"/>
            <w:tcBorders>
              <w:bottom w:val="nil"/>
            </w:tcBorders>
          </w:tcPr>
          <w:p>
            <w:pPr>
              <w:pStyle w:val="0"/>
              <w:jc w:val="center"/>
            </w:pPr>
            <w:r>
              <w:rPr>
                <w:sz w:val="20"/>
              </w:rPr>
              <w:t xml:space="preserve">500</w:t>
            </w:r>
          </w:p>
        </w:tc>
        <w:tc>
          <w:tcPr>
            <w:tcW w:w="2176" w:type="dxa"/>
            <w:vAlign w:val="bottom"/>
            <w:tcBorders>
              <w:bottom w:val="nil"/>
            </w:tcBorders>
          </w:tcPr>
          <w:p>
            <w:pPr>
              <w:pStyle w:val="0"/>
              <w:jc w:val="center"/>
            </w:pPr>
            <w:r>
              <w:rPr>
                <w:sz w:val="20"/>
              </w:rPr>
              <w:t xml:space="preserve">300</w:t>
            </w:r>
          </w:p>
        </w:tc>
      </w:tr>
      <w:tr>
        <w:tblPrEx>
          <w:tblBorders>
            <w:insideH w:val="nil"/>
          </w:tblBorders>
        </w:tblPrEx>
        <w:tc>
          <w:tcPr>
            <w:gridSpan w:val="5"/>
            <w:tcW w:w="10316" w:type="dxa"/>
            <w:tcBorders>
              <w:top w:val="nil"/>
            </w:tcBorders>
          </w:tcPr>
          <w:p>
            <w:pPr>
              <w:pStyle w:val="0"/>
              <w:jc w:val="both"/>
            </w:pPr>
            <w:r>
              <w:rPr>
                <w:sz w:val="20"/>
              </w:rPr>
              <w:t xml:space="preserve">(в ред. Федерального </w:t>
            </w:r>
            <w:hyperlink w:history="0" r:id="rId54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tc>
      </w:tr>
      <w:tr>
        <w:tc>
          <w:tcPr>
            <w:tcW w:w="2716" w:type="dxa"/>
          </w:tcPr>
          <w:p>
            <w:pPr>
              <w:pStyle w:val="0"/>
            </w:pPr>
            <w:r>
              <w:rPr>
                <w:sz w:val="20"/>
              </w:rPr>
              <w:t xml:space="preserve">Факельная установка (до ствола факела)</w:t>
            </w:r>
          </w:p>
        </w:tc>
        <w:tc>
          <w:tcPr>
            <w:tcW w:w="1624" w:type="dxa"/>
            <w:vAlign w:val="bottom"/>
          </w:tcPr>
          <w:p>
            <w:pPr>
              <w:pStyle w:val="0"/>
              <w:jc w:val="center"/>
            </w:pPr>
            <w:r>
              <w:rPr>
                <w:sz w:val="20"/>
              </w:rPr>
              <w:t xml:space="preserve">200</w:t>
            </w:r>
          </w:p>
        </w:tc>
        <w:tc>
          <w:tcPr>
            <w:tcW w:w="1624" w:type="dxa"/>
            <w:vAlign w:val="bottom"/>
          </w:tcPr>
          <w:p>
            <w:pPr>
              <w:pStyle w:val="0"/>
              <w:jc w:val="center"/>
            </w:pPr>
            <w:r>
              <w:rPr>
                <w:sz w:val="20"/>
              </w:rPr>
              <w:t xml:space="preserve">100</w:t>
            </w:r>
          </w:p>
        </w:tc>
        <w:tc>
          <w:tcPr>
            <w:tcW w:w="2176" w:type="dxa"/>
            <w:vAlign w:val="bottom"/>
          </w:tcPr>
          <w:p>
            <w:pPr>
              <w:pStyle w:val="0"/>
              <w:jc w:val="center"/>
            </w:pPr>
            <w:r>
              <w:rPr>
                <w:sz w:val="20"/>
              </w:rPr>
              <w:t xml:space="preserve">200</w:t>
            </w:r>
          </w:p>
        </w:tc>
        <w:tc>
          <w:tcPr>
            <w:tcW w:w="2176" w:type="dxa"/>
            <w:vAlign w:val="bottom"/>
          </w:tcPr>
          <w:p>
            <w:pPr>
              <w:pStyle w:val="0"/>
              <w:jc w:val="center"/>
            </w:pPr>
            <w:r>
              <w:rPr>
                <w:sz w:val="20"/>
              </w:rPr>
              <w:t xml:space="preserve">100</w:t>
            </w:r>
          </w:p>
        </w:tc>
      </w:tr>
      <w:tr>
        <w:tc>
          <w:tcPr>
            <w:tcW w:w="2716" w:type="dxa"/>
          </w:tcPr>
          <w:p>
            <w:pPr>
              <w:pStyle w:val="0"/>
            </w:pPr>
            <w:r>
              <w:rPr>
                <w:sz w:val="20"/>
              </w:rPr>
              <w:t xml:space="preserve">Границы территорий смежных организаций (до ограждения)</w:t>
            </w:r>
          </w:p>
        </w:tc>
        <w:tc>
          <w:tcPr>
            <w:tcW w:w="1624" w:type="dxa"/>
            <w:vAlign w:val="bottom"/>
          </w:tcPr>
          <w:p>
            <w:pPr>
              <w:pStyle w:val="0"/>
              <w:jc w:val="center"/>
            </w:pPr>
            <w:r>
              <w:rPr>
                <w:sz w:val="20"/>
              </w:rPr>
              <w:t xml:space="preserve">300</w:t>
            </w:r>
          </w:p>
        </w:tc>
        <w:tc>
          <w:tcPr>
            <w:tcW w:w="1624" w:type="dxa"/>
            <w:vAlign w:val="bottom"/>
          </w:tcPr>
          <w:p>
            <w:pPr>
              <w:pStyle w:val="0"/>
              <w:jc w:val="center"/>
            </w:pPr>
            <w:r>
              <w:rPr>
                <w:sz w:val="20"/>
              </w:rPr>
              <w:t xml:space="preserve">200</w:t>
            </w:r>
          </w:p>
        </w:tc>
        <w:tc>
          <w:tcPr>
            <w:tcW w:w="2176" w:type="dxa"/>
            <w:vAlign w:val="bottom"/>
          </w:tcPr>
          <w:p>
            <w:pPr>
              <w:pStyle w:val="0"/>
              <w:jc w:val="center"/>
            </w:pPr>
            <w:r>
              <w:rPr>
                <w:sz w:val="20"/>
              </w:rPr>
              <w:t xml:space="preserve">300</w:t>
            </w:r>
          </w:p>
        </w:tc>
        <w:tc>
          <w:tcPr>
            <w:tcW w:w="2176" w:type="dxa"/>
            <w:vAlign w:val="bottom"/>
          </w:tcPr>
          <w:p>
            <w:pPr>
              <w:pStyle w:val="0"/>
              <w:jc w:val="center"/>
            </w:pPr>
            <w:r>
              <w:rPr>
                <w:sz w:val="20"/>
              </w:rPr>
              <w:t xml:space="preserve">200</w:t>
            </w:r>
          </w:p>
        </w:tc>
      </w:tr>
      <w:tr>
        <w:tc>
          <w:tcPr>
            <w:tcW w:w="2716" w:type="dxa"/>
          </w:tcPr>
          <w:p>
            <w:pPr>
              <w:pStyle w:val="0"/>
            </w:pPr>
            <w:r>
              <w:rPr>
                <w:sz w:val="20"/>
              </w:rPr>
              <w:t xml:space="preserve">Жилые и общественные здания</w:t>
            </w:r>
          </w:p>
        </w:tc>
        <w:tc>
          <w:tcPr>
            <w:tcW w:w="1624" w:type="dxa"/>
          </w:tcPr>
          <w:p>
            <w:pPr>
              <w:pStyle w:val="0"/>
              <w:jc w:val="center"/>
            </w:pPr>
            <w:r>
              <w:rPr>
                <w:sz w:val="20"/>
              </w:rPr>
              <w:t xml:space="preserve">вне пределов санитарно-защитной зоны, но не менее 500</w:t>
            </w:r>
          </w:p>
        </w:tc>
        <w:tc>
          <w:tcPr>
            <w:tcW w:w="1624" w:type="dxa"/>
          </w:tcPr>
          <w:p>
            <w:pPr>
              <w:pStyle w:val="0"/>
              <w:jc w:val="center"/>
            </w:pPr>
            <w:r>
              <w:rPr>
                <w:sz w:val="20"/>
              </w:rPr>
              <w:t xml:space="preserve">вне пределов санитарно-защитной зоны, но не менее 300</w:t>
            </w:r>
          </w:p>
        </w:tc>
        <w:tc>
          <w:tcPr>
            <w:tcW w:w="2176" w:type="dxa"/>
          </w:tcPr>
          <w:p>
            <w:pPr>
              <w:pStyle w:val="0"/>
              <w:jc w:val="center"/>
            </w:pPr>
            <w:r>
              <w:rPr>
                <w:sz w:val="20"/>
              </w:rPr>
              <w:t xml:space="preserve">вне пределов санитарно-защитной зоны, но не менее 500</w:t>
            </w:r>
          </w:p>
        </w:tc>
        <w:tc>
          <w:tcPr>
            <w:tcW w:w="2176" w:type="dxa"/>
          </w:tcPr>
          <w:p>
            <w:pPr>
              <w:pStyle w:val="0"/>
              <w:jc w:val="center"/>
            </w:pPr>
            <w:r>
              <w:rPr>
                <w:sz w:val="20"/>
              </w:rPr>
              <w:t xml:space="preserve">вне пределов санитарно-защитной зоны, но не менее 300</w:t>
            </w:r>
          </w:p>
        </w:tc>
      </w:tr>
      <w:tr>
        <w:tc>
          <w:tcPr>
            <w:tcW w:w="2716" w:type="dxa"/>
          </w:tcPr>
          <w:p>
            <w:pPr>
              <w:pStyle w:val="0"/>
            </w:pPr>
            <w:r>
              <w:rPr>
                <w:sz w:val="20"/>
              </w:rPr>
              <w:t xml:space="preserve">ТЭЦ</w:t>
            </w:r>
          </w:p>
        </w:tc>
        <w:tc>
          <w:tcPr>
            <w:tcW w:w="1624" w:type="dxa"/>
          </w:tcPr>
          <w:p>
            <w:pPr>
              <w:pStyle w:val="0"/>
              <w:jc w:val="center"/>
            </w:pPr>
            <w:r>
              <w:rPr>
                <w:sz w:val="20"/>
              </w:rPr>
              <w:t xml:space="preserve">300</w:t>
            </w:r>
          </w:p>
        </w:tc>
        <w:tc>
          <w:tcPr>
            <w:tcW w:w="1624" w:type="dxa"/>
          </w:tcPr>
          <w:p>
            <w:pPr>
              <w:pStyle w:val="0"/>
              <w:jc w:val="center"/>
            </w:pPr>
            <w:r>
              <w:rPr>
                <w:sz w:val="20"/>
              </w:rPr>
              <w:t xml:space="preserve">200</w:t>
            </w:r>
          </w:p>
        </w:tc>
        <w:tc>
          <w:tcPr>
            <w:tcW w:w="2176" w:type="dxa"/>
          </w:tcPr>
          <w:p>
            <w:pPr>
              <w:pStyle w:val="0"/>
              <w:jc w:val="center"/>
            </w:pPr>
            <w:r>
              <w:rPr>
                <w:sz w:val="20"/>
              </w:rPr>
              <w:t xml:space="preserve">300</w:t>
            </w:r>
          </w:p>
        </w:tc>
        <w:tc>
          <w:tcPr>
            <w:tcW w:w="2176" w:type="dxa"/>
          </w:tcPr>
          <w:p>
            <w:pPr>
              <w:pStyle w:val="0"/>
              <w:jc w:val="center"/>
            </w:pPr>
            <w:r>
              <w:rPr>
                <w:sz w:val="20"/>
              </w:rPr>
              <w:t xml:space="preserve">200</w:t>
            </w:r>
          </w:p>
        </w:tc>
      </w:tr>
      <w:tr>
        <w:tblPrEx>
          <w:tblBorders>
            <w:insideH w:val="nil"/>
          </w:tblBorders>
        </w:tblPrEx>
        <w:tc>
          <w:tcPr>
            <w:tcW w:w="2716" w:type="dxa"/>
            <w:tcBorders>
              <w:bottom w:val="nil"/>
            </w:tcBorders>
          </w:tcPr>
          <w:p>
            <w:pPr>
              <w:pStyle w:val="0"/>
            </w:pPr>
            <w:r>
              <w:rPr>
                <w:sz w:val="20"/>
              </w:rPr>
              <w:t xml:space="preserve">Лесничества с лесными насаждениями хвойных пород (от ограждения товарно-сырьевой базы или склада)</w:t>
            </w:r>
          </w:p>
        </w:tc>
        <w:tc>
          <w:tcPr>
            <w:tcW w:w="1624" w:type="dxa"/>
            <w:vAlign w:val="bottom"/>
            <w:tcBorders>
              <w:bottom w:val="nil"/>
            </w:tcBorders>
          </w:tcPr>
          <w:p>
            <w:pPr>
              <w:pStyle w:val="0"/>
              <w:jc w:val="center"/>
            </w:pPr>
            <w:r>
              <w:rPr>
                <w:sz w:val="20"/>
              </w:rPr>
              <w:t xml:space="preserve">100</w:t>
            </w:r>
          </w:p>
        </w:tc>
        <w:tc>
          <w:tcPr>
            <w:tcW w:w="1624" w:type="dxa"/>
            <w:vAlign w:val="bottom"/>
            <w:tcBorders>
              <w:bottom w:val="nil"/>
            </w:tcBorders>
          </w:tcPr>
          <w:p>
            <w:pPr>
              <w:pStyle w:val="0"/>
              <w:jc w:val="center"/>
            </w:pPr>
            <w:r>
              <w:rPr>
                <w:sz w:val="20"/>
              </w:rPr>
              <w:t xml:space="preserve">75</w:t>
            </w:r>
          </w:p>
        </w:tc>
        <w:tc>
          <w:tcPr>
            <w:tcW w:w="2176" w:type="dxa"/>
            <w:vAlign w:val="bottom"/>
            <w:tcBorders>
              <w:bottom w:val="nil"/>
            </w:tcBorders>
          </w:tcPr>
          <w:p>
            <w:pPr>
              <w:pStyle w:val="0"/>
              <w:jc w:val="center"/>
            </w:pPr>
            <w:r>
              <w:rPr>
                <w:sz w:val="20"/>
              </w:rPr>
              <w:t xml:space="preserve">100</w:t>
            </w:r>
          </w:p>
        </w:tc>
        <w:tc>
          <w:tcPr>
            <w:tcW w:w="2176" w:type="dxa"/>
            <w:vAlign w:val="bottom"/>
            <w:tcBorders>
              <w:bottom w:val="nil"/>
            </w:tcBorders>
          </w:tcPr>
          <w:p>
            <w:pPr>
              <w:pStyle w:val="0"/>
              <w:jc w:val="center"/>
            </w:pPr>
            <w:r>
              <w:rPr>
                <w:sz w:val="20"/>
              </w:rPr>
              <w:t xml:space="preserve">75</w:t>
            </w:r>
          </w:p>
        </w:tc>
      </w:tr>
      <w:tr>
        <w:tblPrEx>
          <w:tblBorders>
            <w:insideH w:val="nil"/>
          </w:tblBorders>
        </w:tblPrEx>
        <w:tc>
          <w:tcPr>
            <w:gridSpan w:val="5"/>
            <w:tcW w:w="10316" w:type="dxa"/>
            <w:tcBorders>
              <w:top w:val="nil"/>
            </w:tcBorders>
          </w:tcPr>
          <w:p>
            <w:pPr>
              <w:pStyle w:val="0"/>
              <w:jc w:val="both"/>
            </w:pPr>
            <w:r>
              <w:rPr>
                <w:sz w:val="20"/>
              </w:rPr>
              <w:t xml:space="preserve">(в ред. Федеральных законов от 10.07.2012 </w:t>
            </w:r>
            <w:hyperlink w:history="0" r:id="rId54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27.12.2018 </w:t>
            </w:r>
            <w:hyperlink w:history="0" r:id="rId550"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rPr>
              <w:t xml:space="preserve">)</w:t>
            </w:r>
          </w:p>
        </w:tc>
      </w:tr>
      <w:tr>
        <w:tblPrEx>
          <w:tblBorders>
            <w:insideH w:val="nil"/>
          </w:tblBorders>
        </w:tblPrEx>
        <w:tc>
          <w:tcPr>
            <w:tcW w:w="2716" w:type="dxa"/>
            <w:tcBorders>
              <w:bottom w:val="nil"/>
            </w:tcBorders>
          </w:tcPr>
          <w:p>
            <w:pPr>
              <w:pStyle w:val="0"/>
            </w:pPr>
            <w:r>
              <w:rPr>
                <w:sz w:val="20"/>
              </w:rPr>
              <w:t xml:space="preserve">Лесничества (с лесными насаждениями лиственных пород (от ограждения товарно-сырьевой базы или склада)</w:t>
            </w:r>
          </w:p>
        </w:tc>
        <w:tc>
          <w:tcPr>
            <w:tcW w:w="1624" w:type="dxa"/>
            <w:vAlign w:val="bottom"/>
            <w:tcBorders>
              <w:bottom w:val="nil"/>
            </w:tcBorders>
          </w:tcPr>
          <w:p>
            <w:pPr>
              <w:pStyle w:val="0"/>
              <w:jc w:val="center"/>
            </w:pPr>
            <w:r>
              <w:rPr>
                <w:sz w:val="20"/>
              </w:rPr>
              <w:t xml:space="preserve">20</w:t>
            </w:r>
          </w:p>
        </w:tc>
        <w:tc>
          <w:tcPr>
            <w:tcW w:w="1624" w:type="dxa"/>
            <w:vAlign w:val="bottom"/>
            <w:tcBorders>
              <w:bottom w:val="nil"/>
            </w:tcBorders>
          </w:tcPr>
          <w:p>
            <w:pPr>
              <w:pStyle w:val="0"/>
              <w:jc w:val="center"/>
            </w:pPr>
            <w:r>
              <w:rPr>
                <w:sz w:val="20"/>
              </w:rPr>
              <w:t xml:space="preserve">20</w:t>
            </w:r>
          </w:p>
        </w:tc>
        <w:tc>
          <w:tcPr>
            <w:tcW w:w="2176" w:type="dxa"/>
            <w:vAlign w:val="bottom"/>
            <w:tcBorders>
              <w:bottom w:val="nil"/>
            </w:tcBorders>
          </w:tcPr>
          <w:p>
            <w:pPr>
              <w:pStyle w:val="0"/>
              <w:jc w:val="center"/>
            </w:pPr>
            <w:r>
              <w:rPr>
                <w:sz w:val="20"/>
              </w:rPr>
              <w:t xml:space="preserve">20</w:t>
            </w:r>
          </w:p>
        </w:tc>
        <w:tc>
          <w:tcPr>
            <w:tcW w:w="2176" w:type="dxa"/>
            <w:vAlign w:val="bottom"/>
            <w:tcBorders>
              <w:bottom w:val="nil"/>
            </w:tcBorders>
          </w:tcPr>
          <w:p>
            <w:pPr>
              <w:pStyle w:val="0"/>
              <w:jc w:val="center"/>
            </w:pPr>
            <w:r>
              <w:rPr>
                <w:sz w:val="20"/>
              </w:rPr>
              <w:t xml:space="preserve">20</w:t>
            </w:r>
          </w:p>
        </w:tc>
      </w:tr>
      <w:tr>
        <w:tblPrEx>
          <w:tblBorders>
            <w:insideH w:val="nil"/>
          </w:tblBorders>
        </w:tblPrEx>
        <w:tc>
          <w:tcPr>
            <w:gridSpan w:val="5"/>
            <w:tcW w:w="10316" w:type="dxa"/>
            <w:tcBorders>
              <w:top w:val="nil"/>
            </w:tcBorders>
          </w:tcPr>
          <w:p>
            <w:pPr>
              <w:pStyle w:val="0"/>
              <w:jc w:val="both"/>
            </w:pPr>
            <w:r>
              <w:rPr>
                <w:sz w:val="20"/>
              </w:rPr>
              <w:t xml:space="preserve">(в ред. Федеральных законов от 10.07.2012 </w:t>
            </w:r>
            <w:hyperlink w:history="0" r:id="rId55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27.12.2018 </w:t>
            </w:r>
            <w:hyperlink w:history="0" r:id="rId552"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rPr>
              <w:t xml:space="preserve">)</w:t>
            </w:r>
          </w:p>
        </w:tc>
      </w:tr>
      <w:tr>
        <w:tc>
          <w:tcPr>
            <w:tcW w:w="2716" w:type="dxa"/>
          </w:tcPr>
          <w:p>
            <w:pPr>
              <w:pStyle w:val="0"/>
            </w:pPr>
            <w:r>
              <w:rPr>
                <w:sz w:val="20"/>
              </w:rPr>
              <w:t xml:space="preserve">Объекты речного и морского транспорта, гидротехнические сооружения, мосты при расположении складов ниже по течению от этих объектов</w:t>
            </w:r>
          </w:p>
        </w:tc>
        <w:tc>
          <w:tcPr>
            <w:tcW w:w="1624" w:type="dxa"/>
            <w:vAlign w:val="bottom"/>
          </w:tcPr>
          <w:p>
            <w:pPr>
              <w:pStyle w:val="0"/>
              <w:jc w:val="center"/>
            </w:pPr>
            <w:r>
              <w:rPr>
                <w:sz w:val="20"/>
              </w:rPr>
              <w:t xml:space="preserve">300</w:t>
            </w:r>
          </w:p>
        </w:tc>
        <w:tc>
          <w:tcPr>
            <w:tcW w:w="1624" w:type="dxa"/>
            <w:vAlign w:val="bottom"/>
          </w:tcPr>
          <w:p>
            <w:pPr>
              <w:pStyle w:val="0"/>
              <w:jc w:val="center"/>
            </w:pPr>
            <w:r>
              <w:rPr>
                <w:sz w:val="20"/>
              </w:rPr>
              <w:t xml:space="preserve">200</w:t>
            </w:r>
          </w:p>
        </w:tc>
        <w:tc>
          <w:tcPr>
            <w:tcW w:w="2176" w:type="dxa"/>
            <w:vAlign w:val="bottom"/>
          </w:tcPr>
          <w:p>
            <w:pPr>
              <w:pStyle w:val="0"/>
              <w:jc w:val="center"/>
            </w:pPr>
            <w:r>
              <w:rPr>
                <w:sz w:val="20"/>
              </w:rPr>
              <w:t xml:space="preserve">300</w:t>
            </w:r>
          </w:p>
        </w:tc>
        <w:tc>
          <w:tcPr>
            <w:tcW w:w="2176" w:type="dxa"/>
            <w:vAlign w:val="bottom"/>
          </w:tcPr>
          <w:p>
            <w:pPr>
              <w:pStyle w:val="0"/>
              <w:jc w:val="center"/>
            </w:pPr>
            <w:r>
              <w:rPr>
                <w:sz w:val="20"/>
              </w:rPr>
              <w:t xml:space="preserve">200</w:t>
            </w:r>
          </w:p>
        </w:tc>
      </w:tr>
      <w:tr>
        <w:tc>
          <w:tcPr>
            <w:tcW w:w="2716" w:type="dxa"/>
          </w:tcPr>
          <w:p>
            <w:pPr>
              <w:pStyle w:val="0"/>
            </w:pPr>
            <w:r>
              <w:rPr>
                <w:sz w:val="20"/>
              </w:rPr>
              <w:t xml:space="preserve">Объекты речного и морского транспорта, гидротехнические сооружения, мосты при расположении складов выше по течению от этих объектов</w:t>
            </w:r>
          </w:p>
        </w:tc>
        <w:tc>
          <w:tcPr>
            <w:tcW w:w="1624" w:type="dxa"/>
            <w:vAlign w:val="bottom"/>
          </w:tcPr>
          <w:p>
            <w:pPr>
              <w:pStyle w:val="0"/>
              <w:jc w:val="center"/>
            </w:pPr>
            <w:r>
              <w:rPr>
                <w:sz w:val="20"/>
              </w:rPr>
              <w:t xml:space="preserve">3000</w:t>
            </w:r>
          </w:p>
        </w:tc>
        <w:tc>
          <w:tcPr>
            <w:tcW w:w="1624" w:type="dxa"/>
            <w:vAlign w:val="bottom"/>
          </w:tcPr>
          <w:p>
            <w:pPr>
              <w:pStyle w:val="0"/>
              <w:jc w:val="center"/>
            </w:pPr>
            <w:r>
              <w:rPr>
                <w:sz w:val="20"/>
              </w:rPr>
              <w:t xml:space="preserve">2000</w:t>
            </w:r>
          </w:p>
        </w:tc>
        <w:tc>
          <w:tcPr>
            <w:tcW w:w="2176" w:type="dxa"/>
            <w:vAlign w:val="bottom"/>
          </w:tcPr>
          <w:p>
            <w:pPr>
              <w:pStyle w:val="0"/>
              <w:jc w:val="center"/>
            </w:pPr>
            <w:r>
              <w:rPr>
                <w:sz w:val="20"/>
              </w:rPr>
              <w:t xml:space="preserve">3000</w:t>
            </w:r>
          </w:p>
        </w:tc>
        <w:tc>
          <w:tcPr>
            <w:tcW w:w="2176" w:type="dxa"/>
            <w:vAlign w:val="bottom"/>
          </w:tcPr>
          <w:p>
            <w:pPr>
              <w:pStyle w:val="0"/>
              <w:jc w:val="center"/>
            </w:pPr>
            <w:r>
              <w:rPr>
                <w:sz w:val="20"/>
              </w:rPr>
              <w:t xml:space="preserve">2000</w:t>
            </w:r>
          </w:p>
        </w:tc>
      </w:tr>
    </w:tbl>
    <w:p>
      <w:pPr>
        <w:pStyle w:val="0"/>
        <w:ind w:firstLine="540"/>
        <w:jc w:val="both"/>
      </w:pPr>
      <w:r>
        <w:rPr>
          <w:sz w:val="20"/>
        </w:rPr>
      </w:r>
    </w:p>
    <w:bookmarkStart w:id="2700" w:name="P2700"/>
    <w:bookmarkEnd w:id="2700"/>
    <w:p>
      <w:pPr>
        <w:pStyle w:val="0"/>
        <w:outlineLvl w:val="1"/>
        <w:jc w:val="center"/>
      </w:pPr>
      <w:r>
        <w:rPr>
          <w:sz w:val="20"/>
        </w:rPr>
        <w:t xml:space="preserve">Таблица 19</w:t>
      </w:r>
    </w:p>
    <w:p>
      <w:pPr>
        <w:pStyle w:val="0"/>
        <w:jc w:val="right"/>
      </w:pPr>
      <w:r>
        <w:rPr>
          <w:sz w:val="20"/>
        </w:rPr>
      </w:r>
    </w:p>
    <w:bookmarkStart w:id="2702" w:name="P2702"/>
    <w:bookmarkEnd w:id="2702"/>
    <w:p>
      <w:pPr>
        <w:pStyle w:val="2"/>
        <w:jc w:val="center"/>
      </w:pPr>
      <w:r>
        <w:rPr>
          <w:sz w:val="20"/>
        </w:rPr>
        <w:t xml:space="preserve">Противопожарные расстояния от резервуарных установок</w:t>
      </w:r>
    </w:p>
    <w:p>
      <w:pPr>
        <w:pStyle w:val="2"/>
        <w:jc w:val="center"/>
      </w:pPr>
      <w:r>
        <w:rPr>
          <w:sz w:val="20"/>
        </w:rPr>
        <w:t xml:space="preserve">сжиженных углеводородных газов до объектов защиты</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52"/>
        <w:gridCol w:w="856"/>
        <w:gridCol w:w="856"/>
        <w:gridCol w:w="856"/>
        <w:gridCol w:w="856"/>
        <w:gridCol w:w="856"/>
        <w:gridCol w:w="856"/>
        <w:gridCol w:w="2536"/>
      </w:tblGrid>
      <w:tr>
        <w:tc>
          <w:tcPr>
            <w:tcW w:w="3052" w:type="dxa"/>
            <w:vMerge w:val="restart"/>
          </w:tcPr>
          <w:p>
            <w:pPr>
              <w:pStyle w:val="0"/>
              <w:jc w:val="center"/>
            </w:pPr>
            <w:r>
              <w:rPr>
                <w:sz w:val="20"/>
              </w:rPr>
              <w:t xml:space="preserve">Здания, сооружения и коммуникации</w:t>
            </w:r>
          </w:p>
        </w:tc>
        <w:tc>
          <w:tcPr>
            <w:gridSpan w:val="6"/>
            <w:tcW w:w="5136" w:type="dxa"/>
          </w:tcPr>
          <w:p>
            <w:pPr>
              <w:pStyle w:val="0"/>
              <w:jc w:val="center"/>
            </w:pPr>
            <w:r>
              <w:rPr>
                <w:sz w:val="20"/>
              </w:rPr>
              <w:t xml:space="preserve">Противопожарные расстояния от резервуаров, метры</w:t>
            </w:r>
          </w:p>
        </w:tc>
        <w:tc>
          <w:tcPr>
            <w:tcW w:w="2536" w:type="dxa"/>
            <w:vMerge w:val="restart"/>
          </w:tcPr>
          <w:p>
            <w:pPr>
              <w:pStyle w:val="0"/>
              <w:jc w:val="center"/>
            </w:pPr>
            <w:r>
              <w:rPr>
                <w:sz w:val="20"/>
              </w:rPr>
              <w:t xml:space="preserve">Противопожарные расстояния от испарительной или групповой баллонной установки, метры</w:t>
            </w:r>
          </w:p>
        </w:tc>
      </w:tr>
      <w:tr>
        <w:tc>
          <w:tcPr>
            <w:vMerge w:val="continue"/>
          </w:tcPr>
          <w:p/>
        </w:tc>
        <w:tc>
          <w:tcPr>
            <w:gridSpan w:val="3"/>
            <w:tcW w:w="2568" w:type="dxa"/>
          </w:tcPr>
          <w:p>
            <w:pPr>
              <w:pStyle w:val="0"/>
              <w:jc w:val="center"/>
            </w:pPr>
            <w:r>
              <w:rPr>
                <w:sz w:val="20"/>
              </w:rPr>
              <w:t xml:space="preserve">надземных</w:t>
            </w:r>
          </w:p>
        </w:tc>
        <w:tc>
          <w:tcPr>
            <w:gridSpan w:val="3"/>
            <w:tcW w:w="2568" w:type="dxa"/>
          </w:tcPr>
          <w:p>
            <w:pPr>
              <w:pStyle w:val="0"/>
              <w:jc w:val="center"/>
            </w:pPr>
            <w:r>
              <w:rPr>
                <w:sz w:val="20"/>
              </w:rPr>
              <w:t xml:space="preserve">подземных</w:t>
            </w:r>
          </w:p>
        </w:tc>
        <w:tc>
          <w:tcPr>
            <w:vMerge w:val="continue"/>
          </w:tcPr>
          <w:p/>
        </w:tc>
      </w:tr>
      <w:tr>
        <w:tc>
          <w:tcPr>
            <w:vMerge w:val="continue"/>
          </w:tcPr>
          <w:p/>
        </w:tc>
        <w:tc>
          <w:tcPr>
            <w:gridSpan w:val="6"/>
            <w:tcW w:w="5136" w:type="dxa"/>
          </w:tcPr>
          <w:p>
            <w:pPr>
              <w:pStyle w:val="0"/>
              <w:jc w:val="center"/>
            </w:pPr>
            <w:r>
              <w:rPr>
                <w:sz w:val="20"/>
              </w:rPr>
              <w:t xml:space="preserve">при общей вместимости резервуаров в установке, кубические метры</w:t>
            </w:r>
          </w:p>
        </w:tc>
        <w:tc>
          <w:tcPr>
            <w:vMerge w:val="continue"/>
          </w:tcPr>
          <w:p/>
        </w:tc>
      </w:tr>
      <w:tr>
        <w:tc>
          <w:tcPr>
            <w:vMerge w:val="continue"/>
          </w:tcPr>
          <w:p/>
        </w:tc>
        <w:tc>
          <w:tcPr>
            <w:tcW w:w="856" w:type="dxa"/>
          </w:tcPr>
          <w:p>
            <w:pPr>
              <w:pStyle w:val="0"/>
              <w:jc w:val="center"/>
            </w:pPr>
            <w:r>
              <w:rPr>
                <w:sz w:val="20"/>
              </w:rPr>
              <w:t xml:space="preserve">не более 5</w:t>
            </w:r>
          </w:p>
        </w:tc>
        <w:tc>
          <w:tcPr>
            <w:tcW w:w="856" w:type="dxa"/>
          </w:tcPr>
          <w:p>
            <w:pPr>
              <w:pStyle w:val="0"/>
              <w:jc w:val="center"/>
            </w:pPr>
            <w:r>
              <w:rPr>
                <w:sz w:val="20"/>
              </w:rPr>
              <w:t xml:space="preserve">более 5, но не более 10</w:t>
            </w:r>
          </w:p>
        </w:tc>
        <w:tc>
          <w:tcPr>
            <w:tcW w:w="856" w:type="dxa"/>
          </w:tcPr>
          <w:p>
            <w:pPr>
              <w:pStyle w:val="0"/>
              <w:jc w:val="center"/>
            </w:pPr>
            <w:r>
              <w:rPr>
                <w:sz w:val="20"/>
              </w:rPr>
              <w:t xml:space="preserve">более 10, но не более 20</w:t>
            </w:r>
          </w:p>
        </w:tc>
        <w:tc>
          <w:tcPr>
            <w:tcW w:w="856" w:type="dxa"/>
          </w:tcPr>
          <w:p>
            <w:pPr>
              <w:pStyle w:val="0"/>
              <w:jc w:val="center"/>
            </w:pPr>
            <w:r>
              <w:rPr>
                <w:sz w:val="20"/>
              </w:rPr>
              <w:t xml:space="preserve">не более 10</w:t>
            </w:r>
          </w:p>
        </w:tc>
        <w:tc>
          <w:tcPr>
            <w:tcW w:w="856" w:type="dxa"/>
          </w:tcPr>
          <w:p>
            <w:pPr>
              <w:pStyle w:val="0"/>
              <w:jc w:val="center"/>
            </w:pPr>
            <w:r>
              <w:rPr>
                <w:sz w:val="20"/>
              </w:rPr>
              <w:t xml:space="preserve">более 10, но не более 20</w:t>
            </w:r>
          </w:p>
        </w:tc>
        <w:tc>
          <w:tcPr>
            <w:tcW w:w="856" w:type="dxa"/>
          </w:tcPr>
          <w:p>
            <w:pPr>
              <w:pStyle w:val="0"/>
              <w:jc w:val="center"/>
            </w:pPr>
            <w:r>
              <w:rPr>
                <w:sz w:val="20"/>
              </w:rPr>
              <w:t xml:space="preserve">более 20, но не более 50</w:t>
            </w:r>
          </w:p>
        </w:tc>
        <w:tc>
          <w:tcPr>
            <w:vMerge w:val="continue"/>
          </w:tcPr>
          <w:p/>
        </w:tc>
      </w:tr>
      <w:tr>
        <w:tblPrEx>
          <w:tblBorders>
            <w:insideH w:val="nil"/>
          </w:tblBorders>
        </w:tblPrEx>
        <w:tc>
          <w:tcPr>
            <w:tcW w:w="3052" w:type="dxa"/>
            <w:tcBorders>
              <w:bottom w:val="nil"/>
            </w:tcBorders>
          </w:tcPr>
          <w:p>
            <w:pPr>
              <w:pStyle w:val="0"/>
            </w:pPr>
            <w:r>
              <w:rPr>
                <w:sz w:val="20"/>
              </w:rPr>
              <w:t xml:space="preserve">Общественные здания и сооружения</w:t>
            </w:r>
          </w:p>
        </w:tc>
        <w:tc>
          <w:tcPr>
            <w:tcW w:w="856" w:type="dxa"/>
            <w:vAlign w:val="bottom"/>
            <w:tcBorders>
              <w:bottom w:val="nil"/>
            </w:tcBorders>
          </w:tcPr>
          <w:p>
            <w:pPr>
              <w:pStyle w:val="0"/>
              <w:jc w:val="center"/>
            </w:pPr>
            <w:r>
              <w:rPr>
                <w:sz w:val="20"/>
              </w:rPr>
              <w:t xml:space="preserve">40</w:t>
            </w:r>
          </w:p>
        </w:tc>
        <w:tc>
          <w:tcPr>
            <w:tcW w:w="856" w:type="dxa"/>
            <w:vAlign w:val="bottom"/>
            <w:tcBorders>
              <w:bottom w:val="nil"/>
            </w:tcBorders>
          </w:tcPr>
          <w:p>
            <w:pPr>
              <w:pStyle w:val="0"/>
              <w:jc w:val="center"/>
            </w:pPr>
            <w:r>
              <w:rPr>
                <w:sz w:val="20"/>
              </w:rPr>
              <w:t xml:space="preserve">50+</w:t>
            </w:r>
          </w:p>
        </w:tc>
        <w:tc>
          <w:tcPr>
            <w:tcW w:w="856" w:type="dxa"/>
            <w:vAlign w:val="bottom"/>
            <w:tcBorders>
              <w:bottom w:val="nil"/>
            </w:tcBorders>
          </w:tcPr>
          <w:p>
            <w:pPr>
              <w:pStyle w:val="0"/>
              <w:jc w:val="center"/>
            </w:pPr>
            <w:r>
              <w:rPr>
                <w:sz w:val="20"/>
              </w:rPr>
              <w:t xml:space="preserve">60+</w:t>
            </w:r>
          </w:p>
        </w:tc>
        <w:tc>
          <w:tcPr>
            <w:tcW w:w="856" w:type="dxa"/>
            <w:vAlign w:val="bottom"/>
            <w:tcBorders>
              <w:bottom w:val="nil"/>
            </w:tcBorders>
          </w:tcPr>
          <w:p>
            <w:pPr>
              <w:pStyle w:val="0"/>
              <w:jc w:val="center"/>
            </w:pPr>
            <w:r>
              <w:rPr>
                <w:sz w:val="20"/>
              </w:rPr>
              <w:t xml:space="preserve">15</w:t>
            </w:r>
          </w:p>
        </w:tc>
        <w:tc>
          <w:tcPr>
            <w:tcW w:w="856" w:type="dxa"/>
            <w:vAlign w:val="bottom"/>
            <w:tcBorders>
              <w:bottom w:val="nil"/>
            </w:tcBorders>
          </w:tcPr>
          <w:p>
            <w:pPr>
              <w:pStyle w:val="0"/>
              <w:jc w:val="center"/>
            </w:pPr>
            <w:r>
              <w:rPr>
                <w:sz w:val="20"/>
              </w:rPr>
              <w:t xml:space="preserve">20</w:t>
            </w:r>
          </w:p>
        </w:tc>
        <w:tc>
          <w:tcPr>
            <w:tcW w:w="856" w:type="dxa"/>
            <w:vAlign w:val="bottom"/>
            <w:tcBorders>
              <w:bottom w:val="nil"/>
            </w:tcBorders>
          </w:tcPr>
          <w:p>
            <w:pPr>
              <w:pStyle w:val="0"/>
              <w:jc w:val="center"/>
            </w:pPr>
            <w:r>
              <w:rPr>
                <w:sz w:val="20"/>
              </w:rPr>
              <w:t xml:space="preserve">30</w:t>
            </w:r>
          </w:p>
        </w:tc>
        <w:tc>
          <w:tcPr>
            <w:tcW w:w="2536" w:type="dxa"/>
            <w:vAlign w:val="bottom"/>
            <w:tcBorders>
              <w:bottom w:val="nil"/>
            </w:tcBorders>
          </w:tcPr>
          <w:p>
            <w:pPr>
              <w:pStyle w:val="0"/>
              <w:jc w:val="center"/>
            </w:pPr>
            <w:r>
              <w:rPr>
                <w:sz w:val="20"/>
              </w:rPr>
              <w:t xml:space="preserve">25</w:t>
            </w:r>
          </w:p>
        </w:tc>
      </w:tr>
      <w:tr>
        <w:tblPrEx>
          <w:tblBorders>
            <w:insideH w:val="nil"/>
          </w:tblBorders>
        </w:tblPrEx>
        <w:tc>
          <w:tcPr>
            <w:gridSpan w:val="8"/>
            <w:tcW w:w="10724" w:type="dxa"/>
            <w:tcBorders>
              <w:top w:val="nil"/>
            </w:tcBorders>
          </w:tcPr>
          <w:p>
            <w:pPr>
              <w:pStyle w:val="0"/>
              <w:jc w:val="both"/>
            </w:pPr>
            <w:r>
              <w:rPr>
                <w:sz w:val="20"/>
              </w:rPr>
              <w:t xml:space="preserve">(в ред. Федерального </w:t>
            </w:r>
            <w:hyperlink w:history="0" r:id="rId55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tc>
      </w:tr>
      <w:tr>
        <w:tc>
          <w:tcPr>
            <w:tcW w:w="3052" w:type="dxa"/>
          </w:tcPr>
          <w:p>
            <w:pPr>
              <w:pStyle w:val="0"/>
            </w:pPr>
            <w:r>
              <w:rPr>
                <w:sz w:val="20"/>
              </w:rPr>
              <w:t xml:space="preserve">Жилые здания</w:t>
            </w:r>
          </w:p>
        </w:tc>
        <w:tc>
          <w:tcPr>
            <w:tcW w:w="856" w:type="dxa"/>
          </w:tcPr>
          <w:p>
            <w:pPr>
              <w:pStyle w:val="0"/>
              <w:jc w:val="center"/>
            </w:pPr>
            <w:r>
              <w:rPr>
                <w:sz w:val="20"/>
              </w:rPr>
              <w:t xml:space="preserve">20</w:t>
            </w:r>
          </w:p>
        </w:tc>
        <w:tc>
          <w:tcPr>
            <w:tcW w:w="856" w:type="dxa"/>
          </w:tcPr>
          <w:p>
            <w:pPr>
              <w:pStyle w:val="0"/>
              <w:jc w:val="center"/>
            </w:pPr>
            <w:r>
              <w:rPr>
                <w:sz w:val="20"/>
              </w:rPr>
              <w:t xml:space="preserve">30+</w:t>
            </w:r>
          </w:p>
        </w:tc>
        <w:tc>
          <w:tcPr>
            <w:tcW w:w="856" w:type="dxa"/>
          </w:tcPr>
          <w:p>
            <w:pPr>
              <w:pStyle w:val="0"/>
              <w:jc w:val="center"/>
            </w:pPr>
            <w:r>
              <w:rPr>
                <w:sz w:val="20"/>
              </w:rPr>
              <w:t xml:space="preserve">40+</w:t>
            </w:r>
          </w:p>
        </w:tc>
        <w:tc>
          <w:tcPr>
            <w:tcW w:w="856" w:type="dxa"/>
          </w:tcPr>
          <w:p>
            <w:pPr>
              <w:pStyle w:val="0"/>
              <w:jc w:val="center"/>
            </w:pPr>
            <w:r>
              <w:rPr>
                <w:sz w:val="20"/>
              </w:rPr>
              <w:t xml:space="preserve">10</w:t>
            </w:r>
          </w:p>
        </w:tc>
        <w:tc>
          <w:tcPr>
            <w:tcW w:w="856" w:type="dxa"/>
          </w:tcPr>
          <w:p>
            <w:pPr>
              <w:pStyle w:val="0"/>
              <w:jc w:val="center"/>
            </w:pPr>
            <w:r>
              <w:rPr>
                <w:sz w:val="20"/>
              </w:rPr>
              <w:t xml:space="preserve">15</w:t>
            </w:r>
          </w:p>
        </w:tc>
        <w:tc>
          <w:tcPr>
            <w:tcW w:w="856" w:type="dxa"/>
          </w:tcPr>
          <w:p>
            <w:pPr>
              <w:pStyle w:val="0"/>
              <w:jc w:val="center"/>
            </w:pPr>
            <w:r>
              <w:rPr>
                <w:sz w:val="20"/>
              </w:rPr>
              <w:t xml:space="preserve">20</w:t>
            </w:r>
          </w:p>
        </w:tc>
        <w:tc>
          <w:tcPr>
            <w:tcW w:w="2536" w:type="dxa"/>
          </w:tcPr>
          <w:p>
            <w:pPr>
              <w:pStyle w:val="0"/>
              <w:jc w:val="center"/>
            </w:pPr>
            <w:r>
              <w:rPr>
                <w:sz w:val="20"/>
              </w:rPr>
              <w:t xml:space="preserve">12</w:t>
            </w:r>
          </w:p>
        </w:tc>
      </w:tr>
      <w:tr>
        <w:tc>
          <w:tcPr>
            <w:tcW w:w="3052" w:type="dxa"/>
          </w:tcPr>
          <w:p>
            <w:pPr>
              <w:pStyle w:val="0"/>
              <w:jc w:val="both"/>
            </w:pPr>
            <w:r>
              <w:rPr>
                <w:sz w:val="20"/>
              </w:rPr>
              <w:t xml:space="preserve">Детские и спортивные площадки, гаражи (от ограды резервуарной установки)</w:t>
            </w:r>
          </w:p>
        </w:tc>
        <w:tc>
          <w:tcPr>
            <w:tcW w:w="856" w:type="dxa"/>
            <w:vAlign w:val="bottom"/>
          </w:tcPr>
          <w:p>
            <w:pPr>
              <w:pStyle w:val="0"/>
              <w:jc w:val="center"/>
            </w:pPr>
            <w:r>
              <w:rPr>
                <w:sz w:val="20"/>
              </w:rPr>
              <w:t xml:space="preserve">20</w:t>
            </w:r>
          </w:p>
        </w:tc>
        <w:tc>
          <w:tcPr>
            <w:tcW w:w="856" w:type="dxa"/>
            <w:vAlign w:val="bottom"/>
          </w:tcPr>
          <w:p>
            <w:pPr>
              <w:pStyle w:val="0"/>
              <w:jc w:val="center"/>
            </w:pPr>
            <w:r>
              <w:rPr>
                <w:sz w:val="20"/>
              </w:rPr>
              <w:t xml:space="preserve">25</w:t>
            </w:r>
          </w:p>
        </w:tc>
        <w:tc>
          <w:tcPr>
            <w:tcW w:w="856" w:type="dxa"/>
            <w:vAlign w:val="bottom"/>
          </w:tcPr>
          <w:p>
            <w:pPr>
              <w:pStyle w:val="0"/>
              <w:jc w:val="center"/>
            </w:pPr>
            <w:r>
              <w:rPr>
                <w:sz w:val="20"/>
              </w:rPr>
              <w:t xml:space="preserve">30</w:t>
            </w:r>
          </w:p>
        </w:tc>
        <w:tc>
          <w:tcPr>
            <w:tcW w:w="856" w:type="dxa"/>
            <w:vAlign w:val="bottom"/>
          </w:tcPr>
          <w:p>
            <w:pPr>
              <w:pStyle w:val="0"/>
              <w:jc w:val="center"/>
            </w:pPr>
            <w:r>
              <w:rPr>
                <w:sz w:val="20"/>
              </w:rPr>
              <w:t xml:space="preserve">10</w:t>
            </w:r>
          </w:p>
        </w:tc>
        <w:tc>
          <w:tcPr>
            <w:tcW w:w="856" w:type="dxa"/>
            <w:vAlign w:val="bottom"/>
          </w:tcPr>
          <w:p>
            <w:pPr>
              <w:pStyle w:val="0"/>
              <w:jc w:val="center"/>
            </w:pPr>
            <w:r>
              <w:rPr>
                <w:sz w:val="20"/>
              </w:rPr>
              <w:t xml:space="preserve">10</w:t>
            </w:r>
          </w:p>
        </w:tc>
        <w:tc>
          <w:tcPr>
            <w:tcW w:w="856" w:type="dxa"/>
            <w:vAlign w:val="bottom"/>
          </w:tcPr>
          <w:p>
            <w:pPr>
              <w:pStyle w:val="0"/>
              <w:jc w:val="center"/>
            </w:pPr>
            <w:r>
              <w:rPr>
                <w:sz w:val="20"/>
              </w:rPr>
              <w:t xml:space="preserve">10</w:t>
            </w:r>
          </w:p>
        </w:tc>
        <w:tc>
          <w:tcPr>
            <w:tcW w:w="2536" w:type="dxa"/>
            <w:vAlign w:val="bottom"/>
          </w:tcPr>
          <w:p>
            <w:pPr>
              <w:pStyle w:val="0"/>
              <w:jc w:val="center"/>
            </w:pPr>
            <w:r>
              <w:rPr>
                <w:sz w:val="20"/>
              </w:rPr>
              <w:t xml:space="preserve">10</w:t>
            </w:r>
          </w:p>
        </w:tc>
      </w:tr>
      <w:tr>
        <w:tc>
          <w:tcPr>
            <w:tcW w:w="3052" w:type="dxa"/>
          </w:tcPr>
          <w:p>
            <w:pPr>
              <w:pStyle w:val="0"/>
            </w:pPr>
            <w:r>
              <w:rPr>
                <w:sz w:val="20"/>
              </w:rPr>
              <w:t xml:space="preserve">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856" w:type="dxa"/>
            <w:vAlign w:val="bottom"/>
          </w:tcPr>
          <w:p>
            <w:pPr>
              <w:pStyle w:val="0"/>
              <w:jc w:val="center"/>
            </w:pPr>
            <w:r>
              <w:rPr>
                <w:sz w:val="20"/>
              </w:rPr>
              <w:t xml:space="preserve">15</w:t>
            </w:r>
          </w:p>
        </w:tc>
        <w:tc>
          <w:tcPr>
            <w:tcW w:w="856" w:type="dxa"/>
            <w:vAlign w:val="bottom"/>
          </w:tcPr>
          <w:p>
            <w:pPr>
              <w:pStyle w:val="0"/>
              <w:jc w:val="center"/>
            </w:pPr>
            <w:r>
              <w:rPr>
                <w:sz w:val="20"/>
              </w:rPr>
              <w:t xml:space="preserve">20</w:t>
            </w:r>
          </w:p>
        </w:tc>
        <w:tc>
          <w:tcPr>
            <w:tcW w:w="856" w:type="dxa"/>
            <w:vAlign w:val="bottom"/>
          </w:tcPr>
          <w:p>
            <w:pPr>
              <w:pStyle w:val="0"/>
              <w:jc w:val="center"/>
            </w:pPr>
            <w:r>
              <w:rPr>
                <w:sz w:val="20"/>
              </w:rPr>
              <w:t xml:space="preserve">25</w:t>
            </w:r>
          </w:p>
        </w:tc>
        <w:tc>
          <w:tcPr>
            <w:tcW w:w="856" w:type="dxa"/>
            <w:vAlign w:val="bottom"/>
          </w:tcPr>
          <w:p>
            <w:pPr>
              <w:pStyle w:val="0"/>
              <w:jc w:val="center"/>
            </w:pPr>
            <w:r>
              <w:rPr>
                <w:sz w:val="20"/>
              </w:rPr>
              <w:t xml:space="preserve">8</w:t>
            </w:r>
          </w:p>
        </w:tc>
        <w:tc>
          <w:tcPr>
            <w:tcW w:w="856" w:type="dxa"/>
            <w:vAlign w:val="bottom"/>
          </w:tcPr>
          <w:p>
            <w:pPr>
              <w:pStyle w:val="0"/>
              <w:jc w:val="center"/>
            </w:pPr>
            <w:r>
              <w:rPr>
                <w:sz w:val="20"/>
              </w:rPr>
              <w:t xml:space="preserve">10</w:t>
            </w:r>
          </w:p>
        </w:tc>
        <w:tc>
          <w:tcPr>
            <w:tcW w:w="856" w:type="dxa"/>
            <w:vAlign w:val="bottom"/>
          </w:tcPr>
          <w:p>
            <w:pPr>
              <w:pStyle w:val="0"/>
              <w:jc w:val="center"/>
            </w:pPr>
            <w:r>
              <w:rPr>
                <w:sz w:val="20"/>
              </w:rPr>
              <w:t xml:space="preserve">15</w:t>
            </w:r>
          </w:p>
        </w:tc>
        <w:tc>
          <w:tcPr>
            <w:tcW w:w="2536" w:type="dxa"/>
            <w:vAlign w:val="bottom"/>
          </w:tcPr>
          <w:p>
            <w:pPr>
              <w:pStyle w:val="0"/>
              <w:jc w:val="center"/>
            </w:pPr>
            <w:r>
              <w:rPr>
                <w:sz w:val="20"/>
              </w:rPr>
              <w:t xml:space="preserve">12</w:t>
            </w:r>
          </w:p>
        </w:tc>
      </w:tr>
      <w:tr>
        <w:tc>
          <w:tcPr>
            <w:tcW w:w="3052" w:type="dxa"/>
          </w:tcPr>
          <w:p>
            <w:pPr>
              <w:pStyle w:val="0"/>
            </w:pPr>
            <w:r>
              <w:rPr>
                <w:sz w:val="20"/>
              </w:rPr>
              <w:t xml:space="preserve">Канализация, теплотрасса (подземные)</w:t>
            </w:r>
          </w:p>
        </w:tc>
        <w:tc>
          <w:tcPr>
            <w:tcW w:w="856" w:type="dxa"/>
            <w:vAlign w:val="bottom"/>
          </w:tcPr>
          <w:p>
            <w:pPr>
              <w:pStyle w:val="0"/>
              <w:jc w:val="center"/>
            </w:pPr>
            <w:r>
              <w:rPr>
                <w:sz w:val="20"/>
              </w:rPr>
              <w:t xml:space="preserve">3,5</w:t>
            </w:r>
          </w:p>
        </w:tc>
        <w:tc>
          <w:tcPr>
            <w:tcW w:w="856" w:type="dxa"/>
            <w:vAlign w:val="bottom"/>
          </w:tcPr>
          <w:p>
            <w:pPr>
              <w:pStyle w:val="0"/>
              <w:jc w:val="center"/>
            </w:pPr>
            <w:r>
              <w:rPr>
                <w:sz w:val="20"/>
              </w:rPr>
              <w:t xml:space="preserve">3,5</w:t>
            </w:r>
          </w:p>
        </w:tc>
        <w:tc>
          <w:tcPr>
            <w:tcW w:w="856" w:type="dxa"/>
            <w:vAlign w:val="bottom"/>
          </w:tcPr>
          <w:p>
            <w:pPr>
              <w:pStyle w:val="0"/>
              <w:jc w:val="center"/>
            </w:pPr>
            <w:r>
              <w:rPr>
                <w:sz w:val="20"/>
              </w:rPr>
              <w:t xml:space="preserve">3,5</w:t>
            </w:r>
          </w:p>
        </w:tc>
        <w:tc>
          <w:tcPr>
            <w:tcW w:w="856" w:type="dxa"/>
            <w:vAlign w:val="bottom"/>
          </w:tcPr>
          <w:p>
            <w:pPr>
              <w:pStyle w:val="0"/>
              <w:jc w:val="center"/>
            </w:pPr>
            <w:r>
              <w:rPr>
                <w:sz w:val="20"/>
              </w:rPr>
              <w:t xml:space="preserve">3,5</w:t>
            </w:r>
          </w:p>
        </w:tc>
        <w:tc>
          <w:tcPr>
            <w:tcW w:w="856" w:type="dxa"/>
            <w:vAlign w:val="bottom"/>
          </w:tcPr>
          <w:p>
            <w:pPr>
              <w:pStyle w:val="0"/>
              <w:jc w:val="center"/>
            </w:pPr>
            <w:r>
              <w:rPr>
                <w:sz w:val="20"/>
              </w:rPr>
              <w:t xml:space="preserve">3,5</w:t>
            </w:r>
          </w:p>
        </w:tc>
        <w:tc>
          <w:tcPr>
            <w:tcW w:w="856" w:type="dxa"/>
            <w:vAlign w:val="bottom"/>
          </w:tcPr>
          <w:p>
            <w:pPr>
              <w:pStyle w:val="0"/>
              <w:jc w:val="center"/>
            </w:pPr>
            <w:r>
              <w:rPr>
                <w:sz w:val="20"/>
              </w:rPr>
              <w:t xml:space="preserve">3,5</w:t>
            </w:r>
          </w:p>
        </w:tc>
        <w:tc>
          <w:tcPr>
            <w:tcW w:w="2536" w:type="dxa"/>
            <w:vAlign w:val="bottom"/>
          </w:tcPr>
          <w:p>
            <w:pPr>
              <w:pStyle w:val="0"/>
              <w:jc w:val="center"/>
            </w:pPr>
            <w:r>
              <w:rPr>
                <w:sz w:val="20"/>
              </w:rPr>
              <w:t xml:space="preserve">3,5</w:t>
            </w:r>
          </w:p>
        </w:tc>
      </w:tr>
      <w:tr>
        <w:tc>
          <w:tcPr>
            <w:tcW w:w="3052" w:type="dxa"/>
          </w:tcPr>
          <w:p>
            <w:pPr>
              <w:pStyle w:val="0"/>
            </w:pPr>
            <w:r>
              <w:rPr>
                <w:sz w:val="20"/>
              </w:rPr>
              <w:t xml:space="preserve">Надземные сооружения и коммуникации (эстакады, теплотрассы), не относящиеся к резервуарной установке</w:t>
            </w:r>
          </w:p>
        </w:tc>
        <w:tc>
          <w:tcPr>
            <w:tcW w:w="856" w:type="dxa"/>
            <w:vAlign w:val="bottom"/>
          </w:tcPr>
          <w:p>
            <w:pPr>
              <w:pStyle w:val="0"/>
              <w:jc w:val="center"/>
            </w:pPr>
            <w:r>
              <w:rPr>
                <w:sz w:val="20"/>
              </w:rPr>
              <w:t xml:space="preserve">5</w:t>
            </w:r>
          </w:p>
        </w:tc>
        <w:tc>
          <w:tcPr>
            <w:tcW w:w="856" w:type="dxa"/>
            <w:vAlign w:val="bottom"/>
          </w:tcPr>
          <w:p>
            <w:pPr>
              <w:pStyle w:val="0"/>
              <w:jc w:val="center"/>
            </w:pPr>
            <w:r>
              <w:rPr>
                <w:sz w:val="20"/>
              </w:rPr>
              <w:t xml:space="preserve">5</w:t>
            </w:r>
          </w:p>
        </w:tc>
        <w:tc>
          <w:tcPr>
            <w:tcW w:w="856" w:type="dxa"/>
            <w:vAlign w:val="bottom"/>
          </w:tcPr>
          <w:p>
            <w:pPr>
              <w:pStyle w:val="0"/>
              <w:jc w:val="center"/>
            </w:pPr>
            <w:r>
              <w:rPr>
                <w:sz w:val="20"/>
              </w:rPr>
              <w:t xml:space="preserve">5</w:t>
            </w:r>
          </w:p>
        </w:tc>
        <w:tc>
          <w:tcPr>
            <w:tcW w:w="856" w:type="dxa"/>
            <w:vAlign w:val="bottom"/>
          </w:tcPr>
          <w:p>
            <w:pPr>
              <w:pStyle w:val="0"/>
              <w:jc w:val="center"/>
            </w:pPr>
            <w:r>
              <w:rPr>
                <w:sz w:val="20"/>
              </w:rPr>
              <w:t xml:space="preserve">5</w:t>
            </w:r>
          </w:p>
        </w:tc>
        <w:tc>
          <w:tcPr>
            <w:tcW w:w="856" w:type="dxa"/>
            <w:vAlign w:val="bottom"/>
          </w:tcPr>
          <w:p>
            <w:pPr>
              <w:pStyle w:val="0"/>
              <w:jc w:val="center"/>
            </w:pPr>
            <w:r>
              <w:rPr>
                <w:sz w:val="20"/>
              </w:rPr>
              <w:t xml:space="preserve">5</w:t>
            </w:r>
          </w:p>
        </w:tc>
        <w:tc>
          <w:tcPr>
            <w:tcW w:w="856" w:type="dxa"/>
            <w:vAlign w:val="bottom"/>
          </w:tcPr>
          <w:p>
            <w:pPr>
              <w:pStyle w:val="0"/>
              <w:jc w:val="center"/>
            </w:pPr>
            <w:r>
              <w:rPr>
                <w:sz w:val="20"/>
              </w:rPr>
              <w:t xml:space="preserve">5</w:t>
            </w:r>
          </w:p>
        </w:tc>
        <w:tc>
          <w:tcPr>
            <w:tcW w:w="2536" w:type="dxa"/>
            <w:vAlign w:val="bottom"/>
          </w:tcPr>
          <w:p>
            <w:pPr>
              <w:pStyle w:val="0"/>
              <w:jc w:val="center"/>
            </w:pPr>
            <w:r>
              <w:rPr>
                <w:sz w:val="20"/>
              </w:rPr>
              <w:t xml:space="preserve">5</w:t>
            </w:r>
          </w:p>
        </w:tc>
      </w:tr>
      <w:tr>
        <w:tc>
          <w:tcPr>
            <w:tcW w:w="3052" w:type="dxa"/>
          </w:tcPr>
          <w:p>
            <w:pPr>
              <w:pStyle w:val="0"/>
            </w:pPr>
            <w:r>
              <w:rPr>
                <w:sz w:val="20"/>
              </w:rPr>
              <w:t xml:space="preserve">Водопровод и другие бесканальные коммуникации</w:t>
            </w:r>
          </w:p>
        </w:tc>
        <w:tc>
          <w:tcPr>
            <w:tcW w:w="856" w:type="dxa"/>
            <w:vAlign w:val="bottom"/>
          </w:tcPr>
          <w:p>
            <w:pPr>
              <w:pStyle w:val="0"/>
              <w:jc w:val="center"/>
            </w:pPr>
            <w:r>
              <w:rPr>
                <w:sz w:val="20"/>
              </w:rPr>
              <w:t xml:space="preserve">2</w:t>
            </w:r>
          </w:p>
        </w:tc>
        <w:tc>
          <w:tcPr>
            <w:tcW w:w="856" w:type="dxa"/>
            <w:vAlign w:val="bottom"/>
          </w:tcPr>
          <w:p>
            <w:pPr>
              <w:pStyle w:val="0"/>
              <w:jc w:val="center"/>
            </w:pPr>
            <w:r>
              <w:rPr>
                <w:sz w:val="20"/>
              </w:rPr>
              <w:t xml:space="preserve">2</w:t>
            </w:r>
          </w:p>
        </w:tc>
        <w:tc>
          <w:tcPr>
            <w:tcW w:w="856" w:type="dxa"/>
            <w:vAlign w:val="bottom"/>
          </w:tcPr>
          <w:p>
            <w:pPr>
              <w:pStyle w:val="0"/>
              <w:jc w:val="center"/>
            </w:pPr>
            <w:r>
              <w:rPr>
                <w:sz w:val="20"/>
              </w:rPr>
              <w:t xml:space="preserve">2</w:t>
            </w:r>
          </w:p>
        </w:tc>
        <w:tc>
          <w:tcPr>
            <w:tcW w:w="856" w:type="dxa"/>
            <w:vAlign w:val="bottom"/>
          </w:tcPr>
          <w:p>
            <w:pPr>
              <w:pStyle w:val="0"/>
              <w:jc w:val="center"/>
            </w:pPr>
            <w:r>
              <w:rPr>
                <w:sz w:val="20"/>
              </w:rPr>
              <w:t xml:space="preserve">2</w:t>
            </w:r>
          </w:p>
        </w:tc>
        <w:tc>
          <w:tcPr>
            <w:tcW w:w="856" w:type="dxa"/>
            <w:vAlign w:val="bottom"/>
          </w:tcPr>
          <w:p>
            <w:pPr>
              <w:pStyle w:val="0"/>
              <w:jc w:val="center"/>
            </w:pPr>
            <w:r>
              <w:rPr>
                <w:sz w:val="20"/>
              </w:rPr>
              <w:t xml:space="preserve">2</w:t>
            </w:r>
          </w:p>
        </w:tc>
        <w:tc>
          <w:tcPr>
            <w:tcW w:w="856" w:type="dxa"/>
            <w:vAlign w:val="bottom"/>
          </w:tcPr>
          <w:p>
            <w:pPr>
              <w:pStyle w:val="0"/>
              <w:jc w:val="center"/>
            </w:pPr>
            <w:r>
              <w:rPr>
                <w:sz w:val="20"/>
              </w:rPr>
              <w:t xml:space="preserve">2</w:t>
            </w:r>
          </w:p>
        </w:tc>
        <w:tc>
          <w:tcPr>
            <w:tcW w:w="2536" w:type="dxa"/>
            <w:vAlign w:val="bottom"/>
          </w:tcPr>
          <w:p>
            <w:pPr>
              <w:pStyle w:val="0"/>
              <w:jc w:val="center"/>
            </w:pPr>
            <w:r>
              <w:rPr>
                <w:sz w:val="20"/>
              </w:rPr>
              <w:t xml:space="preserve">2</w:t>
            </w:r>
          </w:p>
        </w:tc>
      </w:tr>
      <w:tr>
        <w:tc>
          <w:tcPr>
            <w:tcW w:w="3052" w:type="dxa"/>
          </w:tcPr>
          <w:p>
            <w:pPr>
              <w:pStyle w:val="0"/>
            </w:pPr>
            <w:r>
              <w:rPr>
                <w:sz w:val="20"/>
              </w:rPr>
              <w:t xml:space="preserve">Колодцы подземных коммуникаций</w:t>
            </w:r>
          </w:p>
        </w:tc>
        <w:tc>
          <w:tcPr>
            <w:tcW w:w="856" w:type="dxa"/>
            <w:vAlign w:val="bottom"/>
          </w:tcPr>
          <w:p>
            <w:pPr>
              <w:pStyle w:val="0"/>
              <w:jc w:val="center"/>
            </w:pPr>
            <w:r>
              <w:rPr>
                <w:sz w:val="20"/>
              </w:rPr>
              <w:t xml:space="preserve">5</w:t>
            </w:r>
          </w:p>
        </w:tc>
        <w:tc>
          <w:tcPr>
            <w:tcW w:w="856" w:type="dxa"/>
            <w:vAlign w:val="bottom"/>
          </w:tcPr>
          <w:p>
            <w:pPr>
              <w:pStyle w:val="0"/>
              <w:jc w:val="center"/>
            </w:pPr>
            <w:r>
              <w:rPr>
                <w:sz w:val="20"/>
              </w:rPr>
              <w:t xml:space="preserve">5</w:t>
            </w:r>
          </w:p>
        </w:tc>
        <w:tc>
          <w:tcPr>
            <w:tcW w:w="856" w:type="dxa"/>
            <w:vAlign w:val="bottom"/>
          </w:tcPr>
          <w:p>
            <w:pPr>
              <w:pStyle w:val="0"/>
              <w:jc w:val="center"/>
            </w:pPr>
            <w:r>
              <w:rPr>
                <w:sz w:val="20"/>
              </w:rPr>
              <w:t xml:space="preserve">5</w:t>
            </w:r>
          </w:p>
        </w:tc>
        <w:tc>
          <w:tcPr>
            <w:tcW w:w="856" w:type="dxa"/>
            <w:vAlign w:val="bottom"/>
          </w:tcPr>
          <w:p>
            <w:pPr>
              <w:pStyle w:val="0"/>
              <w:jc w:val="center"/>
            </w:pPr>
            <w:r>
              <w:rPr>
                <w:sz w:val="20"/>
              </w:rPr>
              <w:t xml:space="preserve">5</w:t>
            </w:r>
          </w:p>
        </w:tc>
        <w:tc>
          <w:tcPr>
            <w:tcW w:w="856" w:type="dxa"/>
            <w:vAlign w:val="bottom"/>
          </w:tcPr>
          <w:p>
            <w:pPr>
              <w:pStyle w:val="0"/>
              <w:jc w:val="center"/>
            </w:pPr>
            <w:r>
              <w:rPr>
                <w:sz w:val="20"/>
              </w:rPr>
              <w:t xml:space="preserve">5</w:t>
            </w:r>
          </w:p>
        </w:tc>
        <w:tc>
          <w:tcPr>
            <w:tcW w:w="856" w:type="dxa"/>
            <w:vAlign w:val="bottom"/>
          </w:tcPr>
          <w:p>
            <w:pPr>
              <w:pStyle w:val="0"/>
              <w:jc w:val="center"/>
            </w:pPr>
            <w:r>
              <w:rPr>
                <w:sz w:val="20"/>
              </w:rPr>
              <w:t xml:space="preserve">5</w:t>
            </w:r>
          </w:p>
        </w:tc>
        <w:tc>
          <w:tcPr>
            <w:tcW w:w="2536" w:type="dxa"/>
            <w:vAlign w:val="bottom"/>
          </w:tcPr>
          <w:p>
            <w:pPr>
              <w:pStyle w:val="0"/>
              <w:jc w:val="center"/>
            </w:pPr>
            <w:r>
              <w:rPr>
                <w:sz w:val="20"/>
              </w:rPr>
              <w:t xml:space="preserve">5</w:t>
            </w:r>
          </w:p>
        </w:tc>
      </w:tr>
      <w:tr>
        <w:tc>
          <w:tcPr>
            <w:tcW w:w="3052" w:type="dxa"/>
          </w:tcPr>
          <w:p>
            <w:pPr>
              <w:pStyle w:val="0"/>
            </w:pPr>
            <w:r>
              <w:rPr>
                <w:sz w:val="20"/>
              </w:rPr>
              <w:t xml:space="preserve">Железные дороги общей сети (до подошвы насыпи или бровки выемки со стороны резервуаров)</w:t>
            </w:r>
          </w:p>
        </w:tc>
        <w:tc>
          <w:tcPr>
            <w:tcW w:w="856" w:type="dxa"/>
            <w:vAlign w:val="bottom"/>
          </w:tcPr>
          <w:p>
            <w:pPr>
              <w:pStyle w:val="0"/>
              <w:jc w:val="center"/>
            </w:pPr>
            <w:r>
              <w:rPr>
                <w:sz w:val="20"/>
              </w:rPr>
              <w:t xml:space="preserve">25</w:t>
            </w:r>
          </w:p>
        </w:tc>
        <w:tc>
          <w:tcPr>
            <w:tcW w:w="856" w:type="dxa"/>
            <w:vAlign w:val="bottom"/>
          </w:tcPr>
          <w:p>
            <w:pPr>
              <w:pStyle w:val="0"/>
              <w:jc w:val="center"/>
            </w:pPr>
            <w:r>
              <w:rPr>
                <w:sz w:val="20"/>
              </w:rPr>
              <w:t xml:space="preserve">30</w:t>
            </w:r>
          </w:p>
        </w:tc>
        <w:tc>
          <w:tcPr>
            <w:tcW w:w="856" w:type="dxa"/>
            <w:vAlign w:val="bottom"/>
          </w:tcPr>
          <w:p>
            <w:pPr>
              <w:pStyle w:val="0"/>
              <w:jc w:val="center"/>
            </w:pPr>
            <w:r>
              <w:rPr>
                <w:sz w:val="20"/>
              </w:rPr>
              <w:t xml:space="preserve">40</w:t>
            </w:r>
          </w:p>
        </w:tc>
        <w:tc>
          <w:tcPr>
            <w:tcW w:w="856" w:type="dxa"/>
            <w:vAlign w:val="bottom"/>
          </w:tcPr>
          <w:p>
            <w:pPr>
              <w:pStyle w:val="0"/>
              <w:jc w:val="center"/>
            </w:pPr>
            <w:r>
              <w:rPr>
                <w:sz w:val="20"/>
              </w:rPr>
              <w:t xml:space="preserve">20</w:t>
            </w:r>
          </w:p>
        </w:tc>
        <w:tc>
          <w:tcPr>
            <w:tcW w:w="856" w:type="dxa"/>
            <w:vAlign w:val="bottom"/>
          </w:tcPr>
          <w:p>
            <w:pPr>
              <w:pStyle w:val="0"/>
              <w:jc w:val="center"/>
            </w:pPr>
            <w:r>
              <w:rPr>
                <w:sz w:val="20"/>
              </w:rPr>
              <w:t xml:space="preserve">25</w:t>
            </w:r>
          </w:p>
        </w:tc>
        <w:tc>
          <w:tcPr>
            <w:tcW w:w="856" w:type="dxa"/>
            <w:vAlign w:val="bottom"/>
          </w:tcPr>
          <w:p>
            <w:pPr>
              <w:pStyle w:val="0"/>
              <w:jc w:val="center"/>
            </w:pPr>
            <w:r>
              <w:rPr>
                <w:sz w:val="20"/>
              </w:rPr>
              <w:t xml:space="preserve">30</w:t>
            </w:r>
          </w:p>
        </w:tc>
        <w:tc>
          <w:tcPr>
            <w:tcW w:w="2536" w:type="dxa"/>
            <w:vAlign w:val="bottom"/>
          </w:tcPr>
          <w:p>
            <w:pPr>
              <w:pStyle w:val="0"/>
              <w:jc w:val="center"/>
            </w:pPr>
            <w:r>
              <w:rPr>
                <w:sz w:val="20"/>
              </w:rPr>
              <w:t xml:space="preserve">20</w:t>
            </w:r>
          </w:p>
        </w:tc>
      </w:tr>
      <w:tr>
        <w:tc>
          <w:tcPr>
            <w:tcW w:w="3052" w:type="dxa"/>
          </w:tcPr>
          <w:p>
            <w:pPr>
              <w:pStyle w:val="0"/>
            </w:pPr>
            <w:r>
              <w:rPr>
                <w:sz w:val="20"/>
              </w:rPr>
              <w:t xml:space="preserve">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856" w:type="dxa"/>
            <w:vAlign w:val="bottom"/>
          </w:tcPr>
          <w:p>
            <w:pPr>
              <w:pStyle w:val="0"/>
              <w:jc w:val="center"/>
            </w:pPr>
            <w:r>
              <w:rPr>
                <w:sz w:val="20"/>
              </w:rPr>
              <w:t xml:space="preserve">20</w:t>
            </w:r>
          </w:p>
        </w:tc>
        <w:tc>
          <w:tcPr>
            <w:tcW w:w="856" w:type="dxa"/>
            <w:vAlign w:val="bottom"/>
          </w:tcPr>
          <w:p>
            <w:pPr>
              <w:pStyle w:val="0"/>
              <w:jc w:val="center"/>
            </w:pPr>
            <w:r>
              <w:rPr>
                <w:sz w:val="20"/>
              </w:rPr>
              <w:t xml:space="preserve">20</w:t>
            </w:r>
          </w:p>
        </w:tc>
        <w:tc>
          <w:tcPr>
            <w:tcW w:w="856" w:type="dxa"/>
            <w:vAlign w:val="bottom"/>
          </w:tcPr>
          <w:p>
            <w:pPr>
              <w:pStyle w:val="0"/>
              <w:jc w:val="center"/>
            </w:pPr>
            <w:r>
              <w:rPr>
                <w:sz w:val="20"/>
              </w:rPr>
              <w:t xml:space="preserve">20</w:t>
            </w:r>
          </w:p>
        </w:tc>
        <w:tc>
          <w:tcPr>
            <w:tcW w:w="856" w:type="dxa"/>
            <w:vAlign w:val="bottom"/>
          </w:tcPr>
          <w:p>
            <w:pPr>
              <w:pStyle w:val="0"/>
              <w:jc w:val="center"/>
            </w:pPr>
            <w:r>
              <w:rPr>
                <w:sz w:val="20"/>
              </w:rPr>
              <w:t xml:space="preserve">10</w:t>
            </w:r>
          </w:p>
        </w:tc>
        <w:tc>
          <w:tcPr>
            <w:tcW w:w="856" w:type="dxa"/>
            <w:vAlign w:val="bottom"/>
          </w:tcPr>
          <w:p>
            <w:pPr>
              <w:pStyle w:val="0"/>
              <w:jc w:val="center"/>
            </w:pPr>
            <w:r>
              <w:rPr>
                <w:sz w:val="20"/>
              </w:rPr>
              <w:t xml:space="preserve">10</w:t>
            </w:r>
          </w:p>
        </w:tc>
        <w:tc>
          <w:tcPr>
            <w:tcW w:w="856" w:type="dxa"/>
            <w:vAlign w:val="bottom"/>
          </w:tcPr>
          <w:p>
            <w:pPr>
              <w:pStyle w:val="0"/>
              <w:jc w:val="center"/>
            </w:pPr>
            <w:r>
              <w:rPr>
                <w:sz w:val="20"/>
              </w:rPr>
              <w:t xml:space="preserve">10</w:t>
            </w:r>
          </w:p>
        </w:tc>
        <w:tc>
          <w:tcPr>
            <w:tcW w:w="2536" w:type="dxa"/>
            <w:vAlign w:val="bottom"/>
          </w:tcPr>
          <w:p>
            <w:pPr>
              <w:pStyle w:val="0"/>
              <w:jc w:val="center"/>
            </w:pPr>
            <w:r>
              <w:rPr>
                <w:sz w:val="20"/>
              </w:rPr>
              <w:t xml:space="preserve">10</w:t>
            </w:r>
          </w:p>
        </w:tc>
      </w:tr>
      <w:tr>
        <w:tc>
          <w:tcPr>
            <w:tcW w:w="3052" w:type="dxa"/>
          </w:tcPr>
          <w:p>
            <w:pPr>
              <w:pStyle w:val="0"/>
              <w:jc w:val="both"/>
            </w:pPr>
            <w:r>
              <w:rPr>
                <w:sz w:val="20"/>
              </w:rPr>
              <w:t xml:space="preserve">Автомобильные дороги IV и V категорий (до края проезжей части) организаций</w:t>
            </w:r>
          </w:p>
        </w:tc>
        <w:tc>
          <w:tcPr>
            <w:tcW w:w="856" w:type="dxa"/>
            <w:vAlign w:val="bottom"/>
          </w:tcPr>
          <w:p>
            <w:pPr>
              <w:pStyle w:val="0"/>
              <w:jc w:val="center"/>
            </w:pPr>
            <w:r>
              <w:rPr>
                <w:sz w:val="20"/>
              </w:rPr>
              <w:t xml:space="preserve">10</w:t>
            </w:r>
          </w:p>
        </w:tc>
        <w:tc>
          <w:tcPr>
            <w:tcW w:w="856" w:type="dxa"/>
            <w:vAlign w:val="bottom"/>
          </w:tcPr>
          <w:p>
            <w:pPr>
              <w:pStyle w:val="0"/>
              <w:jc w:val="center"/>
            </w:pPr>
            <w:r>
              <w:rPr>
                <w:sz w:val="20"/>
              </w:rPr>
              <w:t xml:space="preserve">10</w:t>
            </w:r>
          </w:p>
        </w:tc>
        <w:tc>
          <w:tcPr>
            <w:tcW w:w="856" w:type="dxa"/>
            <w:vAlign w:val="bottom"/>
          </w:tcPr>
          <w:p>
            <w:pPr>
              <w:pStyle w:val="0"/>
              <w:jc w:val="center"/>
            </w:pPr>
            <w:r>
              <w:rPr>
                <w:sz w:val="20"/>
              </w:rPr>
              <w:t xml:space="preserve">10</w:t>
            </w:r>
          </w:p>
        </w:tc>
        <w:tc>
          <w:tcPr>
            <w:tcW w:w="856" w:type="dxa"/>
            <w:vAlign w:val="bottom"/>
          </w:tcPr>
          <w:p>
            <w:pPr>
              <w:pStyle w:val="0"/>
              <w:jc w:val="center"/>
            </w:pPr>
            <w:r>
              <w:rPr>
                <w:sz w:val="20"/>
              </w:rPr>
              <w:t xml:space="preserve">5</w:t>
            </w:r>
          </w:p>
        </w:tc>
        <w:tc>
          <w:tcPr>
            <w:tcW w:w="856" w:type="dxa"/>
            <w:vAlign w:val="bottom"/>
          </w:tcPr>
          <w:p>
            <w:pPr>
              <w:pStyle w:val="0"/>
              <w:jc w:val="center"/>
            </w:pPr>
            <w:r>
              <w:rPr>
                <w:sz w:val="20"/>
              </w:rPr>
              <w:t xml:space="preserve">5</w:t>
            </w:r>
          </w:p>
        </w:tc>
        <w:tc>
          <w:tcPr>
            <w:tcW w:w="856" w:type="dxa"/>
            <w:vAlign w:val="bottom"/>
          </w:tcPr>
          <w:p>
            <w:pPr>
              <w:pStyle w:val="0"/>
              <w:jc w:val="center"/>
            </w:pPr>
            <w:r>
              <w:rPr>
                <w:sz w:val="20"/>
              </w:rPr>
              <w:t xml:space="preserve">5</w:t>
            </w:r>
          </w:p>
        </w:tc>
        <w:tc>
          <w:tcPr>
            <w:tcW w:w="2536" w:type="dxa"/>
            <w:vAlign w:val="bottom"/>
          </w:tcPr>
          <w:p>
            <w:pPr>
              <w:pStyle w:val="0"/>
              <w:jc w:val="center"/>
            </w:pPr>
            <w:r>
              <w:rPr>
                <w:sz w:val="20"/>
              </w:rPr>
              <w:t xml:space="preserve">5</w:t>
            </w:r>
          </w:p>
        </w:tc>
      </w:tr>
    </w:tbl>
    <w:p>
      <w:pPr>
        <w:pStyle w:val="0"/>
        <w:ind w:firstLine="540"/>
        <w:jc w:val="both"/>
      </w:pPr>
      <w:r>
        <w:rPr>
          <w:sz w:val="20"/>
        </w:rPr>
      </w:r>
    </w:p>
    <w:p>
      <w:pPr>
        <w:pStyle w:val="0"/>
        <w:ind w:firstLine="540"/>
        <w:jc w:val="both"/>
      </w:pPr>
      <w:r>
        <w:rPr>
          <w:sz w:val="20"/>
        </w:rPr>
        <w:t xml:space="preserve">Примечание. Знак "+" обозначает расстояние от резервуарной установки организаций до зданий и сооружений, которые установкой не обслуживаются.</w:t>
      </w:r>
    </w:p>
    <w:p>
      <w:pPr>
        <w:pStyle w:val="0"/>
        <w:jc w:val="both"/>
      </w:pPr>
      <w:r>
        <w:rPr>
          <w:sz w:val="20"/>
        </w:rPr>
        <w:t xml:space="preserve">(в ред. Федерального </w:t>
      </w:r>
      <w:hyperlink w:history="0" r:id="rId55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bookmarkStart w:id="2810" w:name="P2810"/>
    <w:bookmarkEnd w:id="2810"/>
    <w:p>
      <w:pPr>
        <w:pStyle w:val="0"/>
        <w:outlineLvl w:val="1"/>
        <w:jc w:val="center"/>
      </w:pPr>
      <w:r>
        <w:rPr>
          <w:sz w:val="20"/>
        </w:rPr>
        <w:t xml:space="preserve">Таблица 20</w:t>
      </w:r>
    </w:p>
    <w:p>
      <w:pPr>
        <w:pStyle w:val="0"/>
        <w:jc w:val="right"/>
      </w:pPr>
      <w:r>
        <w:rPr>
          <w:sz w:val="20"/>
        </w:rPr>
      </w:r>
    </w:p>
    <w:bookmarkStart w:id="2812" w:name="P2812"/>
    <w:bookmarkEnd w:id="2812"/>
    <w:p>
      <w:pPr>
        <w:pStyle w:val="2"/>
        <w:jc w:val="center"/>
      </w:pPr>
      <w:r>
        <w:rPr>
          <w:sz w:val="20"/>
        </w:rPr>
        <w:t xml:space="preserve">Противопожарные расстояния от резервуарных установок</w:t>
      </w:r>
    </w:p>
    <w:p>
      <w:pPr>
        <w:pStyle w:val="2"/>
        <w:jc w:val="center"/>
      </w:pPr>
      <w:r>
        <w:rPr>
          <w:sz w:val="20"/>
        </w:rPr>
        <w:t xml:space="preserve">сжиженных углеводородных газов до объектов защиты</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39"/>
        <w:gridCol w:w="694"/>
        <w:gridCol w:w="694"/>
        <w:gridCol w:w="769"/>
        <w:gridCol w:w="514"/>
        <w:gridCol w:w="694"/>
        <w:gridCol w:w="694"/>
        <w:gridCol w:w="694"/>
        <w:gridCol w:w="514"/>
        <w:gridCol w:w="694"/>
        <w:gridCol w:w="2074"/>
        <w:gridCol w:w="1037"/>
        <w:gridCol w:w="1037"/>
      </w:tblGrid>
      <w:tr>
        <w:tc>
          <w:tcPr>
            <w:tcW w:w="2239" w:type="dxa"/>
            <w:vMerge w:val="restart"/>
          </w:tcPr>
          <w:p>
            <w:pPr>
              <w:pStyle w:val="0"/>
              <w:jc w:val="center"/>
            </w:pPr>
            <w:r>
              <w:rPr>
                <w:sz w:val="20"/>
              </w:rPr>
              <w:t xml:space="preserve">Здания, сооружения и коммуникации</w:t>
            </w:r>
          </w:p>
        </w:tc>
        <w:tc>
          <w:tcPr>
            <w:gridSpan w:val="9"/>
            <w:tcW w:w="5961" w:type="dxa"/>
          </w:tcPr>
          <w:p>
            <w:pPr>
              <w:pStyle w:val="0"/>
              <w:jc w:val="center"/>
            </w:pPr>
            <w:r>
              <w:rPr>
                <w:sz w:val="20"/>
              </w:rPr>
              <w:t xml:space="preserve">Противопожарные расстояния от резервуаров сжиженных углеводородных газов, метры</w:t>
            </w:r>
          </w:p>
        </w:tc>
        <w:tc>
          <w:tcPr>
            <w:tcW w:w="2074" w:type="dxa"/>
            <w:vMerge w:val="restart"/>
          </w:tcPr>
          <w:p>
            <w:pPr>
              <w:pStyle w:val="0"/>
              <w:jc w:val="center"/>
            </w:pPr>
            <w:r>
              <w:rPr>
                <w:sz w:val="20"/>
              </w:rPr>
              <w:t xml:space="preserve">Противопожарные расстояния от помещений, установок, где используется сжиженный углеводородный газ, метры</w:t>
            </w:r>
          </w:p>
        </w:tc>
        <w:tc>
          <w:tcPr>
            <w:gridSpan w:val="2"/>
            <w:tcW w:w="2074" w:type="dxa"/>
            <w:vMerge w:val="restart"/>
          </w:tcPr>
          <w:p>
            <w:pPr>
              <w:pStyle w:val="0"/>
              <w:jc w:val="center"/>
            </w:pPr>
            <w:r>
              <w:rPr>
                <w:sz w:val="20"/>
              </w:rPr>
              <w:t xml:space="preserve">Противопожарные расстояния от склада наполненных баллонов общей вместимостью, метры</w:t>
            </w:r>
          </w:p>
        </w:tc>
      </w:tr>
      <w:tr>
        <w:tc>
          <w:tcPr>
            <w:vMerge w:val="continue"/>
          </w:tcPr>
          <w:p/>
        </w:tc>
        <w:tc>
          <w:tcPr>
            <w:gridSpan w:val="5"/>
            <w:tcW w:w="3365" w:type="dxa"/>
          </w:tcPr>
          <w:p>
            <w:pPr>
              <w:pStyle w:val="0"/>
              <w:jc w:val="center"/>
            </w:pPr>
            <w:r>
              <w:rPr>
                <w:sz w:val="20"/>
              </w:rPr>
              <w:t xml:space="preserve">надземных</w:t>
            </w:r>
          </w:p>
        </w:tc>
        <w:tc>
          <w:tcPr>
            <w:gridSpan w:val="4"/>
            <w:tcW w:w="2596" w:type="dxa"/>
          </w:tcPr>
          <w:p>
            <w:pPr>
              <w:pStyle w:val="0"/>
              <w:jc w:val="center"/>
            </w:pPr>
            <w:r>
              <w:rPr>
                <w:sz w:val="20"/>
              </w:rPr>
              <w:t xml:space="preserve">подземных</w:t>
            </w:r>
          </w:p>
        </w:tc>
        <w:tc>
          <w:tcPr>
            <w:vMerge w:val="continue"/>
          </w:tcPr>
          <w:p/>
        </w:tc>
        <w:tc>
          <w:tcPr>
            <w:gridSpan w:val="2"/>
            <w:vMerge w:val="continue"/>
          </w:tcPr>
          <w:p/>
        </w:tc>
      </w:tr>
      <w:tr>
        <w:tc>
          <w:tcPr>
            <w:vMerge w:val="continue"/>
          </w:tcPr>
          <w:p/>
        </w:tc>
        <w:tc>
          <w:tcPr>
            <w:gridSpan w:val="9"/>
            <w:tcW w:w="5961" w:type="dxa"/>
          </w:tcPr>
          <w:p>
            <w:pPr>
              <w:pStyle w:val="0"/>
              <w:jc w:val="center"/>
            </w:pPr>
            <w:r>
              <w:rPr>
                <w:sz w:val="20"/>
              </w:rPr>
              <w:t xml:space="preserve">при общей вместимости одного резервуара, кубические метры</w:t>
            </w:r>
          </w:p>
        </w:tc>
        <w:tc>
          <w:tcPr>
            <w:vMerge w:val="continue"/>
          </w:tcPr>
          <w:p/>
        </w:tc>
        <w:tc>
          <w:tcPr>
            <w:gridSpan w:val="2"/>
            <w:vMerge w:val="continue"/>
          </w:tcPr>
          <w:p/>
        </w:tc>
      </w:tr>
      <w:tr>
        <w:tc>
          <w:tcPr>
            <w:vMerge w:val="continue"/>
          </w:tcPr>
          <w:p/>
        </w:tc>
        <w:tc>
          <w:tcPr>
            <w:tcW w:w="694" w:type="dxa"/>
          </w:tcPr>
          <w:p>
            <w:pPr>
              <w:pStyle w:val="0"/>
              <w:jc w:val="center"/>
            </w:pPr>
            <w:r>
              <w:rPr>
                <w:sz w:val="20"/>
              </w:rPr>
              <w:t xml:space="preserve">более 20, но не более 50</w:t>
            </w:r>
          </w:p>
        </w:tc>
        <w:tc>
          <w:tcPr>
            <w:tcW w:w="694" w:type="dxa"/>
          </w:tcPr>
          <w:p>
            <w:pPr>
              <w:pStyle w:val="0"/>
              <w:jc w:val="center"/>
            </w:pPr>
            <w:r>
              <w:rPr>
                <w:sz w:val="20"/>
              </w:rPr>
              <w:t xml:space="preserve">более 50, но не более 200</w:t>
            </w:r>
          </w:p>
        </w:tc>
        <w:tc>
          <w:tcPr>
            <w:tcW w:w="769" w:type="dxa"/>
          </w:tcPr>
          <w:p>
            <w:pPr>
              <w:pStyle w:val="0"/>
              <w:jc w:val="center"/>
            </w:pPr>
            <w:r>
              <w:rPr>
                <w:sz w:val="20"/>
              </w:rPr>
              <w:t xml:space="preserve">более 50, но не более 500</w:t>
            </w:r>
          </w:p>
        </w:tc>
        <w:tc>
          <w:tcPr>
            <w:gridSpan w:val="2"/>
            <w:tcW w:w="1208" w:type="dxa"/>
          </w:tcPr>
          <w:p>
            <w:pPr>
              <w:pStyle w:val="0"/>
              <w:jc w:val="center"/>
            </w:pPr>
            <w:r>
              <w:rPr>
                <w:sz w:val="20"/>
              </w:rPr>
              <w:t xml:space="preserve">более 200, но не более 8000</w:t>
            </w:r>
          </w:p>
        </w:tc>
        <w:tc>
          <w:tcPr>
            <w:tcW w:w="694" w:type="dxa"/>
          </w:tcPr>
          <w:p>
            <w:pPr>
              <w:pStyle w:val="0"/>
              <w:jc w:val="center"/>
            </w:pPr>
            <w:r>
              <w:rPr>
                <w:sz w:val="20"/>
              </w:rPr>
              <w:t xml:space="preserve">более 50, но не более 200</w:t>
            </w:r>
          </w:p>
        </w:tc>
        <w:tc>
          <w:tcPr>
            <w:tcW w:w="694" w:type="dxa"/>
          </w:tcPr>
          <w:p>
            <w:pPr>
              <w:pStyle w:val="0"/>
              <w:jc w:val="center"/>
            </w:pPr>
            <w:r>
              <w:rPr>
                <w:sz w:val="20"/>
              </w:rPr>
              <w:t xml:space="preserve">более 50, но не более 500</w:t>
            </w:r>
          </w:p>
        </w:tc>
        <w:tc>
          <w:tcPr>
            <w:gridSpan w:val="2"/>
            <w:tcW w:w="1208" w:type="dxa"/>
          </w:tcPr>
          <w:p>
            <w:pPr>
              <w:pStyle w:val="0"/>
              <w:jc w:val="center"/>
            </w:pPr>
            <w:r>
              <w:rPr>
                <w:sz w:val="20"/>
              </w:rPr>
              <w:t xml:space="preserve">более 200, но не более 8000</w:t>
            </w:r>
          </w:p>
        </w:tc>
        <w:tc>
          <w:tcPr>
            <w:vMerge w:val="continue"/>
          </w:tcPr>
          <w:p/>
        </w:tc>
        <w:tc>
          <w:tcPr>
            <w:gridSpan w:val="2"/>
            <w:vMerge w:val="continue"/>
          </w:tcPr>
          <w:p/>
        </w:tc>
      </w:tr>
      <w:tr>
        <w:tc>
          <w:tcPr>
            <w:vMerge w:val="continue"/>
          </w:tcPr>
          <w:p/>
        </w:tc>
        <w:tc>
          <w:tcPr>
            <w:gridSpan w:val="9"/>
            <w:tcW w:w="5961" w:type="dxa"/>
          </w:tcPr>
          <w:p>
            <w:pPr>
              <w:pStyle w:val="0"/>
              <w:jc w:val="center"/>
            </w:pPr>
            <w:r>
              <w:rPr>
                <w:sz w:val="20"/>
              </w:rPr>
              <w:t xml:space="preserve">Максимальная вместимость одного резервуара, кубические метры</w:t>
            </w:r>
          </w:p>
        </w:tc>
        <w:tc>
          <w:tcPr>
            <w:vMerge w:val="continue"/>
          </w:tcPr>
          <w:p/>
        </w:tc>
        <w:tc>
          <w:tcPr>
            <w:gridSpan w:val="2"/>
            <w:vMerge w:val="continue"/>
          </w:tcPr>
          <w:p/>
        </w:tc>
      </w:tr>
      <w:tr>
        <w:tc>
          <w:tcPr>
            <w:vMerge w:val="continue"/>
          </w:tcPr>
          <w:p/>
        </w:tc>
        <w:tc>
          <w:tcPr>
            <w:tcW w:w="694" w:type="dxa"/>
          </w:tcPr>
          <w:p>
            <w:pPr>
              <w:pStyle w:val="0"/>
              <w:jc w:val="center"/>
            </w:pPr>
            <w:r>
              <w:rPr>
                <w:sz w:val="20"/>
              </w:rPr>
              <w:t xml:space="preserve">не более 25</w:t>
            </w:r>
          </w:p>
        </w:tc>
        <w:tc>
          <w:tcPr>
            <w:tcW w:w="694" w:type="dxa"/>
          </w:tcPr>
          <w:p>
            <w:pPr>
              <w:pStyle w:val="0"/>
              <w:jc w:val="center"/>
            </w:pPr>
            <w:r>
              <w:rPr>
                <w:sz w:val="20"/>
              </w:rPr>
              <w:t xml:space="preserve">25</w:t>
            </w:r>
          </w:p>
        </w:tc>
        <w:tc>
          <w:tcPr>
            <w:tcW w:w="769" w:type="dxa"/>
          </w:tcPr>
          <w:p>
            <w:pPr>
              <w:pStyle w:val="0"/>
              <w:jc w:val="center"/>
            </w:pPr>
            <w:r>
              <w:rPr>
                <w:sz w:val="20"/>
              </w:rPr>
              <w:t xml:space="preserve">50</w:t>
            </w:r>
          </w:p>
        </w:tc>
        <w:tc>
          <w:tcPr>
            <w:tcW w:w="514" w:type="dxa"/>
          </w:tcPr>
          <w:p>
            <w:pPr>
              <w:pStyle w:val="0"/>
              <w:jc w:val="center"/>
            </w:pPr>
            <w:r>
              <w:rPr>
                <w:sz w:val="20"/>
              </w:rPr>
              <w:t xml:space="preserve">100</w:t>
            </w:r>
          </w:p>
        </w:tc>
        <w:tc>
          <w:tcPr>
            <w:tcW w:w="694" w:type="dxa"/>
          </w:tcPr>
          <w:p>
            <w:pPr>
              <w:pStyle w:val="0"/>
              <w:jc w:val="center"/>
            </w:pPr>
            <w:r>
              <w:rPr>
                <w:sz w:val="20"/>
              </w:rPr>
              <w:t xml:space="preserve">более 100, но не более 600</w:t>
            </w:r>
          </w:p>
        </w:tc>
        <w:tc>
          <w:tcPr>
            <w:tcW w:w="694" w:type="dxa"/>
          </w:tcPr>
          <w:p>
            <w:pPr>
              <w:pStyle w:val="0"/>
              <w:jc w:val="center"/>
            </w:pPr>
            <w:r>
              <w:rPr>
                <w:sz w:val="20"/>
              </w:rPr>
              <w:t xml:space="preserve">25</w:t>
            </w:r>
          </w:p>
        </w:tc>
        <w:tc>
          <w:tcPr>
            <w:tcW w:w="694" w:type="dxa"/>
          </w:tcPr>
          <w:p>
            <w:pPr>
              <w:pStyle w:val="0"/>
              <w:jc w:val="center"/>
            </w:pPr>
            <w:r>
              <w:rPr>
                <w:sz w:val="20"/>
              </w:rPr>
              <w:t xml:space="preserve">50</w:t>
            </w:r>
          </w:p>
        </w:tc>
        <w:tc>
          <w:tcPr>
            <w:tcW w:w="514" w:type="dxa"/>
          </w:tcPr>
          <w:p>
            <w:pPr>
              <w:pStyle w:val="0"/>
              <w:jc w:val="center"/>
            </w:pPr>
            <w:r>
              <w:rPr>
                <w:sz w:val="20"/>
              </w:rPr>
              <w:t xml:space="preserve">100</w:t>
            </w:r>
          </w:p>
        </w:tc>
        <w:tc>
          <w:tcPr>
            <w:tcW w:w="694" w:type="dxa"/>
          </w:tcPr>
          <w:p>
            <w:pPr>
              <w:pStyle w:val="0"/>
              <w:jc w:val="center"/>
            </w:pPr>
            <w:r>
              <w:rPr>
                <w:sz w:val="20"/>
              </w:rPr>
              <w:t xml:space="preserve">более 100, но не более 600</w:t>
            </w:r>
          </w:p>
        </w:tc>
        <w:tc>
          <w:tcPr>
            <w:vMerge w:val="continue"/>
          </w:tcPr>
          <w:p/>
        </w:tc>
        <w:tc>
          <w:tcPr>
            <w:tcW w:w="1037" w:type="dxa"/>
          </w:tcPr>
          <w:p>
            <w:pPr>
              <w:pStyle w:val="0"/>
              <w:jc w:val="center"/>
            </w:pPr>
            <w:r>
              <w:rPr>
                <w:sz w:val="20"/>
              </w:rPr>
              <w:t xml:space="preserve">не более 20</w:t>
            </w:r>
          </w:p>
        </w:tc>
        <w:tc>
          <w:tcPr>
            <w:tcW w:w="1037" w:type="dxa"/>
          </w:tcPr>
          <w:p>
            <w:pPr>
              <w:pStyle w:val="0"/>
              <w:jc w:val="center"/>
            </w:pPr>
            <w:r>
              <w:rPr>
                <w:sz w:val="20"/>
              </w:rPr>
              <w:t xml:space="preserve">более 20</w:t>
            </w:r>
          </w:p>
        </w:tc>
      </w:tr>
      <w:tr>
        <w:tc>
          <w:tcPr>
            <w:tcW w:w="2239" w:type="dxa"/>
          </w:tcPr>
          <w:p>
            <w:pPr>
              <w:pStyle w:val="0"/>
            </w:pPr>
            <w:r>
              <w:rPr>
                <w:sz w:val="20"/>
              </w:rPr>
              <w:t xml:space="preserve">Жилые, общественные здания</w:t>
            </w:r>
          </w:p>
        </w:tc>
        <w:tc>
          <w:tcPr>
            <w:tcW w:w="694" w:type="dxa"/>
            <w:vAlign w:val="bottom"/>
          </w:tcPr>
          <w:p>
            <w:pPr>
              <w:pStyle w:val="0"/>
              <w:jc w:val="center"/>
            </w:pPr>
            <w:r>
              <w:rPr>
                <w:sz w:val="20"/>
              </w:rPr>
              <w:t xml:space="preserve">70</w:t>
            </w:r>
          </w:p>
        </w:tc>
        <w:tc>
          <w:tcPr>
            <w:tcW w:w="694" w:type="dxa"/>
            <w:vAlign w:val="bottom"/>
          </w:tcPr>
          <w:p>
            <w:pPr>
              <w:pStyle w:val="0"/>
              <w:jc w:val="center"/>
            </w:pPr>
            <w:r>
              <w:rPr>
                <w:sz w:val="20"/>
              </w:rPr>
              <w:t xml:space="preserve">80</w:t>
            </w:r>
          </w:p>
        </w:tc>
        <w:tc>
          <w:tcPr>
            <w:tcW w:w="769" w:type="dxa"/>
            <w:vAlign w:val="bottom"/>
          </w:tcPr>
          <w:p>
            <w:pPr>
              <w:pStyle w:val="0"/>
              <w:jc w:val="center"/>
            </w:pPr>
            <w:r>
              <w:rPr>
                <w:sz w:val="20"/>
              </w:rPr>
              <w:t xml:space="preserve">150</w:t>
            </w:r>
          </w:p>
        </w:tc>
        <w:tc>
          <w:tcPr>
            <w:tcW w:w="514" w:type="dxa"/>
            <w:vAlign w:val="bottom"/>
          </w:tcPr>
          <w:p>
            <w:pPr>
              <w:pStyle w:val="0"/>
              <w:jc w:val="center"/>
            </w:pPr>
            <w:r>
              <w:rPr>
                <w:sz w:val="20"/>
              </w:rPr>
              <w:t xml:space="preserve">200</w:t>
            </w:r>
          </w:p>
        </w:tc>
        <w:tc>
          <w:tcPr>
            <w:tcW w:w="694" w:type="dxa"/>
            <w:vAlign w:val="bottom"/>
          </w:tcPr>
          <w:p>
            <w:pPr>
              <w:pStyle w:val="0"/>
              <w:jc w:val="center"/>
            </w:pPr>
            <w:r>
              <w:rPr>
                <w:sz w:val="20"/>
              </w:rPr>
              <w:t xml:space="preserve">300</w:t>
            </w:r>
          </w:p>
        </w:tc>
        <w:tc>
          <w:tcPr>
            <w:tcW w:w="694" w:type="dxa"/>
            <w:vAlign w:val="bottom"/>
          </w:tcPr>
          <w:p>
            <w:pPr>
              <w:pStyle w:val="0"/>
              <w:jc w:val="center"/>
            </w:pPr>
            <w:r>
              <w:rPr>
                <w:sz w:val="20"/>
              </w:rPr>
              <w:t xml:space="preserve">40</w:t>
            </w:r>
          </w:p>
        </w:tc>
        <w:tc>
          <w:tcPr>
            <w:tcW w:w="694" w:type="dxa"/>
            <w:vAlign w:val="bottom"/>
          </w:tcPr>
          <w:p>
            <w:pPr>
              <w:pStyle w:val="0"/>
              <w:jc w:val="center"/>
            </w:pPr>
            <w:r>
              <w:rPr>
                <w:sz w:val="20"/>
              </w:rPr>
              <w:t xml:space="preserve">75</w:t>
            </w:r>
          </w:p>
        </w:tc>
        <w:tc>
          <w:tcPr>
            <w:tcW w:w="514" w:type="dxa"/>
            <w:vAlign w:val="bottom"/>
          </w:tcPr>
          <w:p>
            <w:pPr>
              <w:pStyle w:val="0"/>
              <w:jc w:val="center"/>
            </w:pPr>
            <w:r>
              <w:rPr>
                <w:sz w:val="20"/>
              </w:rPr>
              <w:t xml:space="preserve">100</w:t>
            </w:r>
          </w:p>
        </w:tc>
        <w:tc>
          <w:tcPr>
            <w:tcW w:w="694" w:type="dxa"/>
            <w:vAlign w:val="bottom"/>
          </w:tcPr>
          <w:p>
            <w:pPr>
              <w:pStyle w:val="0"/>
              <w:jc w:val="center"/>
            </w:pPr>
            <w:r>
              <w:rPr>
                <w:sz w:val="20"/>
              </w:rPr>
              <w:t xml:space="preserve">150</w:t>
            </w:r>
          </w:p>
        </w:tc>
        <w:tc>
          <w:tcPr>
            <w:tcW w:w="2074" w:type="dxa"/>
            <w:vAlign w:val="bottom"/>
          </w:tcPr>
          <w:p>
            <w:pPr>
              <w:pStyle w:val="0"/>
              <w:jc w:val="center"/>
            </w:pPr>
            <w:r>
              <w:rPr>
                <w:sz w:val="20"/>
              </w:rPr>
              <w:t xml:space="preserve">50</w:t>
            </w:r>
          </w:p>
        </w:tc>
        <w:tc>
          <w:tcPr>
            <w:tcW w:w="1037" w:type="dxa"/>
            <w:vAlign w:val="bottom"/>
          </w:tcPr>
          <w:p>
            <w:pPr>
              <w:pStyle w:val="0"/>
              <w:jc w:val="center"/>
            </w:pPr>
            <w:r>
              <w:rPr>
                <w:sz w:val="20"/>
              </w:rPr>
              <w:t xml:space="preserve">50</w:t>
            </w:r>
          </w:p>
        </w:tc>
        <w:tc>
          <w:tcPr>
            <w:tcW w:w="1037" w:type="dxa"/>
            <w:vAlign w:val="bottom"/>
          </w:tcPr>
          <w:p>
            <w:pPr>
              <w:pStyle w:val="0"/>
              <w:jc w:val="center"/>
            </w:pPr>
            <w:r>
              <w:rPr>
                <w:sz w:val="20"/>
              </w:rPr>
              <w:t xml:space="preserve">100</w:t>
            </w:r>
          </w:p>
        </w:tc>
      </w:tr>
      <w:tr>
        <w:tc>
          <w:tcPr>
            <w:tcW w:w="2239" w:type="dxa"/>
          </w:tcPr>
          <w:p>
            <w:pPr>
              <w:pStyle w:val="0"/>
            </w:pPr>
            <w:r>
              <w:rPr>
                <w:sz w:val="20"/>
              </w:rPr>
              <w:t xml:space="preserve">Административные, бытовые, производственные здания, здания котельных, гаражей и открытых стоянок</w:t>
            </w:r>
          </w:p>
        </w:tc>
        <w:tc>
          <w:tcPr>
            <w:tcW w:w="694" w:type="dxa"/>
            <w:vAlign w:val="bottom"/>
          </w:tcPr>
          <w:p>
            <w:pPr>
              <w:pStyle w:val="0"/>
              <w:jc w:val="center"/>
            </w:pPr>
            <w:r>
              <w:rPr>
                <w:sz w:val="20"/>
              </w:rPr>
              <w:t xml:space="preserve">70</w:t>
            </w:r>
          </w:p>
          <w:p>
            <w:pPr>
              <w:pStyle w:val="0"/>
              <w:jc w:val="center"/>
            </w:pPr>
            <w:r>
              <w:rPr>
                <w:sz w:val="20"/>
              </w:rPr>
              <w:t xml:space="preserve">(30)</w:t>
            </w:r>
          </w:p>
        </w:tc>
        <w:tc>
          <w:tcPr>
            <w:tcW w:w="694" w:type="dxa"/>
            <w:vAlign w:val="bottom"/>
          </w:tcPr>
          <w:p>
            <w:pPr>
              <w:pStyle w:val="0"/>
              <w:jc w:val="center"/>
            </w:pPr>
            <w:r>
              <w:rPr>
                <w:sz w:val="20"/>
              </w:rPr>
              <w:t xml:space="preserve">80</w:t>
            </w:r>
          </w:p>
          <w:p>
            <w:pPr>
              <w:pStyle w:val="0"/>
              <w:jc w:val="center"/>
            </w:pPr>
            <w:r>
              <w:rPr>
                <w:sz w:val="20"/>
              </w:rPr>
              <w:t xml:space="preserve">(50)</w:t>
            </w:r>
          </w:p>
        </w:tc>
        <w:tc>
          <w:tcPr>
            <w:tcW w:w="769" w:type="dxa"/>
            <w:vAlign w:val="bottom"/>
          </w:tcPr>
          <w:p>
            <w:pPr>
              <w:pStyle w:val="0"/>
              <w:jc w:val="center"/>
            </w:pPr>
            <w:r>
              <w:rPr>
                <w:sz w:val="20"/>
              </w:rPr>
              <w:t xml:space="preserve">150</w:t>
            </w:r>
          </w:p>
          <w:p>
            <w:pPr>
              <w:pStyle w:val="0"/>
              <w:jc w:val="center"/>
            </w:pPr>
            <w:r>
              <w:rPr>
                <w:sz w:val="20"/>
              </w:rPr>
              <w:t xml:space="preserve">(110)+</w:t>
            </w:r>
          </w:p>
        </w:tc>
        <w:tc>
          <w:tcPr>
            <w:tcW w:w="514" w:type="dxa"/>
            <w:vAlign w:val="bottom"/>
          </w:tcPr>
          <w:p>
            <w:pPr>
              <w:pStyle w:val="0"/>
              <w:jc w:val="center"/>
            </w:pPr>
            <w:r>
              <w:rPr>
                <w:sz w:val="20"/>
              </w:rPr>
              <w:t xml:space="preserve">200</w:t>
            </w:r>
          </w:p>
        </w:tc>
        <w:tc>
          <w:tcPr>
            <w:tcW w:w="694" w:type="dxa"/>
            <w:vAlign w:val="bottom"/>
          </w:tcPr>
          <w:p>
            <w:pPr>
              <w:pStyle w:val="0"/>
              <w:jc w:val="center"/>
            </w:pPr>
            <w:r>
              <w:rPr>
                <w:sz w:val="20"/>
              </w:rPr>
              <w:t xml:space="preserve">300</w:t>
            </w:r>
          </w:p>
        </w:tc>
        <w:tc>
          <w:tcPr>
            <w:tcW w:w="694" w:type="dxa"/>
            <w:vAlign w:val="bottom"/>
          </w:tcPr>
          <w:p>
            <w:pPr>
              <w:pStyle w:val="0"/>
              <w:jc w:val="center"/>
            </w:pPr>
            <w:r>
              <w:rPr>
                <w:sz w:val="20"/>
              </w:rPr>
              <w:t xml:space="preserve">40</w:t>
            </w:r>
          </w:p>
          <w:p>
            <w:pPr>
              <w:pStyle w:val="0"/>
              <w:jc w:val="center"/>
            </w:pPr>
            <w:r>
              <w:rPr>
                <w:sz w:val="20"/>
              </w:rPr>
              <w:t xml:space="preserve">(25)</w:t>
            </w:r>
          </w:p>
        </w:tc>
        <w:tc>
          <w:tcPr>
            <w:tcW w:w="694" w:type="dxa"/>
            <w:vAlign w:val="bottom"/>
          </w:tcPr>
          <w:p>
            <w:pPr>
              <w:pStyle w:val="0"/>
              <w:jc w:val="center"/>
            </w:pPr>
            <w:r>
              <w:rPr>
                <w:sz w:val="20"/>
              </w:rPr>
              <w:t xml:space="preserve">75</w:t>
            </w:r>
          </w:p>
          <w:p>
            <w:pPr>
              <w:pStyle w:val="0"/>
              <w:jc w:val="center"/>
            </w:pPr>
            <w:r>
              <w:rPr>
                <w:sz w:val="20"/>
              </w:rPr>
              <w:t xml:space="preserve">(55)+</w:t>
            </w:r>
          </w:p>
        </w:tc>
        <w:tc>
          <w:tcPr>
            <w:tcW w:w="514" w:type="dxa"/>
            <w:vAlign w:val="bottom"/>
          </w:tcPr>
          <w:p>
            <w:pPr>
              <w:pStyle w:val="0"/>
              <w:jc w:val="center"/>
            </w:pPr>
            <w:r>
              <w:rPr>
                <w:sz w:val="20"/>
              </w:rPr>
              <w:t xml:space="preserve">100</w:t>
            </w:r>
          </w:p>
        </w:tc>
        <w:tc>
          <w:tcPr>
            <w:tcW w:w="694" w:type="dxa"/>
            <w:vAlign w:val="bottom"/>
          </w:tcPr>
          <w:p>
            <w:pPr>
              <w:pStyle w:val="0"/>
              <w:jc w:val="center"/>
            </w:pPr>
            <w:r>
              <w:rPr>
                <w:sz w:val="20"/>
              </w:rPr>
              <w:t xml:space="preserve">150</w:t>
            </w:r>
          </w:p>
        </w:tc>
        <w:tc>
          <w:tcPr>
            <w:tcW w:w="2074" w:type="dxa"/>
            <w:vAlign w:val="bottom"/>
          </w:tcPr>
          <w:p>
            <w:pPr>
              <w:pStyle w:val="0"/>
              <w:jc w:val="center"/>
            </w:pPr>
            <w:r>
              <w:rPr>
                <w:sz w:val="20"/>
              </w:rPr>
              <w:t xml:space="preserve">50</w:t>
            </w:r>
          </w:p>
        </w:tc>
        <w:tc>
          <w:tcPr>
            <w:tcW w:w="1037" w:type="dxa"/>
            <w:vAlign w:val="bottom"/>
          </w:tcPr>
          <w:p>
            <w:pPr>
              <w:pStyle w:val="0"/>
              <w:jc w:val="center"/>
            </w:pPr>
            <w:r>
              <w:rPr>
                <w:sz w:val="20"/>
              </w:rPr>
              <w:t xml:space="preserve">50</w:t>
            </w:r>
          </w:p>
          <w:p>
            <w:pPr>
              <w:pStyle w:val="0"/>
              <w:jc w:val="center"/>
            </w:pPr>
            <w:r>
              <w:rPr>
                <w:sz w:val="20"/>
              </w:rPr>
              <w:t xml:space="preserve">(20)</w:t>
            </w:r>
          </w:p>
        </w:tc>
        <w:tc>
          <w:tcPr>
            <w:tcW w:w="1037" w:type="dxa"/>
            <w:vAlign w:val="bottom"/>
          </w:tcPr>
          <w:p>
            <w:pPr>
              <w:pStyle w:val="0"/>
              <w:jc w:val="center"/>
            </w:pPr>
            <w:r>
              <w:rPr>
                <w:sz w:val="20"/>
              </w:rPr>
              <w:t xml:space="preserve">100</w:t>
            </w:r>
          </w:p>
          <w:p>
            <w:pPr>
              <w:pStyle w:val="0"/>
              <w:jc w:val="center"/>
            </w:pPr>
            <w:r>
              <w:rPr>
                <w:sz w:val="20"/>
              </w:rPr>
              <w:t xml:space="preserve">(30)</w:t>
            </w:r>
          </w:p>
        </w:tc>
      </w:tr>
      <w:tr>
        <w:tc>
          <w:tcPr>
            <w:tcW w:w="2239" w:type="dxa"/>
          </w:tcPr>
          <w:p>
            <w:pPr>
              <w:pStyle w:val="0"/>
            </w:pPr>
            <w:r>
              <w:rPr>
                <w:sz w:val="20"/>
              </w:rPr>
              <w:t xml:space="preserve">Надземные сооружения и коммуникации (эстакады, теплотрассы), подсобные постройки жилых зданий</w:t>
            </w:r>
          </w:p>
        </w:tc>
        <w:tc>
          <w:tcPr>
            <w:tcW w:w="694" w:type="dxa"/>
            <w:vAlign w:val="bottom"/>
          </w:tcPr>
          <w:p>
            <w:pPr>
              <w:pStyle w:val="0"/>
              <w:jc w:val="center"/>
            </w:pPr>
            <w:r>
              <w:rPr>
                <w:sz w:val="20"/>
              </w:rPr>
              <w:t xml:space="preserve">30</w:t>
            </w:r>
          </w:p>
          <w:p>
            <w:pPr>
              <w:pStyle w:val="0"/>
              <w:jc w:val="center"/>
            </w:pPr>
            <w:r>
              <w:rPr>
                <w:sz w:val="20"/>
              </w:rPr>
              <w:t xml:space="preserve">(15)</w:t>
            </w:r>
          </w:p>
        </w:tc>
        <w:tc>
          <w:tcPr>
            <w:tcW w:w="694" w:type="dxa"/>
            <w:vAlign w:val="bottom"/>
          </w:tcPr>
          <w:p>
            <w:pPr>
              <w:pStyle w:val="0"/>
              <w:jc w:val="center"/>
            </w:pPr>
            <w:r>
              <w:rPr>
                <w:sz w:val="20"/>
              </w:rPr>
              <w:t xml:space="preserve">30</w:t>
            </w:r>
          </w:p>
          <w:p>
            <w:pPr>
              <w:pStyle w:val="0"/>
              <w:jc w:val="center"/>
            </w:pPr>
            <w:r>
              <w:rPr>
                <w:sz w:val="20"/>
              </w:rPr>
              <w:t xml:space="preserve">(20)</w:t>
            </w:r>
          </w:p>
        </w:tc>
        <w:tc>
          <w:tcPr>
            <w:tcW w:w="769" w:type="dxa"/>
            <w:vAlign w:val="bottom"/>
          </w:tcPr>
          <w:p>
            <w:pPr>
              <w:pStyle w:val="0"/>
              <w:jc w:val="center"/>
            </w:pPr>
            <w:r>
              <w:rPr>
                <w:sz w:val="20"/>
              </w:rPr>
              <w:t xml:space="preserve">40</w:t>
            </w:r>
          </w:p>
          <w:p>
            <w:pPr>
              <w:pStyle w:val="0"/>
              <w:jc w:val="center"/>
            </w:pPr>
            <w:r>
              <w:rPr>
                <w:sz w:val="20"/>
              </w:rPr>
              <w:t xml:space="preserve">(30)</w:t>
            </w:r>
          </w:p>
        </w:tc>
        <w:tc>
          <w:tcPr>
            <w:tcW w:w="514" w:type="dxa"/>
            <w:vAlign w:val="bottom"/>
          </w:tcPr>
          <w:p>
            <w:pPr>
              <w:pStyle w:val="0"/>
              <w:jc w:val="center"/>
            </w:pPr>
            <w:r>
              <w:rPr>
                <w:sz w:val="20"/>
              </w:rPr>
              <w:t xml:space="preserve">40</w:t>
            </w:r>
          </w:p>
          <w:p>
            <w:pPr>
              <w:pStyle w:val="0"/>
              <w:jc w:val="center"/>
            </w:pPr>
            <w:r>
              <w:rPr>
                <w:sz w:val="20"/>
              </w:rPr>
              <w:t xml:space="preserve">(30)</w:t>
            </w:r>
          </w:p>
        </w:tc>
        <w:tc>
          <w:tcPr>
            <w:tcW w:w="694" w:type="dxa"/>
            <w:vAlign w:val="bottom"/>
          </w:tcPr>
          <w:p>
            <w:pPr>
              <w:pStyle w:val="0"/>
              <w:jc w:val="center"/>
            </w:pPr>
            <w:r>
              <w:rPr>
                <w:sz w:val="20"/>
              </w:rPr>
              <w:t xml:space="preserve">40</w:t>
            </w:r>
          </w:p>
          <w:p>
            <w:pPr>
              <w:pStyle w:val="0"/>
              <w:jc w:val="center"/>
            </w:pPr>
            <w:r>
              <w:rPr>
                <w:sz w:val="20"/>
              </w:rPr>
              <w:t xml:space="preserve">(30)</w:t>
            </w:r>
          </w:p>
        </w:tc>
        <w:tc>
          <w:tcPr>
            <w:tcW w:w="694" w:type="dxa"/>
            <w:vAlign w:val="bottom"/>
          </w:tcPr>
          <w:p>
            <w:pPr>
              <w:pStyle w:val="0"/>
              <w:jc w:val="center"/>
            </w:pPr>
            <w:r>
              <w:rPr>
                <w:sz w:val="20"/>
              </w:rPr>
              <w:t xml:space="preserve">20</w:t>
            </w:r>
          </w:p>
          <w:p>
            <w:pPr>
              <w:pStyle w:val="0"/>
              <w:jc w:val="center"/>
            </w:pPr>
            <w:r>
              <w:rPr>
                <w:sz w:val="20"/>
              </w:rPr>
              <w:t xml:space="preserve">(15)</w:t>
            </w:r>
          </w:p>
        </w:tc>
        <w:tc>
          <w:tcPr>
            <w:tcW w:w="694" w:type="dxa"/>
            <w:vAlign w:val="bottom"/>
          </w:tcPr>
          <w:p>
            <w:pPr>
              <w:pStyle w:val="0"/>
              <w:jc w:val="center"/>
            </w:pPr>
            <w:r>
              <w:rPr>
                <w:sz w:val="20"/>
              </w:rPr>
              <w:t xml:space="preserve">25</w:t>
            </w:r>
          </w:p>
          <w:p>
            <w:pPr>
              <w:pStyle w:val="0"/>
              <w:jc w:val="center"/>
            </w:pPr>
            <w:r>
              <w:rPr>
                <w:sz w:val="20"/>
              </w:rPr>
              <w:t xml:space="preserve">(15)</w:t>
            </w:r>
          </w:p>
        </w:tc>
        <w:tc>
          <w:tcPr>
            <w:tcW w:w="514" w:type="dxa"/>
            <w:vAlign w:val="bottom"/>
          </w:tcPr>
          <w:p>
            <w:pPr>
              <w:pStyle w:val="0"/>
              <w:jc w:val="center"/>
            </w:pPr>
            <w:r>
              <w:rPr>
                <w:sz w:val="20"/>
              </w:rPr>
              <w:t xml:space="preserve">25 (15)</w:t>
            </w:r>
          </w:p>
        </w:tc>
        <w:tc>
          <w:tcPr>
            <w:tcW w:w="694" w:type="dxa"/>
            <w:vAlign w:val="bottom"/>
          </w:tcPr>
          <w:p>
            <w:pPr>
              <w:pStyle w:val="0"/>
              <w:jc w:val="center"/>
            </w:pPr>
            <w:r>
              <w:rPr>
                <w:sz w:val="20"/>
              </w:rPr>
              <w:t xml:space="preserve">25</w:t>
            </w:r>
          </w:p>
          <w:p>
            <w:pPr>
              <w:pStyle w:val="0"/>
              <w:jc w:val="center"/>
            </w:pPr>
            <w:r>
              <w:rPr>
                <w:sz w:val="20"/>
              </w:rPr>
              <w:t xml:space="preserve">(15)</w:t>
            </w:r>
          </w:p>
        </w:tc>
        <w:tc>
          <w:tcPr>
            <w:tcW w:w="2074" w:type="dxa"/>
            <w:vAlign w:val="bottom"/>
          </w:tcPr>
          <w:p>
            <w:pPr>
              <w:pStyle w:val="0"/>
              <w:jc w:val="center"/>
            </w:pPr>
            <w:r>
              <w:rPr>
                <w:sz w:val="20"/>
              </w:rPr>
              <w:t xml:space="preserve">30</w:t>
            </w:r>
          </w:p>
        </w:tc>
        <w:tc>
          <w:tcPr>
            <w:tcW w:w="1037" w:type="dxa"/>
            <w:vAlign w:val="bottom"/>
          </w:tcPr>
          <w:p>
            <w:pPr>
              <w:pStyle w:val="0"/>
              <w:jc w:val="center"/>
            </w:pPr>
            <w:r>
              <w:rPr>
                <w:sz w:val="20"/>
              </w:rPr>
              <w:t xml:space="preserve">20</w:t>
            </w:r>
          </w:p>
          <w:p>
            <w:pPr>
              <w:pStyle w:val="0"/>
              <w:jc w:val="center"/>
            </w:pPr>
            <w:r>
              <w:rPr>
                <w:sz w:val="20"/>
              </w:rPr>
              <w:t xml:space="preserve">(15)</w:t>
            </w:r>
          </w:p>
        </w:tc>
        <w:tc>
          <w:tcPr>
            <w:tcW w:w="1037" w:type="dxa"/>
            <w:vAlign w:val="bottom"/>
          </w:tcPr>
          <w:p>
            <w:pPr>
              <w:pStyle w:val="0"/>
              <w:jc w:val="center"/>
            </w:pPr>
            <w:r>
              <w:rPr>
                <w:sz w:val="20"/>
              </w:rPr>
              <w:t xml:space="preserve">20</w:t>
            </w:r>
          </w:p>
          <w:p>
            <w:pPr>
              <w:pStyle w:val="0"/>
              <w:jc w:val="center"/>
            </w:pPr>
            <w:r>
              <w:rPr>
                <w:sz w:val="20"/>
              </w:rPr>
              <w:t xml:space="preserve">(20)</w:t>
            </w:r>
          </w:p>
        </w:tc>
      </w:tr>
      <w:tr>
        <w:tc>
          <w:tcPr>
            <w:tcW w:w="2239" w:type="dxa"/>
          </w:tcPr>
          <w:p>
            <w:pPr>
              <w:pStyle w:val="0"/>
            </w:pPr>
            <w:r>
              <w:rPr>
                <w:sz w:val="20"/>
              </w:rPr>
              <w:t xml:space="preserve">Железные дороги общей сети (от подошвы насыпи), автомобильные дороги I - III категорий</w:t>
            </w:r>
          </w:p>
        </w:tc>
        <w:tc>
          <w:tcPr>
            <w:tcW w:w="694" w:type="dxa"/>
            <w:vAlign w:val="bottom"/>
          </w:tcPr>
          <w:p>
            <w:pPr>
              <w:pStyle w:val="0"/>
              <w:jc w:val="center"/>
            </w:pPr>
            <w:r>
              <w:rPr>
                <w:sz w:val="20"/>
              </w:rPr>
              <w:t xml:space="preserve">50</w:t>
            </w:r>
          </w:p>
        </w:tc>
        <w:tc>
          <w:tcPr>
            <w:tcW w:w="694" w:type="dxa"/>
            <w:vAlign w:val="bottom"/>
          </w:tcPr>
          <w:p>
            <w:pPr>
              <w:pStyle w:val="0"/>
              <w:jc w:val="center"/>
            </w:pPr>
            <w:r>
              <w:rPr>
                <w:sz w:val="20"/>
              </w:rPr>
              <w:t xml:space="preserve">75</w:t>
            </w:r>
          </w:p>
        </w:tc>
        <w:tc>
          <w:tcPr>
            <w:tcW w:w="769" w:type="dxa"/>
            <w:vAlign w:val="bottom"/>
          </w:tcPr>
          <w:p>
            <w:pPr>
              <w:pStyle w:val="0"/>
              <w:jc w:val="center"/>
            </w:pPr>
            <w:r>
              <w:rPr>
                <w:sz w:val="20"/>
              </w:rPr>
              <w:t xml:space="preserve">100-</w:t>
            </w:r>
          </w:p>
        </w:tc>
        <w:tc>
          <w:tcPr>
            <w:tcW w:w="514" w:type="dxa"/>
            <w:vAlign w:val="bottom"/>
          </w:tcPr>
          <w:p>
            <w:pPr>
              <w:pStyle w:val="0"/>
              <w:jc w:val="center"/>
            </w:pPr>
            <w:r>
              <w:rPr>
                <w:sz w:val="20"/>
              </w:rPr>
              <w:t xml:space="preserve">100</w:t>
            </w:r>
          </w:p>
        </w:tc>
        <w:tc>
          <w:tcPr>
            <w:tcW w:w="694" w:type="dxa"/>
            <w:vAlign w:val="bottom"/>
          </w:tcPr>
          <w:p>
            <w:pPr>
              <w:pStyle w:val="0"/>
              <w:jc w:val="center"/>
            </w:pPr>
            <w:r>
              <w:rPr>
                <w:sz w:val="20"/>
              </w:rPr>
              <w:t xml:space="preserve">100</w:t>
            </w:r>
          </w:p>
        </w:tc>
        <w:tc>
          <w:tcPr>
            <w:tcW w:w="694" w:type="dxa"/>
            <w:vAlign w:val="bottom"/>
          </w:tcPr>
          <w:p>
            <w:pPr>
              <w:pStyle w:val="0"/>
              <w:jc w:val="center"/>
            </w:pPr>
            <w:r>
              <w:rPr>
                <w:sz w:val="20"/>
              </w:rPr>
              <w:t xml:space="preserve">50</w:t>
            </w:r>
          </w:p>
        </w:tc>
        <w:tc>
          <w:tcPr>
            <w:tcW w:w="694" w:type="dxa"/>
            <w:vAlign w:val="bottom"/>
          </w:tcPr>
          <w:p>
            <w:pPr>
              <w:pStyle w:val="0"/>
              <w:jc w:val="center"/>
            </w:pPr>
            <w:r>
              <w:rPr>
                <w:sz w:val="20"/>
              </w:rPr>
              <w:t xml:space="preserve">75-</w:t>
            </w:r>
          </w:p>
        </w:tc>
        <w:tc>
          <w:tcPr>
            <w:tcW w:w="514" w:type="dxa"/>
            <w:vAlign w:val="bottom"/>
          </w:tcPr>
          <w:p>
            <w:pPr>
              <w:pStyle w:val="0"/>
              <w:jc w:val="center"/>
            </w:pPr>
            <w:r>
              <w:rPr>
                <w:sz w:val="20"/>
              </w:rPr>
              <w:t xml:space="preserve">75</w:t>
            </w:r>
          </w:p>
        </w:tc>
        <w:tc>
          <w:tcPr>
            <w:tcW w:w="694" w:type="dxa"/>
            <w:vAlign w:val="bottom"/>
          </w:tcPr>
          <w:p>
            <w:pPr>
              <w:pStyle w:val="0"/>
              <w:jc w:val="center"/>
            </w:pPr>
            <w:r>
              <w:rPr>
                <w:sz w:val="20"/>
              </w:rPr>
              <w:t xml:space="preserve">75</w:t>
            </w:r>
          </w:p>
        </w:tc>
        <w:tc>
          <w:tcPr>
            <w:tcW w:w="2074" w:type="dxa"/>
            <w:vAlign w:val="bottom"/>
          </w:tcPr>
          <w:p>
            <w:pPr>
              <w:pStyle w:val="0"/>
              <w:jc w:val="center"/>
            </w:pPr>
            <w:r>
              <w:rPr>
                <w:sz w:val="20"/>
              </w:rPr>
              <w:t xml:space="preserve">50</w:t>
            </w:r>
          </w:p>
        </w:tc>
        <w:tc>
          <w:tcPr>
            <w:tcW w:w="1037" w:type="dxa"/>
            <w:vAlign w:val="bottom"/>
          </w:tcPr>
          <w:p>
            <w:pPr>
              <w:pStyle w:val="0"/>
              <w:jc w:val="center"/>
            </w:pPr>
            <w:r>
              <w:rPr>
                <w:sz w:val="20"/>
              </w:rPr>
              <w:t xml:space="preserve">50</w:t>
            </w:r>
          </w:p>
        </w:tc>
        <w:tc>
          <w:tcPr>
            <w:tcW w:w="1037" w:type="dxa"/>
            <w:vAlign w:val="bottom"/>
          </w:tcPr>
          <w:p>
            <w:pPr>
              <w:pStyle w:val="0"/>
              <w:jc w:val="center"/>
            </w:pPr>
            <w:r>
              <w:rPr>
                <w:sz w:val="20"/>
              </w:rPr>
              <w:t xml:space="preserve">50</w:t>
            </w:r>
          </w:p>
        </w:tc>
      </w:tr>
      <w:tr>
        <w:tc>
          <w:tcPr>
            <w:tcW w:w="2239" w:type="dxa"/>
          </w:tcPr>
          <w:p>
            <w:pPr>
              <w:pStyle w:val="0"/>
            </w:pPr>
            <w:r>
              <w:rPr>
                <w:sz w:val="20"/>
              </w:rPr>
              <w:t xml:space="preserve">Подъездные пути железных дорог, дорог организаций, трамвайные пути, автомобильные дороги IV и V категорий</w:t>
            </w:r>
          </w:p>
        </w:tc>
        <w:tc>
          <w:tcPr>
            <w:tcW w:w="694" w:type="dxa"/>
            <w:vAlign w:val="bottom"/>
          </w:tcPr>
          <w:p>
            <w:pPr>
              <w:pStyle w:val="0"/>
              <w:jc w:val="center"/>
            </w:pPr>
            <w:r>
              <w:rPr>
                <w:sz w:val="20"/>
              </w:rPr>
              <w:t xml:space="preserve">30</w:t>
            </w:r>
          </w:p>
          <w:p>
            <w:pPr>
              <w:pStyle w:val="0"/>
              <w:jc w:val="center"/>
            </w:pPr>
            <w:r>
              <w:rPr>
                <w:sz w:val="20"/>
              </w:rPr>
              <w:t xml:space="preserve">(20)</w:t>
            </w:r>
          </w:p>
        </w:tc>
        <w:tc>
          <w:tcPr>
            <w:tcW w:w="694" w:type="dxa"/>
            <w:vAlign w:val="bottom"/>
          </w:tcPr>
          <w:p>
            <w:pPr>
              <w:pStyle w:val="0"/>
              <w:jc w:val="center"/>
            </w:pPr>
            <w:r>
              <w:rPr>
                <w:sz w:val="20"/>
              </w:rPr>
              <w:t xml:space="preserve">30-</w:t>
            </w:r>
          </w:p>
          <w:p>
            <w:pPr>
              <w:pStyle w:val="0"/>
              <w:jc w:val="center"/>
            </w:pPr>
            <w:r>
              <w:rPr>
                <w:sz w:val="20"/>
              </w:rPr>
              <w:t xml:space="preserve">(20)</w:t>
            </w:r>
          </w:p>
        </w:tc>
        <w:tc>
          <w:tcPr>
            <w:tcW w:w="769" w:type="dxa"/>
            <w:vAlign w:val="bottom"/>
          </w:tcPr>
          <w:p>
            <w:pPr>
              <w:pStyle w:val="0"/>
              <w:jc w:val="center"/>
            </w:pPr>
            <w:r>
              <w:rPr>
                <w:sz w:val="20"/>
              </w:rPr>
              <w:t xml:space="preserve">40-</w:t>
            </w:r>
          </w:p>
          <w:p>
            <w:pPr>
              <w:pStyle w:val="0"/>
              <w:jc w:val="center"/>
            </w:pPr>
            <w:r>
              <w:rPr>
                <w:sz w:val="20"/>
              </w:rPr>
              <w:t xml:space="preserve">(30)</w:t>
            </w:r>
          </w:p>
        </w:tc>
        <w:tc>
          <w:tcPr>
            <w:tcW w:w="514" w:type="dxa"/>
            <w:vAlign w:val="bottom"/>
          </w:tcPr>
          <w:p>
            <w:pPr>
              <w:pStyle w:val="0"/>
              <w:jc w:val="center"/>
            </w:pPr>
            <w:r>
              <w:rPr>
                <w:sz w:val="20"/>
              </w:rPr>
              <w:t xml:space="preserve">40</w:t>
            </w:r>
          </w:p>
          <w:p>
            <w:pPr>
              <w:pStyle w:val="0"/>
              <w:jc w:val="center"/>
            </w:pPr>
            <w:r>
              <w:rPr>
                <w:sz w:val="20"/>
              </w:rPr>
              <w:t xml:space="preserve">(30)</w:t>
            </w:r>
          </w:p>
        </w:tc>
        <w:tc>
          <w:tcPr>
            <w:tcW w:w="694" w:type="dxa"/>
            <w:vAlign w:val="bottom"/>
          </w:tcPr>
          <w:p>
            <w:pPr>
              <w:pStyle w:val="0"/>
              <w:jc w:val="center"/>
            </w:pPr>
            <w:r>
              <w:rPr>
                <w:sz w:val="20"/>
              </w:rPr>
              <w:t xml:space="preserve">40</w:t>
            </w:r>
          </w:p>
          <w:p>
            <w:pPr>
              <w:pStyle w:val="0"/>
              <w:jc w:val="center"/>
            </w:pPr>
            <w:r>
              <w:rPr>
                <w:sz w:val="20"/>
              </w:rPr>
              <w:t xml:space="preserve">(30)</w:t>
            </w:r>
          </w:p>
        </w:tc>
        <w:tc>
          <w:tcPr>
            <w:tcW w:w="694" w:type="dxa"/>
            <w:vAlign w:val="bottom"/>
          </w:tcPr>
          <w:p>
            <w:pPr>
              <w:pStyle w:val="0"/>
              <w:jc w:val="center"/>
            </w:pPr>
            <w:r>
              <w:rPr>
                <w:sz w:val="20"/>
              </w:rPr>
              <w:t xml:space="preserve">20-</w:t>
            </w:r>
          </w:p>
          <w:p>
            <w:pPr>
              <w:pStyle w:val="0"/>
              <w:jc w:val="center"/>
            </w:pPr>
            <w:r>
              <w:rPr>
                <w:sz w:val="20"/>
              </w:rPr>
              <w:t xml:space="preserve">(15)-</w:t>
            </w:r>
          </w:p>
        </w:tc>
        <w:tc>
          <w:tcPr>
            <w:tcW w:w="694" w:type="dxa"/>
            <w:vAlign w:val="bottom"/>
          </w:tcPr>
          <w:p>
            <w:pPr>
              <w:pStyle w:val="0"/>
              <w:jc w:val="center"/>
            </w:pPr>
            <w:r>
              <w:rPr>
                <w:sz w:val="20"/>
              </w:rPr>
              <w:t xml:space="preserve">25-</w:t>
            </w:r>
          </w:p>
          <w:p>
            <w:pPr>
              <w:pStyle w:val="0"/>
              <w:jc w:val="center"/>
            </w:pPr>
            <w:r>
              <w:rPr>
                <w:sz w:val="20"/>
              </w:rPr>
              <w:t xml:space="preserve">(15)-</w:t>
            </w:r>
          </w:p>
        </w:tc>
        <w:tc>
          <w:tcPr>
            <w:tcW w:w="514" w:type="dxa"/>
            <w:vAlign w:val="bottom"/>
          </w:tcPr>
          <w:p>
            <w:pPr>
              <w:pStyle w:val="0"/>
              <w:jc w:val="center"/>
            </w:pPr>
            <w:r>
              <w:rPr>
                <w:sz w:val="20"/>
              </w:rPr>
              <w:t xml:space="preserve">25</w:t>
            </w:r>
          </w:p>
          <w:p>
            <w:pPr>
              <w:pStyle w:val="0"/>
              <w:jc w:val="center"/>
            </w:pPr>
            <w:r>
              <w:rPr>
                <w:sz w:val="20"/>
              </w:rPr>
              <w:t xml:space="preserve">(15)</w:t>
            </w:r>
          </w:p>
        </w:tc>
        <w:tc>
          <w:tcPr>
            <w:tcW w:w="694" w:type="dxa"/>
            <w:vAlign w:val="bottom"/>
          </w:tcPr>
          <w:p>
            <w:pPr>
              <w:pStyle w:val="0"/>
              <w:jc w:val="center"/>
            </w:pPr>
            <w:r>
              <w:rPr>
                <w:sz w:val="20"/>
              </w:rPr>
              <w:t xml:space="preserve">25</w:t>
            </w:r>
          </w:p>
          <w:p>
            <w:pPr>
              <w:pStyle w:val="0"/>
              <w:jc w:val="center"/>
            </w:pPr>
            <w:r>
              <w:rPr>
                <w:sz w:val="20"/>
              </w:rPr>
              <w:t xml:space="preserve">(15)</w:t>
            </w:r>
          </w:p>
        </w:tc>
        <w:tc>
          <w:tcPr>
            <w:tcW w:w="2074" w:type="dxa"/>
            <w:vAlign w:val="bottom"/>
          </w:tcPr>
          <w:p>
            <w:pPr>
              <w:pStyle w:val="0"/>
              <w:jc w:val="center"/>
            </w:pPr>
            <w:r>
              <w:rPr>
                <w:sz w:val="20"/>
              </w:rPr>
              <w:t xml:space="preserve">30</w:t>
            </w:r>
          </w:p>
        </w:tc>
        <w:tc>
          <w:tcPr>
            <w:tcW w:w="1037" w:type="dxa"/>
            <w:vAlign w:val="bottom"/>
          </w:tcPr>
          <w:p>
            <w:pPr>
              <w:pStyle w:val="0"/>
              <w:jc w:val="center"/>
            </w:pPr>
            <w:r>
              <w:rPr>
                <w:sz w:val="20"/>
              </w:rPr>
              <w:t xml:space="preserve">20</w:t>
            </w:r>
          </w:p>
          <w:p>
            <w:pPr>
              <w:pStyle w:val="0"/>
              <w:jc w:val="center"/>
            </w:pPr>
            <w:r>
              <w:rPr>
                <w:sz w:val="20"/>
              </w:rPr>
              <w:t xml:space="preserve">(20)</w:t>
            </w:r>
          </w:p>
        </w:tc>
        <w:tc>
          <w:tcPr>
            <w:tcW w:w="1037" w:type="dxa"/>
            <w:vAlign w:val="bottom"/>
          </w:tcPr>
          <w:p>
            <w:pPr>
              <w:pStyle w:val="0"/>
              <w:jc w:val="center"/>
            </w:pPr>
            <w:r>
              <w:rPr>
                <w:sz w:val="20"/>
              </w:rPr>
              <w:t xml:space="preserve">20</w:t>
            </w:r>
          </w:p>
          <w:p>
            <w:pPr>
              <w:pStyle w:val="0"/>
              <w:jc w:val="center"/>
            </w:pPr>
            <w:r>
              <w:rPr>
                <w:sz w:val="20"/>
              </w:rPr>
              <w:t xml:space="preserve">(20)</w:t>
            </w:r>
          </w:p>
        </w:tc>
      </w:tr>
    </w:tbl>
    <w:p>
      <w:pPr>
        <w:pStyle w:val="0"/>
        <w:jc w:val="both"/>
      </w:pPr>
      <w:r>
        <w:rPr>
          <w:sz w:val="20"/>
        </w:rPr>
        <w:t xml:space="preserve">(в ред. Федерального </w:t>
      </w:r>
      <w:hyperlink w:history="0" r:id="rId55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Примечания: 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pPr>
        <w:pStyle w:val="0"/>
        <w:jc w:val="both"/>
      </w:pPr>
      <w:r>
        <w:rPr>
          <w:sz w:val="20"/>
        </w:rPr>
        <w:t xml:space="preserve">(в ред. Федерального </w:t>
      </w:r>
      <w:hyperlink w:history="0" r:id="rId55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Знак "-" обозначает, что допускается уменьшать расстояния от резервуаров газонаполнительных станций общей вместимостью не более 200 кубических метров в надземном исполнении до 70 метров, в подземном - до 35 метров, а при вместимости не более 300 кубических метров - соответственно до 90 и 45 метров.</w:t>
      </w:r>
    </w:p>
    <w:p>
      <w:pPr>
        <w:pStyle w:val="0"/>
        <w:spacing w:before="200" w:line-rule="auto"/>
        <w:ind w:firstLine="540"/>
        <w:jc w:val="both"/>
      </w:pPr>
      <w:r>
        <w:rPr>
          <w:sz w:val="20"/>
        </w:rPr>
        <w:t xml:space="preserve">3. Знак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кубических метров в надземном исполнении до 75 метров и в подземном исполнении до 50 метров.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кубических метров допускается уменьшать: в надземном исполнении до 20 метров и в подземном исполнении до 15 метров, а при прохождении путей и дорог по территории организации эти расстояния сокращаются до 10 метров при подземном исполнении резервуаров.</w:t>
      </w:r>
    </w:p>
    <w:p>
      <w:pPr>
        <w:pStyle w:val="0"/>
        <w:ind w:firstLine="540"/>
        <w:jc w:val="both"/>
      </w:pPr>
      <w:r>
        <w:rPr>
          <w:sz w:val="20"/>
        </w:rPr>
      </w:r>
    </w:p>
    <w:p>
      <w:pPr>
        <w:pStyle w:val="0"/>
        <w:outlineLvl w:val="1"/>
        <w:jc w:val="center"/>
      </w:pPr>
      <w:r>
        <w:rPr>
          <w:sz w:val="20"/>
        </w:rPr>
        <w:t xml:space="preserve">Таблица 21</w:t>
      </w:r>
    </w:p>
    <w:p>
      <w:pPr>
        <w:pStyle w:val="0"/>
        <w:jc w:val="right"/>
      </w:pPr>
      <w:r>
        <w:rPr>
          <w:sz w:val="20"/>
        </w:rPr>
      </w:r>
    </w:p>
    <w:bookmarkStart w:id="2943" w:name="P2943"/>
    <w:bookmarkEnd w:id="2943"/>
    <w:p>
      <w:pPr>
        <w:pStyle w:val="2"/>
        <w:jc w:val="center"/>
      </w:pPr>
      <w:r>
        <w:rPr>
          <w:sz w:val="20"/>
        </w:rPr>
        <w:t xml:space="preserve">Соответствие степени огнестойкости и предела огнестойкости</w:t>
      </w:r>
    </w:p>
    <w:p>
      <w:pPr>
        <w:pStyle w:val="2"/>
        <w:jc w:val="center"/>
      </w:pPr>
      <w:r>
        <w:rPr>
          <w:sz w:val="20"/>
        </w:rPr>
        <w:t xml:space="preserve">строительных конструкций зданий, сооружений</w:t>
      </w:r>
    </w:p>
    <w:p>
      <w:pPr>
        <w:pStyle w:val="2"/>
        <w:jc w:val="center"/>
      </w:pPr>
      <w:r>
        <w:rPr>
          <w:sz w:val="20"/>
        </w:rPr>
        <w:t xml:space="preserve">и пожарных отсеков</w:t>
      </w:r>
    </w:p>
    <w:p>
      <w:pPr>
        <w:pStyle w:val="0"/>
        <w:jc w:val="center"/>
      </w:pPr>
      <w:r>
        <w:rPr>
          <w:sz w:val="20"/>
        </w:rPr>
        <w:t xml:space="preserve">(в ред. Федерального </w:t>
      </w:r>
      <w:hyperlink w:history="0" r:id="rId55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1792"/>
        <w:gridCol w:w="1792"/>
        <w:gridCol w:w="2056"/>
        <w:gridCol w:w="1852"/>
        <w:gridCol w:w="1792"/>
        <w:gridCol w:w="1792"/>
        <w:gridCol w:w="1792"/>
      </w:tblGrid>
      <w:tr>
        <w:tc>
          <w:tcPr>
            <w:tcW w:w="1984" w:type="dxa"/>
            <w:vMerge w:val="restart"/>
          </w:tcPr>
          <w:p>
            <w:pPr>
              <w:pStyle w:val="0"/>
              <w:jc w:val="center"/>
            </w:pPr>
            <w:r>
              <w:rPr>
                <w:sz w:val="20"/>
              </w:rPr>
              <w:t xml:space="preserve">Степень огнестойкости зданий, сооружений и пожарных отсеков</w:t>
            </w:r>
          </w:p>
        </w:tc>
        <w:tc>
          <w:tcPr>
            <w:gridSpan w:val="7"/>
            <w:tcW w:w="12868" w:type="dxa"/>
          </w:tcPr>
          <w:p>
            <w:pPr>
              <w:pStyle w:val="0"/>
              <w:jc w:val="center"/>
            </w:pPr>
            <w:r>
              <w:rPr>
                <w:sz w:val="20"/>
              </w:rPr>
              <w:t xml:space="preserve">Предел огнестойкости строительных конструкций</w:t>
            </w:r>
          </w:p>
        </w:tc>
      </w:tr>
      <w:tr>
        <w:tc>
          <w:tcPr>
            <w:vMerge w:val="continue"/>
          </w:tcPr>
          <w:p/>
        </w:tc>
        <w:tc>
          <w:tcPr>
            <w:tcW w:w="1792" w:type="dxa"/>
            <w:vMerge w:val="restart"/>
          </w:tcPr>
          <w:p>
            <w:pPr>
              <w:pStyle w:val="0"/>
              <w:jc w:val="center"/>
            </w:pPr>
            <w:r>
              <w:rPr>
                <w:sz w:val="20"/>
              </w:rPr>
              <w:t xml:space="preserve">Несущие стены, колонны и другие несущие элементы</w:t>
            </w:r>
          </w:p>
        </w:tc>
        <w:tc>
          <w:tcPr>
            <w:tcW w:w="1792" w:type="dxa"/>
            <w:vMerge w:val="restart"/>
          </w:tcPr>
          <w:p>
            <w:pPr>
              <w:pStyle w:val="0"/>
              <w:jc w:val="center"/>
            </w:pPr>
            <w:r>
              <w:rPr>
                <w:sz w:val="20"/>
              </w:rPr>
              <w:t xml:space="preserve">Наружные ненесущие стены</w:t>
            </w:r>
          </w:p>
        </w:tc>
        <w:tc>
          <w:tcPr>
            <w:tcW w:w="2056" w:type="dxa"/>
            <w:vMerge w:val="restart"/>
          </w:tcPr>
          <w:p>
            <w:pPr>
              <w:pStyle w:val="0"/>
              <w:jc w:val="center"/>
            </w:pPr>
            <w:r>
              <w:rPr>
                <w:sz w:val="20"/>
              </w:rPr>
              <w:t xml:space="preserve">Перекрытия междуэтажные (в том числе чердачные и над подвалами)</w:t>
            </w:r>
          </w:p>
        </w:tc>
        <w:tc>
          <w:tcPr>
            <w:gridSpan w:val="2"/>
            <w:tcW w:w="3644" w:type="dxa"/>
          </w:tcPr>
          <w:p>
            <w:pPr>
              <w:pStyle w:val="0"/>
              <w:jc w:val="center"/>
            </w:pPr>
            <w:r>
              <w:rPr>
                <w:sz w:val="20"/>
              </w:rPr>
              <w:t xml:space="preserve">Строительные конструкции бесчердачных покрытий</w:t>
            </w:r>
          </w:p>
        </w:tc>
        <w:tc>
          <w:tcPr>
            <w:gridSpan w:val="2"/>
            <w:tcW w:w="3584" w:type="dxa"/>
          </w:tcPr>
          <w:p>
            <w:pPr>
              <w:pStyle w:val="0"/>
              <w:jc w:val="center"/>
            </w:pPr>
            <w:r>
              <w:rPr>
                <w:sz w:val="20"/>
              </w:rPr>
              <w:t xml:space="preserve">Строительные конструкции лестничных клеток</w:t>
            </w:r>
          </w:p>
        </w:tc>
      </w:tr>
      <w:tr>
        <w:tc>
          <w:tcPr>
            <w:vMerge w:val="continue"/>
          </w:tcPr>
          <w:p/>
        </w:tc>
        <w:tc>
          <w:tcPr>
            <w:vMerge w:val="continue"/>
          </w:tcPr>
          <w:p/>
        </w:tc>
        <w:tc>
          <w:tcPr>
            <w:vMerge w:val="continue"/>
          </w:tcPr>
          <w:p/>
        </w:tc>
        <w:tc>
          <w:tcPr>
            <w:vMerge w:val="continue"/>
          </w:tcPr>
          <w:p/>
        </w:tc>
        <w:tc>
          <w:tcPr>
            <w:tcW w:w="1852" w:type="dxa"/>
          </w:tcPr>
          <w:p>
            <w:pPr>
              <w:pStyle w:val="0"/>
              <w:jc w:val="center"/>
            </w:pPr>
            <w:r>
              <w:rPr>
                <w:sz w:val="20"/>
              </w:rPr>
              <w:t xml:space="preserve">настилы (в том числе с утеплителем)</w:t>
            </w:r>
          </w:p>
        </w:tc>
        <w:tc>
          <w:tcPr>
            <w:tcW w:w="1792" w:type="dxa"/>
          </w:tcPr>
          <w:p>
            <w:pPr>
              <w:pStyle w:val="0"/>
              <w:jc w:val="center"/>
            </w:pPr>
            <w:r>
              <w:rPr>
                <w:sz w:val="20"/>
              </w:rPr>
              <w:t xml:space="preserve">фермы, балки, прогоны</w:t>
            </w:r>
          </w:p>
        </w:tc>
        <w:tc>
          <w:tcPr>
            <w:tcW w:w="1792" w:type="dxa"/>
          </w:tcPr>
          <w:p>
            <w:pPr>
              <w:pStyle w:val="0"/>
              <w:jc w:val="center"/>
            </w:pPr>
            <w:r>
              <w:rPr>
                <w:sz w:val="20"/>
              </w:rPr>
              <w:t xml:space="preserve">внутренние стены</w:t>
            </w:r>
          </w:p>
        </w:tc>
        <w:tc>
          <w:tcPr>
            <w:tcW w:w="1792" w:type="dxa"/>
          </w:tcPr>
          <w:p>
            <w:pPr>
              <w:pStyle w:val="0"/>
              <w:jc w:val="center"/>
            </w:pPr>
            <w:r>
              <w:rPr>
                <w:sz w:val="20"/>
              </w:rPr>
              <w:t xml:space="preserve">марши и площадки лестниц</w:t>
            </w:r>
          </w:p>
        </w:tc>
      </w:tr>
      <w:tr>
        <w:tc>
          <w:tcPr>
            <w:tcW w:w="1984" w:type="dxa"/>
          </w:tcPr>
          <w:p>
            <w:pPr>
              <w:pStyle w:val="0"/>
              <w:jc w:val="center"/>
            </w:pPr>
            <w:r>
              <w:rPr>
                <w:sz w:val="20"/>
              </w:rPr>
              <w:t xml:space="preserve">I</w:t>
            </w:r>
          </w:p>
        </w:tc>
        <w:tc>
          <w:tcPr>
            <w:tcW w:w="1792" w:type="dxa"/>
          </w:tcPr>
          <w:p>
            <w:pPr>
              <w:pStyle w:val="0"/>
              <w:jc w:val="center"/>
            </w:pPr>
            <w:r>
              <w:rPr>
                <w:sz w:val="20"/>
              </w:rPr>
              <w:t xml:space="preserve">R 120</w:t>
            </w:r>
          </w:p>
        </w:tc>
        <w:tc>
          <w:tcPr>
            <w:tcW w:w="1792" w:type="dxa"/>
          </w:tcPr>
          <w:p>
            <w:pPr>
              <w:pStyle w:val="0"/>
              <w:jc w:val="center"/>
            </w:pPr>
            <w:r>
              <w:rPr>
                <w:sz w:val="20"/>
              </w:rPr>
              <w:t xml:space="preserve">E 30</w:t>
            </w:r>
          </w:p>
        </w:tc>
        <w:tc>
          <w:tcPr>
            <w:tcW w:w="2056" w:type="dxa"/>
          </w:tcPr>
          <w:p>
            <w:pPr>
              <w:pStyle w:val="0"/>
              <w:jc w:val="center"/>
            </w:pPr>
            <w:r>
              <w:rPr>
                <w:sz w:val="20"/>
              </w:rPr>
              <w:t xml:space="preserve">REI 60</w:t>
            </w:r>
          </w:p>
        </w:tc>
        <w:tc>
          <w:tcPr>
            <w:tcW w:w="1852" w:type="dxa"/>
          </w:tcPr>
          <w:p>
            <w:pPr>
              <w:pStyle w:val="0"/>
              <w:jc w:val="center"/>
            </w:pPr>
            <w:r>
              <w:rPr>
                <w:sz w:val="20"/>
              </w:rPr>
              <w:t xml:space="preserve">RE 30</w:t>
            </w:r>
          </w:p>
        </w:tc>
        <w:tc>
          <w:tcPr>
            <w:tcW w:w="1792" w:type="dxa"/>
          </w:tcPr>
          <w:p>
            <w:pPr>
              <w:pStyle w:val="0"/>
              <w:jc w:val="center"/>
            </w:pPr>
            <w:r>
              <w:rPr>
                <w:sz w:val="20"/>
              </w:rPr>
              <w:t xml:space="preserve">R 30</w:t>
            </w:r>
          </w:p>
        </w:tc>
        <w:tc>
          <w:tcPr>
            <w:tcW w:w="1792" w:type="dxa"/>
          </w:tcPr>
          <w:p>
            <w:pPr>
              <w:pStyle w:val="0"/>
              <w:jc w:val="center"/>
            </w:pPr>
            <w:r>
              <w:rPr>
                <w:sz w:val="20"/>
              </w:rPr>
              <w:t xml:space="preserve">REI 120</w:t>
            </w:r>
          </w:p>
        </w:tc>
        <w:tc>
          <w:tcPr>
            <w:tcW w:w="1792" w:type="dxa"/>
          </w:tcPr>
          <w:p>
            <w:pPr>
              <w:pStyle w:val="0"/>
              <w:jc w:val="center"/>
            </w:pPr>
            <w:r>
              <w:rPr>
                <w:sz w:val="20"/>
              </w:rPr>
              <w:t xml:space="preserve">R 60</w:t>
            </w:r>
          </w:p>
        </w:tc>
      </w:tr>
      <w:tr>
        <w:tc>
          <w:tcPr>
            <w:tcW w:w="1984" w:type="dxa"/>
          </w:tcPr>
          <w:p>
            <w:pPr>
              <w:pStyle w:val="0"/>
              <w:jc w:val="center"/>
            </w:pPr>
            <w:r>
              <w:rPr>
                <w:sz w:val="20"/>
              </w:rPr>
              <w:t xml:space="preserve">II</w:t>
            </w:r>
          </w:p>
        </w:tc>
        <w:tc>
          <w:tcPr>
            <w:tcW w:w="1792" w:type="dxa"/>
          </w:tcPr>
          <w:p>
            <w:pPr>
              <w:pStyle w:val="0"/>
              <w:jc w:val="center"/>
            </w:pPr>
            <w:r>
              <w:rPr>
                <w:sz w:val="20"/>
              </w:rPr>
              <w:t xml:space="preserve">R 90</w:t>
            </w:r>
          </w:p>
        </w:tc>
        <w:tc>
          <w:tcPr>
            <w:tcW w:w="1792" w:type="dxa"/>
          </w:tcPr>
          <w:p>
            <w:pPr>
              <w:pStyle w:val="0"/>
              <w:jc w:val="center"/>
            </w:pPr>
            <w:r>
              <w:rPr>
                <w:sz w:val="20"/>
              </w:rPr>
              <w:t xml:space="preserve">E 15</w:t>
            </w:r>
          </w:p>
        </w:tc>
        <w:tc>
          <w:tcPr>
            <w:tcW w:w="2056" w:type="dxa"/>
          </w:tcPr>
          <w:p>
            <w:pPr>
              <w:pStyle w:val="0"/>
              <w:jc w:val="center"/>
            </w:pPr>
            <w:r>
              <w:rPr>
                <w:sz w:val="20"/>
              </w:rPr>
              <w:t xml:space="preserve">REI 45</w:t>
            </w:r>
          </w:p>
        </w:tc>
        <w:tc>
          <w:tcPr>
            <w:tcW w:w="1852" w:type="dxa"/>
          </w:tcPr>
          <w:p>
            <w:pPr>
              <w:pStyle w:val="0"/>
              <w:jc w:val="center"/>
            </w:pPr>
            <w:r>
              <w:rPr>
                <w:sz w:val="20"/>
              </w:rPr>
              <w:t xml:space="preserve">RE 15</w:t>
            </w:r>
          </w:p>
        </w:tc>
        <w:tc>
          <w:tcPr>
            <w:tcW w:w="1792" w:type="dxa"/>
          </w:tcPr>
          <w:p>
            <w:pPr>
              <w:pStyle w:val="0"/>
              <w:jc w:val="center"/>
            </w:pPr>
            <w:r>
              <w:rPr>
                <w:sz w:val="20"/>
              </w:rPr>
              <w:t xml:space="preserve">R 15</w:t>
            </w:r>
          </w:p>
        </w:tc>
        <w:tc>
          <w:tcPr>
            <w:tcW w:w="1792" w:type="dxa"/>
          </w:tcPr>
          <w:p>
            <w:pPr>
              <w:pStyle w:val="0"/>
              <w:jc w:val="center"/>
            </w:pPr>
            <w:r>
              <w:rPr>
                <w:sz w:val="20"/>
              </w:rPr>
              <w:t xml:space="preserve">REI 90</w:t>
            </w:r>
          </w:p>
        </w:tc>
        <w:tc>
          <w:tcPr>
            <w:tcW w:w="1792" w:type="dxa"/>
          </w:tcPr>
          <w:p>
            <w:pPr>
              <w:pStyle w:val="0"/>
              <w:jc w:val="center"/>
            </w:pPr>
            <w:r>
              <w:rPr>
                <w:sz w:val="20"/>
              </w:rPr>
              <w:t xml:space="preserve">R 60</w:t>
            </w:r>
          </w:p>
        </w:tc>
      </w:tr>
      <w:tr>
        <w:tc>
          <w:tcPr>
            <w:tcW w:w="1984" w:type="dxa"/>
          </w:tcPr>
          <w:p>
            <w:pPr>
              <w:pStyle w:val="0"/>
              <w:jc w:val="center"/>
            </w:pPr>
            <w:r>
              <w:rPr>
                <w:sz w:val="20"/>
              </w:rPr>
              <w:t xml:space="preserve">III</w:t>
            </w:r>
          </w:p>
        </w:tc>
        <w:tc>
          <w:tcPr>
            <w:tcW w:w="1792" w:type="dxa"/>
          </w:tcPr>
          <w:p>
            <w:pPr>
              <w:pStyle w:val="0"/>
              <w:jc w:val="center"/>
            </w:pPr>
            <w:r>
              <w:rPr>
                <w:sz w:val="20"/>
              </w:rPr>
              <w:t xml:space="preserve">R 45</w:t>
            </w:r>
          </w:p>
        </w:tc>
        <w:tc>
          <w:tcPr>
            <w:tcW w:w="1792" w:type="dxa"/>
          </w:tcPr>
          <w:p>
            <w:pPr>
              <w:pStyle w:val="0"/>
              <w:jc w:val="center"/>
            </w:pPr>
            <w:r>
              <w:rPr>
                <w:sz w:val="20"/>
              </w:rPr>
              <w:t xml:space="preserve">E 15</w:t>
            </w:r>
          </w:p>
        </w:tc>
        <w:tc>
          <w:tcPr>
            <w:tcW w:w="2056" w:type="dxa"/>
          </w:tcPr>
          <w:p>
            <w:pPr>
              <w:pStyle w:val="0"/>
              <w:jc w:val="center"/>
            </w:pPr>
            <w:r>
              <w:rPr>
                <w:sz w:val="20"/>
              </w:rPr>
              <w:t xml:space="preserve">REI 45</w:t>
            </w:r>
          </w:p>
        </w:tc>
        <w:tc>
          <w:tcPr>
            <w:tcW w:w="1852" w:type="dxa"/>
          </w:tcPr>
          <w:p>
            <w:pPr>
              <w:pStyle w:val="0"/>
              <w:jc w:val="center"/>
            </w:pPr>
            <w:r>
              <w:rPr>
                <w:sz w:val="20"/>
              </w:rPr>
              <w:t xml:space="preserve">RE 15</w:t>
            </w:r>
          </w:p>
        </w:tc>
        <w:tc>
          <w:tcPr>
            <w:tcW w:w="1792" w:type="dxa"/>
          </w:tcPr>
          <w:p>
            <w:pPr>
              <w:pStyle w:val="0"/>
              <w:jc w:val="center"/>
            </w:pPr>
            <w:r>
              <w:rPr>
                <w:sz w:val="20"/>
              </w:rPr>
              <w:t xml:space="preserve">R 15</w:t>
            </w:r>
          </w:p>
        </w:tc>
        <w:tc>
          <w:tcPr>
            <w:tcW w:w="1792" w:type="dxa"/>
          </w:tcPr>
          <w:p>
            <w:pPr>
              <w:pStyle w:val="0"/>
              <w:jc w:val="center"/>
            </w:pPr>
            <w:r>
              <w:rPr>
                <w:sz w:val="20"/>
              </w:rPr>
              <w:t xml:space="preserve">REI 60</w:t>
            </w:r>
          </w:p>
        </w:tc>
        <w:tc>
          <w:tcPr>
            <w:tcW w:w="1792" w:type="dxa"/>
          </w:tcPr>
          <w:p>
            <w:pPr>
              <w:pStyle w:val="0"/>
              <w:jc w:val="center"/>
            </w:pPr>
            <w:r>
              <w:rPr>
                <w:sz w:val="20"/>
              </w:rPr>
              <w:t xml:space="preserve">R 45</w:t>
            </w:r>
          </w:p>
        </w:tc>
      </w:tr>
      <w:tr>
        <w:tc>
          <w:tcPr>
            <w:tcW w:w="1984" w:type="dxa"/>
          </w:tcPr>
          <w:p>
            <w:pPr>
              <w:pStyle w:val="0"/>
              <w:jc w:val="center"/>
            </w:pPr>
            <w:r>
              <w:rPr>
                <w:sz w:val="20"/>
              </w:rPr>
              <w:t xml:space="preserve">IV</w:t>
            </w:r>
          </w:p>
        </w:tc>
        <w:tc>
          <w:tcPr>
            <w:tcW w:w="1792" w:type="dxa"/>
          </w:tcPr>
          <w:p>
            <w:pPr>
              <w:pStyle w:val="0"/>
              <w:jc w:val="center"/>
            </w:pPr>
            <w:r>
              <w:rPr>
                <w:sz w:val="20"/>
              </w:rPr>
              <w:t xml:space="preserve">R 15</w:t>
            </w:r>
          </w:p>
        </w:tc>
        <w:tc>
          <w:tcPr>
            <w:tcW w:w="1792" w:type="dxa"/>
          </w:tcPr>
          <w:p>
            <w:pPr>
              <w:pStyle w:val="0"/>
              <w:jc w:val="center"/>
            </w:pPr>
            <w:r>
              <w:rPr>
                <w:sz w:val="20"/>
              </w:rPr>
              <w:t xml:space="preserve">E 15</w:t>
            </w:r>
          </w:p>
        </w:tc>
        <w:tc>
          <w:tcPr>
            <w:tcW w:w="2056" w:type="dxa"/>
          </w:tcPr>
          <w:p>
            <w:pPr>
              <w:pStyle w:val="0"/>
              <w:jc w:val="center"/>
            </w:pPr>
            <w:r>
              <w:rPr>
                <w:sz w:val="20"/>
              </w:rPr>
              <w:t xml:space="preserve">REI 15</w:t>
            </w:r>
          </w:p>
        </w:tc>
        <w:tc>
          <w:tcPr>
            <w:tcW w:w="1852" w:type="dxa"/>
          </w:tcPr>
          <w:p>
            <w:pPr>
              <w:pStyle w:val="0"/>
              <w:jc w:val="center"/>
            </w:pPr>
            <w:r>
              <w:rPr>
                <w:sz w:val="20"/>
              </w:rPr>
              <w:t xml:space="preserve">RE 15</w:t>
            </w:r>
          </w:p>
        </w:tc>
        <w:tc>
          <w:tcPr>
            <w:tcW w:w="1792" w:type="dxa"/>
          </w:tcPr>
          <w:p>
            <w:pPr>
              <w:pStyle w:val="0"/>
              <w:jc w:val="center"/>
            </w:pPr>
            <w:r>
              <w:rPr>
                <w:sz w:val="20"/>
              </w:rPr>
              <w:t xml:space="preserve">R 15</w:t>
            </w:r>
          </w:p>
        </w:tc>
        <w:tc>
          <w:tcPr>
            <w:tcW w:w="1792" w:type="dxa"/>
          </w:tcPr>
          <w:p>
            <w:pPr>
              <w:pStyle w:val="0"/>
              <w:jc w:val="center"/>
            </w:pPr>
            <w:r>
              <w:rPr>
                <w:sz w:val="20"/>
              </w:rPr>
              <w:t xml:space="preserve">REI 45</w:t>
            </w:r>
          </w:p>
        </w:tc>
        <w:tc>
          <w:tcPr>
            <w:tcW w:w="1792" w:type="dxa"/>
          </w:tcPr>
          <w:p>
            <w:pPr>
              <w:pStyle w:val="0"/>
              <w:jc w:val="center"/>
            </w:pPr>
            <w:r>
              <w:rPr>
                <w:sz w:val="20"/>
              </w:rPr>
              <w:t xml:space="preserve">R 15</w:t>
            </w:r>
          </w:p>
        </w:tc>
      </w:tr>
      <w:tr>
        <w:tc>
          <w:tcPr>
            <w:tcW w:w="1984" w:type="dxa"/>
          </w:tcPr>
          <w:p>
            <w:pPr>
              <w:pStyle w:val="0"/>
              <w:jc w:val="center"/>
            </w:pPr>
            <w:r>
              <w:rPr>
                <w:sz w:val="20"/>
              </w:rPr>
              <w:t xml:space="preserve">V</w:t>
            </w:r>
          </w:p>
        </w:tc>
        <w:tc>
          <w:tcPr>
            <w:tcW w:w="1792" w:type="dxa"/>
          </w:tcPr>
          <w:p>
            <w:pPr>
              <w:pStyle w:val="0"/>
              <w:jc w:val="center"/>
            </w:pPr>
            <w:r>
              <w:rPr>
                <w:sz w:val="20"/>
              </w:rPr>
              <w:t xml:space="preserve">не нормируется</w:t>
            </w:r>
          </w:p>
        </w:tc>
        <w:tc>
          <w:tcPr>
            <w:tcW w:w="1792" w:type="dxa"/>
          </w:tcPr>
          <w:p>
            <w:pPr>
              <w:pStyle w:val="0"/>
              <w:jc w:val="center"/>
            </w:pPr>
            <w:r>
              <w:rPr>
                <w:sz w:val="20"/>
              </w:rPr>
              <w:t xml:space="preserve">не нормируется</w:t>
            </w:r>
          </w:p>
        </w:tc>
        <w:tc>
          <w:tcPr>
            <w:tcW w:w="2056" w:type="dxa"/>
          </w:tcPr>
          <w:p>
            <w:pPr>
              <w:pStyle w:val="0"/>
              <w:jc w:val="center"/>
            </w:pPr>
            <w:r>
              <w:rPr>
                <w:sz w:val="20"/>
              </w:rPr>
              <w:t xml:space="preserve">не нормируется</w:t>
            </w:r>
          </w:p>
        </w:tc>
        <w:tc>
          <w:tcPr>
            <w:tcW w:w="1852" w:type="dxa"/>
          </w:tcPr>
          <w:p>
            <w:pPr>
              <w:pStyle w:val="0"/>
              <w:jc w:val="center"/>
            </w:pPr>
            <w:r>
              <w:rPr>
                <w:sz w:val="20"/>
              </w:rPr>
              <w:t xml:space="preserve">не нормируется</w:t>
            </w:r>
          </w:p>
        </w:tc>
        <w:tc>
          <w:tcPr>
            <w:tcW w:w="1792" w:type="dxa"/>
          </w:tcPr>
          <w:p>
            <w:pPr>
              <w:pStyle w:val="0"/>
              <w:jc w:val="center"/>
            </w:pPr>
            <w:r>
              <w:rPr>
                <w:sz w:val="20"/>
              </w:rPr>
              <w:t xml:space="preserve">не нормируется</w:t>
            </w:r>
          </w:p>
        </w:tc>
        <w:tc>
          <w:tcPr>
            <w:tcW w:w="1792" w:type="dxa"/>
          </w:tcPr>
          <w:p>
            <w:pPr>
              <w:pStyle w:val="0"/>
              <w:jc w:val="center"/>
            </w:pPr>
            <w:r>
              <w:rPr>
                <w:sz w:val="20"/>
              </w:rPr>
              <w:t xml:space="preserve">не нормируется</w:t>
            </w:r>
          </w:p>
        </w:tc>
        <w:tc>
          <w:tcPr>
            <w:tcW w:w="1792" w:type="dxa"/>
          </w:tcPr>
          <w:p>
            <w:pPr>
              <w:pStyle w:val="0"/>
              <w:jc w:val="center"/>
            </w:pPr>
            <w:r>
              <w:rPr>
                <w:sz w:val="20"/>
              </w:rPr>
              <w:t xml:space="preserve">не нормируется</w:t>
            </w:r>
          </w:p>
        </w:tc>
      </w:tr>
    </w:tbl>
    <w:p>
      <w:pPr>
        <w:pStyle w:val="0"/>
        <w:jc w:val="both"/>
      </w:pPr>
      <w:r>
        <w:rPr>
          <w:sz w:val="20"/>
        </w:rPr>
        <w:t xml:space="preserve">(в ред. Федерального </w:t>
      </w:r>
      <w:hyperlink w:history="0" r:id="rId55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Примечание. Порядок отнесения строительных конструкций к несущим элементам здания и сооружения устанавливается нормативными документами по пожарной безопасности.</w:t>
      </w:r>
    </w:p>
    <w:p>
      <w:pPr>
        <w:pStyle w:val="0"/>
        <w:jc w:val="both"/>
      </w:pPr>
      <w:r>
        <w:rPr>
          <w:sz w:val="20"/>
        </w:rPr>
        <w:t xml:space="preserve">(в ред. Федерального </w:t>
      </w:r>
      <w:hyperlink w:history="0" r:id="rId55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outlineLvl w:val="1"/>
        <w:jc w:val="center"/>
      </w:pPr>
      <w:r>
        <w:rPr>
          <w:sz w:val="20"/>
        </w:rPr>
        <w:t xml:space="preserve">Таблица 22</w:t>
      </w:r>
    </w:p>
    <w:p>
      <w:pPr>
        <w:pStyle w:val="0"/>
        <w:jc w:val="right"/>
      </w:pPr>
      <w:r>
        <w:rPr>
          <w:sz w:val="20"/>
        </w:rPr>
      </w:r>
    </w:p>
    <w:bookmarkStart w:id="3006" w:name="P3006"/>
    <w:bookmarkEnd w:id="3006"/>
    <w:p>
      <w:pPr>
        <w:pStyle w:val="2"/>
        <w:jc w:val="center"/>
      </w:pPr>
      <w:r>
        <w:rPr>
          <w:sz w:val="20"/>
        </w:rPr>
        <w:t xml:space="preserve">Соответствие класса конструктивной пожарной опасности</w:t>
      </w:r>
    </w:p>
    <w:p>
      <w:pPr>
        <w:pStyle w:val="2"/>
        <w:jc w:val="center"/>
      </w:pPr>
      <w:r>
        <w:rPr>
          <w:sz w:val="20"/>
        </w:rPr>
        <w:t xml:space="preserve">и класса пожарной опасности строительных конструкций</w:t>
      </w:r>
    </w:p>
    <w:p>
      <w:pPr>
        <w:pStyle w:val="2"/>
        <w:jc w:val="center"/>
      </w:pPr>
      <w:r>
        <w:rPr>
          <w:sz w:val="20"/>
        </w:rPr>
        <w:t xml:space="preserve">зданий, сооружений и пожарных отсеков</w:t>
      </w:r>
    </w:p>
    <w:p>
      <w:pPr>
        <w:pStyle w:val="0"/>
        <w:jc w:val="center"/>
      </w:pPr>
      <w:r>
        <w:rPr>
          <w:sz w:val="20"/>
        </w:rPr>
        <w:t xml:space="preserve">(в ред. Федерального </w:t>
      </w:r>
      <w:hyperlink w:history="0" r:id="rId56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Текст строки "Класс пожарной безопасности строительных конструкций" приведен в соответствии с публикацией в "Собрании законодательства РФ", 28.07.2008, N 30.</w:t>
            </w:r>
          </w:p>
          <w:p>
            <w:pPr>
              <w:pStyle w:val="0"/>
              <w:jc w:val="both"/>
            </w:pPr>
            <w:r>
              <w:rPr>
                <w:sz w:val="20"/>
                <w:color w:val="392c69"/>
              </w:rPr>
              <w:t xml:space="preserve">В "Российской газете", N 163, 01.08.2008 текст указанной строки приведен в следующей редакции: "Класс пожарной опасности строительных конструкций".</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200"/>
        <w:gridCol w:w="1792"/>
        <w:gridCol w:w="1792"/>
        <w:gridCol w:w="1924"/>
        <w:gridCol w:w="2476"/>
        <w:gridCol w:w="1660"/>
      </w:tblGrid>
      <w:tr>
        <w:tblPrEx>
          <w:tblBorders>
            <w:insideH w:val="single" w:sz="4"/>
          </w:tblBorders>
        </w:tblPrEx>
        <w:tc>
          <w:tcPr>
            <w:tcW w:w="2200" w:type="dxa"/>
            <w:tcBorders>
              <w:top w:val="single" w:sz="4"/>
              <w:bottom w:val="single" w:sz="4"/>
            </w:tcBorders>
            <w:vMerge w:val="restart"/>
          </w:tcPr>
          <w:p>
            <w:pPr>
              <w:pStyle w:val="0"/>
              <w:jc w:val="center"/>
            </w:pPr>
            <w:r>
              <w:rPr>
                <w:sz w:val="20"/>
              </w:rPr>
              <w:t xml:space="preserve">Класс конструктивной пожарной опасности здания</w:t>
            </w:r>
          </w:p>
        </w:tc>
        <w:tc>
          <w:tcPr>
            <w:gridSpan w:val="5"/>
            <w:tcW w:w="9644" w:type="dxa"/>
            <w:tcBorders>
              <w:top w:val="single" w:sz="4"/>
              <w:bottom w:val="single" w:sz="4"/>
            </w:tcBorders>
          </w:tcPr>
          <w:p>
            <w:pPr>
              <w:pStyle w:val="0"/>
              <w:jc w:val="center"/>
            </w:pPr>
            <w:r>
              <w:rPr>
                <w:sz w:val="20"/>
              </w:rPr>
              <w:t xml:space="preserve">Класс пожарной безопасности строительных конструкций</w:t>
            </w:r>
          </w:p>
        </w:tc>
      </w:tr>
      <w:tr>
        <w:tblPrEx>
          <w:tblBorders>
            <w:insideH w:val="single" w:sz="4"/>
          </w:tblBorders>
        </w:tblPrEx>
        <w:tc>
          <w:tcPr>
            <w:tcBorders>
              <w:top w:val="single" w:sz="4"/>
              <w:bottom w:val="single" w:sz="4"/>
            </w:tcBorders>
            <w:vMerge w:val="continue"/>
          </w:tcPr>
          <w:p/>
        </w:tc>
        <w:tc>
          <w:tcPr>
            <w:tcW w:w="1792" w:type="dxa"/>
            <w:tcBorders>
              <w:top w:val="single" w:sz="4"/>
              <w:bottom w:val="single" w:sz="4"/>
            </w:tcBorders>
          </w:tcPr>
          <w:p>
            <w:pPr>
              <w:pStyle w:val="0"/>
              <w:jc w:val="center"/>
            </w:pPr>
            <w:r>
              <w:rPr>
                <w:sz w:val="20"/>
              </w:rPr>
              <w:t xml:space="preserve">Несущие стержневые элементы (колонны, ригели, фермы)</w:t>
            </w:r>
          </w:p>
        </w:tc>
        <w:tc>
          <w:tcPr>
            <w:tcW w:w="1792" w:type="dxa"/>
            <w:tcBorders>
              <w:top w:val="single" w:sz="4"/>
              <w:bottom w:val="single" w:sz="4"/>
            </w:tcBorders>
          </w:tcPr>
          <w:p>
            <w:pPr>
              <w:pStyle w:val="0"/>
              <w:jc w:val="center"/>
            </w:pPr>
            <w:r>
              <w:rPr>
                <w:sz w:val="20"/>
              </w:rPr>
              <w:t xml:space="preserve">Наружные стены с внешней стороны</w:t>
            </w:r>
          </w:p>
        </w:tc>
        <w:tc>
          <w:tcPr>
            <w:tcW w:w="1924" w:type="dxa"/>
            <w:tcBorders>
              <w:top w:val="single" w:sz="4"/>
              <w:bottom w:val="single" w:sz="4"/>
            </w:tcBorders>
          </w:tcPr>
          <w:p>
            <w:pPr>
              <w:pStyle w:val="0"/>
              <w:jc w:val="center"/>
            </w:pPr>
            <w:r>
              <w:rPr>
                <w:sz w:val="20"/>
              </w:rPr>
              <w:t xml:space="preserve">Стены, перегородки, перекрытия и бесчердачные покрытия</w:t>
            </w:r>
          </w:p>
        </w:tc>
        <w:tc>
          <w:tcPr>
            <w:tcW w:w="2476" w:type="dxa"/>
            <w:tcBorders>
              <w:top w:val="single" w:sz="4"/>
              <w:bottom w:val="single" w:sz="4"/>
            </w:tcBorders>
          </w:tcPr>
          <w:p>
            <w:pPr>
              <w:pStyle w:val="0"/>
              <w:jc w:val="center"/>
            </w:pPr>
            <w:r>
              <w:rPr>
                <w:sz w:val="20"/>
              </w:rPr>
              <w:t xml:space="preserve">Стены лестничных клеток и противопожарные преграды</w:t>
            </w:r>
          </w:p>
        </w:tc>
        <w:tc>
          <w:tcPr>
            <w:tcW w:w="1660" w:type="dxa"/>
            <w:tcBorders>
              <w:top w:val="single" w:sz="4"/>
              <w:bottom w:val="single" w:sz="4"/>
            </w:tcBorders>
          </w:tcPr>
          <w:p>
            <w:pPr>
              <w:pStyle w:val="0"/>
              <w:jc w:val="center"/>
            </w:pPr>
            <w:r>
              <w:rPr>
                <w:sz w:val="20"/>
              </w:rPr>
              <w:t xml:space="preserve">Марши и площадки лестниц в лестничных клетках</w:t>
            </w:r>
          </w:p>
        </w:tc>
      </w:tr>
      <w:tr>
        <w:tc>
          <w:tcPr>
            <w:tcW w:w="2200" w:type="dxa"/>
            <w:tcBorders>
              <w:top w:val="single" w:sz="4"/>
              <w:bottom w:val="nil"/>
            </w:tcBorders>
          </w:tcPr>
          <w:p>
            <w:pPr>
              <w:pStyle w:val="0"/>
              <w:jc w:val="center"/>
            </w:pPr>
            <w:r>
              <w:rPr>
                <w:sz w:val="20"/>
              </w:rPr>
              <w:t xml:space="preserve">С0</w:t>
            </w:r>
          </w:p>
        </w:tc>
        <w:tc>
          <w:tcPr>
            <w:tcW w:w="1792" w:type="dxa"/>
            <w:tcBorders>
              <w:top w:val="single" w:sz="4"/>
              <w:bottom w:val="nil"/>
            </w:tcBorders>
          </w:tcPr>
          <w:p>
            <w:pPr>
              <w:pStyle w:val="0"/>
              <w:jc w:val="center"/>
            </w:pPr>
            <w:r>
              <w:rPr>
                <w:sz w:val="20"/>
              </w:rPr>
              <w:t xml:space="preserve">К0</w:t>
            </w:r>
          </w:p>
        </w:tc>
        <w:tc>
          <w:tcPr>
            <w:tcW w:w="1792" w:type="dxa"/>
            <w:tcBorders>
              <w:top w:val="single" w:sz="4"/>
              <w:bottom w:val="nil"/>
            </w:tcBorders>
          </w:tcPr>
          <w:p>
            <w:pPr>
              <w:pStyle w:val="0"/>
              <w:jc w:val="center"/>
            </w:pPr>
            <w:r>
              <w:rPr>
                <w:sz w:val="20"/>
              </w:rPr>
              <w:t xml:space="preserve">К0</w:t>
            </w:r>
          </w:p>
        </w:tc>
        <w:tc>
          <w:tcPr>
            <w:tcW w:w="1924" w:type="dxa"/>
            <w:tcBorders>
              <w:top w:val="single" w:sz="4"/>
              <w:bottom w:val="nil"/>
            </w:tcBorders>
          </w:tcPr>
          <w:p>
            <w:pPr>
              <w:pStyle w:val="0"/>
              <w:jc w:val="center"/>
            </w:pPr>
            <w:r>
              <w:rPr>
                <w:sz w:val="20"/>
              </w:rPr>
              <w:t xml:space="preserve">К0</w:t>
            </w:r>
          </w:p>
        </w:tc>
        <w:tc>
          <w:tcPr>
            <w:tcW w:w="2476" w:type="dxa"/>
            <w:tcBorders>
              <w:top w:val="single" w:sz="4"/>
              <w:bottom w:val="nil"/>
            </w:tcBorders>
          </w:tcPr>
          <w:p>
            <w:pPr>
              <w:pStyle w:val="0"/>
              <w:jc w:val="center"/>
            </w:pPr>
            <w:r>
              <w:rPr>
                <w:sz w:val="20"/>
              </w:rPr>
              <w:t xml:space="preserve">К0</w:t>
            </w:r>
          </w:p>
        </w:tc>
        <w:tc>
          <w:tcPr>
            <w:tcW w:w="1660" w:type="dxa"/>
            <w:tcBorders>
              <w:top w:val="single" w:sz="4"/>
              <w:bottom w:val="nil"/>
            </w:tcBorders>
          </w:tcPr>
          <w:p>
            <w:pPr>
              <w:pStyle w:val="0"/>
              <w:jc w:val="center"/>
            </w:pPr>
            <w:r>
              <w:rPr>
                <w:sz w:val="20"/>
              </w:rPr>
              <w:t xml:space="preserve">К0</w:t>
            </w:r>
          </w:p>
        </w:tc>
      </w:tr>
      <w:tr>
        <w:tc>
          <w:tcPr>
            <w:tcW w:w="2200" w:type="dxa"/>
            <w:tcBorders>
              <w:top w:val="nil"/>
              <w:bottom w:val="nil"/>
            </w:tcBorders>
          </w:tcPr>
          <w:p>
            <w:pPr>
              <w:pStyle w:val="0"/>
              <w:jc w:val="center"/>
            </w:pPr>
            <w:r>
              <w:rPr>
                <w:sz w:val="20"/>
              </w:rPr>
              <w:t xml:space="preserve">С1</w:t>
            </w:r>
          </w:p>
        </w:tc>
        <w:tc>
          <w:tcPr>
            <w:tcW w:w="1792" w:type="dxa"/>
            <w:tcBorders>
              <w:top w:val="nil"/>
              <w:bottom w:val="nil"/>
            </w:tcBorders>
          </w:tcPr>
          <w:p>
            <w:pPr>
              <w:pStyle w:val="0"/>
              <w:jc w:val="center"/>
            </w:pPr>
            <w:r>
              <w:rPr>
                <w:sz w:val="20"/>
              </w:rPr>
              <w:t xml:space="preserve">К1</w:t>
            </w:r>
          </w:p>
        </w:tc>
        <w:tc>
          <w:tcPr>
            <w:tcW w:w="1792" w:type="dxa"/>
            <w:tcBorders>
              <w:top w:val="nil"/>
              <w:bottom w:val="nil"/>
            </w:tcBorders>
          </w:tcPr>
          <w:p>
            <w:pPr>
              <w:pStyle w:val="0"/>
              <w:jc w:val="center"/>
            </w:pPr>
            <w:r>
              <w:rPr>
                <w:sz w:val="20"/>
              </w:rPr>
              <w:t xml:space="preserve">К2</w:t>
            </w:r>
          </w:p>
        </w:tc>
        <w:tc>
          <w:tcPr>
            <w:tcW w:w="1924" w:type="dxa"/>
            <w:tcBorders>
              <w:top w:val="nil"/>
              <w:bottom w:val="nil"/>
            </w:tcBorders>
          </w:tcPr>
          <w:p>
            <w:pPr>
              <w:pStyle w:val="0"/>
              <w:jc w:val="center"/>
            </w:pPr>
            <w:r>
              <w:rPr>
                <w:sz w:val="20"/>
              </w:rPr>
              <w:t xml:space="preserve">К1</w:t>
            </w:r>
          </w:p>
        </w:tc>
        <w:tc>
          <w:tcPr>
            <w:tcW w:w="2476" w:type="dxa"/>
            <w:tcBorders>
              <w:top w:val="nil"/>
              <w:bottom w:val="nil"/>
            </w:tcBorders>
          </w:tcPr>
          <w:p>
            <w:pPr>
              <w:pStyle w:val="0"/>
              <w:jc w:val="center"/>
            </w:pPr>
            <w:r>
              <w:rPr>
                <w:sz w:val="20"/>
              </w:rPr>
              <w:t xml:space="preserve">К0</w:t>
            </w:r>
          </w:p>
        </w:tc>
        <w:tc>
          <w:tcPr>
            <w:tcW w:w="1660" w:type="dxa"/>
            <w:tcBorders>
              <w:top w:val="nil"/>
              <w:bottom w:val="nil"/>
            </w:tcBorders>
          </w:tcPr>
          <w:p>
            <w:pPr>
              <w:pStyle w:val="0"/>
              <w:jc w:val="center"/>
            </w:pPr>
            <w:r>
              <w:rPr>
                <w:sz w:val="20"/>
              </w:rPr>
              <w:t xml:space="preserve">К0</w:t>
            </w:r>
          </w:p>
        </w:tc>
      </w:tr>
      <w:tr>
        <w:tc>
          <w:tcPr>
            <w:tcW w:w="2200" w:type="dxa"/>
            <w:tcBorders>
              <w:top w:val="nil"/>
              <w:bottom w:val="nil"/>
            </w:tcBorders>
          </w:tcPr>
          <w:p>
            <w:pPr>
              <w:pStyle w:val="0"/>
              <w:jc w:val="center"/>
            </w:pPr>
            <w:r>
              <w:rPr>
                <w:sz w:val="20"/>
              </w:rPr>
              <w:t xml:space="preserve">С2</w:t>
            </w:r>
          </w:p>
        </w:tc>
        <w:tc>
          <w:tcPr>
            <w:tcW w:w="1792" w:type="dxa"/>
            <w:tcBorders>
              <w:top w:val="nil"/>
              <w:bottom w:val="nil"/>
            </w:tcBorders>
          </w:tcPr>
          <w:p>
            <w:pPr>
              <w:pStyle w:val="0"/>
              <w:jc w:val="center"/>
            </w:pPr>
            <w:r>
              <w:rPr>
                <w:sz w:val="20"/>
              </w:rPr>
              <w:t xml:space="preserve">К3</w:t>
            </w:r>
          </w:p>
        </w:tc>
        <w:tc>
          <w:tcPr>
            <w:tcW w:w="1792" w:type="dxa"/>
            <w:tcBorders>
              <w:top w:val="nil"/>
              <w:bottom w:val="nil"/>
            </w:tcBorders>
          </w:tcPr>
          <w:p>
            <w:pPr>
              <w:pStyle w:val="0"/>
              <w:jc w:val="center"/>
            </w:pPr>
            <w:r>
              <w:rPr>
                <w:sz w:val="20"/>
              </w:rPr>
              <w:t xml:space="preserve">К3</w:t>
            </w:r>
          </w:p>
        </w:tc>
        <w:tc>
          <w:tcPr>
            <w:tcW w:w="1924" w:type="dxa"/>
            <w:tcBorders>
              <w:top w:val="nil"/>
              <w:bottom w:val="nil"/>
            </w:tcBorders>
          </w:tcPr>
          <w:p>
            <w:pPr>
              <w:pStyle w:val="0"/>
              <w:jc w:val="center"/>
            </w:pPr>
            <w:r>
              <w:rPr>
                <w:sz w:val="20"/>
              </w:rPr>
              <w:t xml:space="preserve">К2</w:t>
            </w:r>
          </w:p>
        </w:tc>
        <w:tc>
          <w:tcPr>
            <w:tcW w:w="2476" w:type="dxa"/>
            <w:tcBorders>
              <w:top w:val="nil"/>
              <w:bottom w:val="nil"/>
            </w:tcBorders>
          </w:tcPr>
          <w:p>
            <w:pPr>
              <w:pStyle w:val="0"/>
              <w:jc w:val="center"/>
            </w:pPr>
            <w:r>
              <w:rPr>
                <w:sz w:val="20"/>
              </w:rPr>
              <w:t xml:space="preserve">К1</w:t>
            </w:r>
          </w:p>
        </w:tc>
        <w:tc>
          <w:tcPr>
            <w:tcW w:w="1660" w:type="dxa"/>
            <w:tcBorders>
              <w:top w:val="nil"/>
              <w:bottom w:val="nil"/>
            </w:tcBorders>
          </w:tcPr>
          <w:p>
            <w:pPr>
              <w:pStyle w:val="0"/>
              <w:jc w:val="center"/>
            </w:pPr>
            <w:r>
              <w:rPr>
                <w:sz w:val="20"/>
              </w:rPr>
              <w:t xml:space="preserve">К1</w:t>
            </w:r>
          </w:p>
        </w:tc>
      </w:tr>
      <w:tr>
        <w:tc>
          <w:tcPr>
            <w:tcW w:w="2200" w:type="dxa"/>
            <w:tcBorders>
              <w:top w:val="nil"/>
              <w:bottom w:val="single" w:sz="4"/>
            </w:tcBorders>
          </w:tcPr>
          <w:p>
            <w:pPr>
              <w:pStyle w:val="0"/>
              <w:jc w:val="center"/>
            </w:pPr>
            <w:r>
              <w:rPr>
                <w:sz w:val="20"/>
              </w:rPr>
              <w:t xml:space="preserve">С3</w:t>
            </w:r>
          </w:p>
        </w:tc>
        <w:tc>
          <w:tcPr>
            <w:tcW w:w="1792" w:type="dxa"/>
            <w:tcBorders>
              <w:top w:val="nil"/>
              <w:bottom w:val="single" w:sz="4"/>
            </w:tcBorders>
          </w:tcPr>
          <w:p>
            <w:pPr>
              <w:pStyle w:val="0"/>
              <w:jc w:val="center"/>
            </w:pPr>
            <w:r>
              <w:rPr>
                <w:sz w:val="20"/>
              </w:rPr>
              <w:t xml:space="preserve">не нормируется</w:t>
            </w:r>
          </w:p>
        </w:tc>
        <w:tc>
          <w:tcPr>
            <w:tcW w:w="1792" w:type="dxa"/>
            <w:tcBorders>
              <w:top w:val="nil"/>
              <w:bottom w:val="single" w:sz="4"/>
            </w:tcBorders>
          </w:tcPr>
          <w:p>
            <w:pPr>
              <w:pStyle w:val="0"/>
              <w:jc w:val="center"/>
            </w:pPr>
            <w:r>
              <w:rPr>
                <w:sz w:val="20"/>
              </w:rPr>
              <w:t xml:space="preserve">не нормируется</w:t>
            </w:r>
          </w:p>
        </w:tc>
        <w:tc>
          <w:tcPr>
            <w:tcW w:w="1924" w:type="dxa"/>
            <w:tcBorders>
              <w:top w:val="nil"/>
              <w:bottom w:val="single" w:sz="4"/>
            </w:tcBorders>
          </w:tcPr>
          <w:p>
            <w:pPr>
              <w:pStyle w:val="0"/>
              <w:jc w:val="center"/>
            </w:pPr>
            <w:r>
              <w:rPr>
                <w:sz w:val="20"/>
              </w:rPr>
              <w:t xml:space="preserve">не нормируется</w:t>
            </w:r>
          </w:p>
        </w:tc>
        <w:tc>
          <w:tcPr>
            <w:tcW w:w="2476" w:type="dxa"/>
            <w:tcBorders>
              <w:top w:val="nil"/>
              <w:bottom w:val="single" w:sz="4"/>
            </w:tcBorders>
          </w:tcPr>
          <w:p>
            <w:pPr>
              <w:pStyle w:val="0"/>
              <w:jc w:val="center"/>
            </w:pPr>
            <w:r>
              <w:rPr>
                <w:sz w:val="20"/>
              </w:rPr>
              <w:t xml:space="preserve">К1</w:t>
            </w:r>
          </w:p>
        </w:tc>
        <w:tc>
          <w:tcPr>
            <w:tcW w:w="1660" w:type="dxa"/>
            <w:tcBorders>
              <w:top w:val="nil"/>
              <w:bottom w:val="single" w:sz="4"/>
            </w:tcBorders>
          </w:tcPr>
          <w:p>
            <w:pPr>
              <w:pStyle w:val="0"/>
              <w:jc w:val="center"/>
            </w:pPr>
            <w:r>
              <w:rPr>
                <w:sz w:val="20"/>
              </w:rPr>
              <w:t xml:space="preserve">К3</w:t>
            </w:r>
          </w:p>
        </w:tc>
      </w:tr>
    </w:tbl>
    <w:p>
      <w:pPr>
        <w:sectPr>
          <w:headerReference w:type="default" r:id="rId539"/>
          <w:headerReference w:type="first" r:id="rId539"/>
          <w:footerReference w:type="default" r:id="rId540"/>
          <w:footerReference w:type="first" r:id="rId540"/>
          <w:pgSz w:w="16838" w:h="11906" w:orient="landscape"/>
          <w:pgMar w:top="1133" w:right="1440" w:bottom="566" w:left="1440" w:header="0" w:footer="0" w:gutter="0"/>
          <w:titlePg/>
        </w:sectPr>
      </w:pPr>
    </w:p>
    <w:p>
      <w:pPr>
        <w:pStyle w:val="0"/>
        <w:ind w:firstLine="540"/>
        <w:jc w:val="both"/>
      </w:pPr>
      <w:r>
        <w:rPr>
          <w:sz w:val="20"/>
        </w:rPr>
      </w:r>
    </w:p>
    <w:p>
      <w:pPr>
        <w:pStyle w:val="0"/>
        <w:outlineLvl w:val="1"/>
        <w:jc w:val="center"/>
      </w:pPr>
      <w:r>
        <w:rPr>
          <w:sz w:val="20"/>
        </w:rPr>
        <w:t xml:space="preserve">Таблица 23</w:t>
      </w:r>
    </w:p>
    <w:p>
      <w:pPr>
        <w:pStyle w:val="0"/>
        <w:ind w:firstLine="540"/>
        <w:jc w:val="both"/>
      </w:pPr>
      <w:r>
        <w:rPr>
          <w:sz w:val="20"/>
        </w:rPr>
      </w:r>
    </w:p>
    <w:bookmarkStart w:id="3048" w:name="P3048"/>
    <w:bookmarkEnd w:id="3048"/>
    <w:p>
      <w:pPr>
        <w:pStyle w:val="2"/>
        <w:jc w:val="center"/>
      </w:pPr>
      <w:r>
        <w:rPr>
          <w:sz w:val="20"/>
        </w:rPr>
        <w:t xml:space="preserve">Пределы огнестойкости противопожарных преград</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00"/>
        <w:gridCol w:w="2500"/>
        <w:gridCol w:w="2500"/>
        <w:gridCol w:w="2500"/>
        <w:gridCol w:w="1144"/>
      </w:tblGrid>
      <w:tr>
        <w:tc>
          <w:tcPr>
            <w:tcW w:w="2500" w:type="dxa"/>
          </w:tcPr>
          <w:p>
            <w:pPr>
              <w:pStyle w:val="0"/>
              <w:jc w:val="center"/>
            </w:pPr>
            <w:r>
              <w:rPr>
                <w:sz w:val="20"/>
              </w:rPr>
              <w:t xml:space="preserve">Наименование противопожарных преград</w:t>
            </w:r>
          </w:p>
        </w:tc>
        <w:tc>
          <w:tcPr>
            <w:tcW w:w="2500" w:type="dxa"/>
          </w:tcPr>
          <w:p>
            <w:pPr>
              <w:pStyle w:val="0"/>
              <w:jc w:val="center"/>
            </w:pPr>
            <w:r>
              <w:rPr>
                <w:sz w:val="20"/>
              </w:rPr>
              <w:t xml:space="preserve">Тип противопожарных преград</w:t>
            </w:r>
          </w:p>
        </w:tc>
        <w:tc>
          <w:tcPr>
            <w:tcW w:w="2500" w:type="dxa"/>
          </w:tcPr>
          <w:p>
            <w:pPr>
              <w:pStyle w:val="0"/>
              <w:jc w:val="center"/>
            </w:pPr>
            <w:r>
              <w:rPr>
                <w:sz w:val="20"/>
              </w:rPr>
              <w:t xml:space="preserve">Предел огнестойкости противопожарных преград</w:t>
            </w:r>
          </w:p>
        </w:tc>
        <w:tc>
          <w:tcPr>
            <w:tcW w:w="2500" w:type="dxa"/>
          </w:tcPr>
          <w:p>
            <w:pPr>
              <w:pStyle w:val="0"/>
              <w:jc w:val="center"/>
            </w:pPr>
            <w:r>
              <w:rPr>
                <w:sz w:val="20"/>
              </w:rPr>
              <w:t xml:space="preserve">Тип заполнения проемов в противопожарных преградах</w:t>
            </w:r>
          </w:p>
        </w:tc>
        <w:tc>
          <w:tcPr>
            <w:tcW w:w="1144" w:type="dxa"/>
          </w:tcPr>
          <w:p>
            <w:pPr>
              <w:pStyle w:val="0"/>
              <w:jc w:val="center"/>
            </w:pPr>
            <w:r>
              <w:rPr>
                <w:sz w:val="20"/>
              </w:rPr>
              <w:t xml:space="preserve">Тип тамбур-шлюза</w:t>
            </w:r>
          </w:p>
        </w:tc>
      </w:tr>
      <w:tr>
        <w:tc>
          <w:tcPr>
            <w:tcW w:w="2500" w:type="dxa"/>
            <w:vMerge w:val="restart"/>
          </w:tcPr>
          <w:p>
            <w:pPr>
              <w:pStyle w:val="0"/>
            </w:pPr>
            <w:r>
              <w:rPr>
                <w:sz w:val="20"/>
              </w:rPr>
              <w:t xml:space="preserve">Стены</w:t>
            </w:r>
          </w:p>
        </w:tc>
        <w:tc>
          <w:tcPr>
            <w:tcW w:w="2500" w:type="dxa"/>
          </w:tcPr>
          <w:p>
            <w:pPr>
              <w:pStyle w:val="0"/>
              <w:jc w:val="center"/>
            </w:pPr>
            <w:r>
              <w:rPr>
                <w:sz w:val="20"/>
              </w:rPr>
              <w:t xml:space="preserve">1</w:t>
            </w:r>
          </w:p>
        </w:tc>
        <w:tc>
          <w:tcPr>
            <w:tcW w:w="2500" w:type="dxa"/>
          </w:tcPr>
          <w:p>
            <w:pPr>
              <w:pStyle w:val="0"/>
              <w:jc w:val="center"/>
            </w:pPr>
            <w:r>
              <w:rPr>
                <w:sz w:val="20"/>
              </w:rPr>
              <w:t xml:space="preserve">REI 150</w:t>
            </w:r>
          </w:p>
        </w:tc>
        <w:tc>
          <w:tcPr>
            <w:tcW w:w="2500" w:type="dxa"/>
          </w:tcPr>
          <w:p>
            <w:pPr>
              <w:pStyle w:val="0"/>
              <w:jc w:val="center"/>
            </w:pPr>
            <w:r>
              <w:rPr>
                <w:sz w:val="20"/>
              </w:rPr>
              <w:t xml:space="preserve">1</w:t>
            </w:r>
          </w:p>
        </w:tc>
        <w:tc>
          <w:tcPr>
            <w:tcW w:w="1144" w:type="dxa"/>
          </w:tcPr>
          <w:p>
            <w:pPr>
              <w:pStyle w:val="0"/>
              <w:jc w:val="center"/>
            </w:pPr>
            <w:r>
              <w:rPr>
                <w:sz w:val="20"/>
              </w:rPr>
              <w:t xml:space="preserve">1</w:t>
            </w:r>
          </w:p>
        </w:tc>
      </w:tr>
      <w:tr>
        <w:tc>
          <w:tcPr>
            <w:vMerge w:val="continue"/>
          </w:tcPr>
          <w:p/>
        </w:tc>
        <w:tc>
          <w:tcPr>
            <w:tcW w:w="2500" w:type="dxa"/>
          </w:tcPr>
          <w:p>
            <w:pPr>
              <w:pStyle w:val="0"/>
              <w:jc w:val="center"/>
            </w:pPr>
            <w:r>
              <w:rPr>
                <w:sz w:val="20"/>
              </w:rPr>
              <w:t xml:space="preserve">2</w:t>
            </w:r>
          </w:p>
        </w:tc>
        <w:tc>
          <w:tcPr>
            <w:tcW w:w="2500" w:type="dxa"/>
          </w:tcPr>
          <w:p>
            <w:pPr>
              <w:pStyle w:val="0"/>
              <w:jc w:val="center"/>
            </w:pPr>
            <w:r>
              <w:rPr>
                <w:sz w:val="20"/>
              </w:rPr>
              <w:t xml:space="preserve">REI 45</w:t>
            </w:r>
          </w:p>
        </w:tc>
        <w:tc>
          <w:tcPr>
            <w:tcW w:w="2500" w:type="dxa"/>
          </w:tcPr>
          <w:p>
            <w:pPr>
              <w:pStyle w:val="0"/>
              <w:jc w:val="center"/>
            </w:pPr>
            <w:r>
              <w:rPr>
                <w:sz w:val="20"/>
              </w:rPr>
              <w:t xml:space="preserve">2</w:t>
            </w:r>
          </w:p>
        </w:tc>
        <w:tc>
          <w:tcPr>
            <w:tcW w:w="1144" w:type="dxa"/>
          </w:tcPr>
          <w:p>
            <w:pPr>
              <w:pStyle w:val="0"/>
              <w:jc w:val="center"/>
            </w:pPr>
            <w:r>
              <w:rPr>
                <w:sz w:val="20"/>
              </w:rPr>
              <w:t xml:space="preserve">2</w:t>
            </w:r>
          </w:p>
        </w:tc>
      </w:tr>
      <w:tr>
        <w:tc>
          <w:tcPr>
            <w:tcW w:w="2500" w:type="dxa"/>
            <w:vMerge w:val="restart"/>
          </w:tcPr>
          <w:p>
            <w:pPr>
              <w:pStyle w:val="0"/>
            </w:pPr>
            <w:r>
              <w:rPr>
                <w:sz w:val="20"/>
              </w:rPr>
              <w:t xml:space="preserve">Перегородки</w:t>
            </w:r>
          </w:p>
        </w:tc>
        <w:tc>
          <w:tcPr>
            <w:tcW w:w="2500" w:type="dxa"/>
          </w:tcPr>
          <w:p>
            <w:pPr>
              <w:pStyle w:val="0"/>
              <w:jc w:val="center"/>
            </w:pPr>
            <w:r>
              <w:rPr>
                <w:sz w:val="20"/>
              </w:rPr>
              <w:t xml:space="preserve">1</w:t>
            </w:r>
          </w:p>
        </w:tc>
        <w:tc>
          <w:tcPr>
            <w:tcW w:w="2500" w:type="dxa"/>
          </w:tcPr>
          <w:p>
            <w:pPr>
              <w:pStyle w:val="0"/>
              <w:jc w:val="center"/>
            </w:pPr>
            <w:r>
              <w:rPr>
                <w:sz w:val="20"/>
              </w:rPr>
              <w:t xml:space="preserve">EI 45</w:t>
            </w:r>
          </w:p>
        </w:tc>
        <w:tc>
          <w:tcPr>
            <w:tcW w:w="2500" w:type="dxa"/>
          </w:tcPr>
          <w:p>
            <w:pPr>
              <w:pStyle w:val="0"/>
              <w:jc w:val="center"/>
            </w:pPr>
            <w:r>
              <w:rPr>
                <w:sz w:val="20"/>
              </w:rPr>
              <w:t xml:space="preserve">2</w:t>
            </w:r>
          </w:p>
        </w:tc>
        <w:tc>
          <w:tcPr>
            <w:tcW w:w="1144" w:type="dxa"/>
          </w:tcPr>
          <w:p>
            <w:pPr>
              <w:pStyle w:val="0"/>
              <w:jc w:val="center"/>
            </w:pPr>
            <w:r>
              <w:rPr>
                <w:sz w:val="20"/>
              </w:rPr>
              <w:t xml:space="preserve">1</w:t>
            </w:r>
          </w:p>
        </w:tc>
      </w:tr>
      <w:tr>
        <w:tc>
          <w:tcPr>
            <w:vMerge w:val="continue"/>
          </w:tcPr>
          <w:p/>
        </w:tc>
        <w:tc>
          <w:tcPr>
            <w:tcW w:w="2500" w:type="dxa"/>
          </w:tcPr>
          <w:p>
            <w:pPr>
              <w:pStyle w:val="0"/>
              <w:jc w:val="center"/>
            </w:pPr>
            <w:r>
              <w:rPr>
                <w:sz w:val="20"/>
              </w:rPr>
              <w:t xml:space="preserve">2</w:t>
            </w:r>
          </w:p>
        </w:tc>
        <w:tc>
          <w:tcPr>
            <w:tcW w:w="2500" w:type="dxa"/>
          </w:tcPr>
          <w:p>
            <w:pPr>
              <w:pStyle w:val="0"/>
              <w:jc w:val="center"/>
            </w:pPr>
            <w:r>
              <w:rPr>
                <w:sz w:val="20"/>
              </w:rPr>
              <w:t xml:space="preserve">EI 15</w:t>
            </w:r>
          </w:p>
        </w:tc>
        <w:tc>
          <w:tcPr>
            <w:tcW w:w="2500" w:type="dxa"/>
          </w:tcPr>
          <w:p>
            <w:pPr>
              <w:pStyle w:val="0"/>
              <w:jc w:val="center"/>
            </w:pPr>
            <w:r>
              <w:rPr>
                <w:sz w:val="20"/>
              </w:rPr>
              <w:t xml:space="preserve">3</w:t>
            </w:r>
          </w:p>
        </w:tc>
        <w:tc>
          <w:tcPr>
            <w:tcW w:w="1144" w:type="dxa"/>
          </w:tcPr>
          <w:p>
            <w:pPr>
              <w:pStyle w:val="0"/>
              <w:jc w:val="center"/>
            </w:pPr>
            <w:r>
              <w:rPr>
                <w:sz w:val="20"/>
              </w:rPr>
              <w:t xml:space="preserve">2</w:t>
            </w:r>
          </w:p>
        </w:tc>
      </w:tr>
      <w:tr>
        <w:tc>
          <w:tcPr>
            <w:tcW w:w="2500" w:type="dxa"/>
            <w:vMerge w:val="restart"/>
          </w:tcPr>
          <w:p>
            <w:pPr>
              <w:pStyle w:val="0"/>
            </w:pPr>
            <w:r>
              <w:rPr>
                <w:sz w:val="20"/>
              </w:rPr>
              <w:t xml:space="preserve">Светопрозрачные перегородки с остеклением площадью более 25 процентов</w:t>
            </w:r>
          </w:p>
        </w:tc>
        <w:tc>
          <w:tcPr>
            <w:tcW w:w="2500" w:type="dxa"/>
          </w:tcPr>
          <w:p>
            <w:pPr>
              <w:pStyle w:val="0"/>
              <w:jc w:val="center"/>
            </w:pPr>
            <w:r>
              <w:rPr>
                <w:sz w:val="20"/>
              </w:rPr>
              <w:t xml:space="preserve">1</w:t>
            </w:r>
          </w:p>
        </w:tc>
        <w:tc>
          <w:tcPr>
            <w:tcW w:w="2500" w:type="dxa"/>
          </w:tcPr>
          <w:p>
            <w:pPr>
              <w:pStyle w:val="0"/>
              <w:jc w:val="center"/>
            </w:pPr>
            <w:r>
              <w:rPr>
                <w:sz w:val="20"/>
              </w:rPr>
              <w:t xml:space="preserve">EIW 45</w:t>
            </w:r>
          </w:p>
        </w:tc>
        <w:tc>
          <w:tcPr>
            <w:tcW w:w="2500" w:type="dxa"/>
          </w:tcPr>
          <w:p>
            <w:pPr>
              <w:pStyle w:val="0"/>
              <w:jc w:val="center"/>
            </w:pPr>
            <w:r>
              <w:rPr>
                <w:sz w:val="20"/>
              </w:rPr>
              <w:t xml:space="preserve">2</w:t>
            </w:r>
          </w:p>
        </w:tc>
        <w:tc>
          <w:tcPr>
            <w:tcW w:w="1144" w:type="dxa"/>
          </w:tcPr>
          <w:p>
            <w:pPr>
              <w:pStyle w:val="0"/>
              <w:jc w:val="center"/>
            </w:pPr>
            <w:r>
              <w:rPr>
                <w:sz w:val="20"/>
              </w:rPr>
              <w:t xml:space="preserve">1</w:t>
            </w:r>
          </w:p>
        </w:tc>
      </w:tr>
      <w:tr>
        <w:tc>
          <w:tcPr>
            <w:vMerge w:val="continue"/>
          </w:tcPr>
          <w:p/>
        </w:tc>
        <w:tc>
          <w:tcPr>
            <w:tcW w:w="2500" w:type="dxa"/>
          </w:tcPr>
          <w:p>
            <w:pPr>
              <w:pStyle w:val="0"/>
              <w:jc w:val="center"/>
            </w:pPr>
            <w:r>
              <w:rPr>
                <w:sz w:val="20"/>
              </w:rPr>
              <w:t xml:space="preserve">2</w:t>
            </w:r>
          </w:p>
        </w:tc>
        <w:tc>
          <w:tcPr>
            <w:tcW w:w="2500" w:type="dxa"/>
          </w:tcPr>
          <w:p>
            <w:pPr>
              <w:pStyle w:val="0"/>
              <w:jc w:val="center"/>
            </w:pPr>
            <w:r>
              <w:rPr>
                <w:sz w:val="20"/>
              </w:rPr>
              <w:t xml:space="preserve">EIW 15</w:t>
            </w:r>
          </w:p>
        </w:tc>
        <w:tc>
          <w:tcPr>
            <w:tcW w:w="2500" w:type="dxa"/>
          </w:tcPr>
          <w:p>
            <w:pPr>
              <w:pStyle w:val="0"/>
              <w:jc w:val="center"/>
            </w:pPr>
            <w:r>
              <w:rPr>
                <w:sz w:val="20"/>
              </w:rPr>
              <w:t xml:space="preserve">3</w:t>
            </w:r>
          </w:p>
        </w:tc>
        <w:tc>
          <w:tcPr>
            <w:tcW w:w="1144" w:type="dxa"/>
          </w:tcPr>
          <w:p>
            <w:pPr>
              <w:pStyle w:val="0"/>
              <w:jc w:val="center"/>
            </w:pPr>
            <w:r>
              <w:rPr>
                <w:sz w:val="20"/>
              </w:rPr>
              <w:t xml:space="preserve">2</w:t>
            </w:r>
          </w:p>
        </w:tc>
      </w:tr>
      <w:tr>
        <w:tc>
          <w:tcPr>
            <w:tcW w:w="2500" w:type="dxa"/>
            <w:vMerge w:val="restart"/>
          </w:tcPr>
          <w:p>
            <w:pPr>
              <w:pStyle w:val="0"/>
            </w:pPr>
            <w:r>
              <w:rPr>
                <w:sz w:val="20"/>
              </w:rPr>
              <w:t xml:space="preserve">Перекрытия</w:t>
            </w:r>
          </w:p>
        </w:tc>
        <w:tc>
          <w:tcPr>
            <w:tcW w:w="2500" w:type="dxa"/>
          </w:tcPr>
          <w:p>
            <w:pPr>
              <w:pStyle w:val="0"/>
              <w:jc w:val="center"/>
            </w:pPr>
            <w:r>
              <w:rPr>
                <w:sz w:val="20"/>
              </w:rPr>
              <w:t xml:space="preserve">1</w:t>
            </w:r>
          </w:p>
        </w:tc>
        <w:tc>
          <w:tcPr>
            <w:tcW w:w="2500" w:type="dxa"/>
          </w:tcPr>
          <w:p>
            <w:pPr>
              <w:pStyle w:val="0"/>
              <w:jc w:val="center"/>
            </w:pPr>
            <w:r>
              <w:rPr>
                <w:sz w:val="20"/>
              </w:rPr>
              <w:t xml:space="preserve">REI 150</w:t>
            </w:r>
          </w:p>
        </w:tc>
        <w:tc>
          <w:tcPr>
            <w:tcW w:w="2500" w:type="dxa"/>
          </w:tcPr>
          <w:p>
            <w:pPr>
              <w:pStyle w:val="0"/>
              <w:jc w:val="center"/>
            </w:pPr>
            <w:r>
              <w:rPr>
                <w:sz w:val="20"/>
              </w:rPr>
              <w:t xml:space="preserve">1</w:t>
            </w:r>
          </w:p>
        </w:tc>
        <w:tc>
          <w:tcPr>
            <w:tcW w:w="1144" w:type="dxa"/>
          </w:tcPr>
          <w:p>
            <w:pPr>
              <w:pStyle w:val="0"/>
              <w:jc w:val="center"/>
            </w:pPr>
            <w:r>
              <w:rPr>
                <w:sz w:val="20"/>
              </w:rPr>
              <w:t xml:space="preserve">1</w:t>
            </w:r>
          </w:p>
        </w:tc>
      </w:tr>
      <w:tr>
        <w:tc>
          <w:tcPr>
            <w:vMerge w:val="continue"/>
          </w:tcPr>
          <w:p/>
        </w:tc>
        <w:tc>
          <w:tcPr>
            <w:tcW w:w="2500" w:type="dxa"/>
          </w:tcPr>
          <w:p>
            <w:pPr>
              <w:pStyle w:val="0"/>
              <w:jc w:val="center"/>
            </w:pPr>
            <w:r>
              <w:rPr>
                <w:sz w:val="20"/>
              </w:rPr>
              <w:t xml:space="preserve">2</w:t>
            </w:r>
          </w:p>
        </w:tc>
        <w:tc>
          <w:tcPr>
            <w:tcW w:w="2500" w:type="dxa"/>
          </w:tcPr>
          <w:p>
            <w:pPr>
              <w:pStyle w:val="0"/>
              <w:jc w:val="center"/>
            </w:pPr>
            <w:r>
              <w:rPr>
                <w:sz w:val="20"/>
              </w:rPr>
              <w:t xml:space="preserve">REI 60</w:t>
            </w:r>
          </w:p>
        </w:tc>
        <w:tc>
          <w:tcPr>
            <w:tcW w:w="2500" w:type="dxa"/>
          </w:tcPr>
          <w:p>
            <w:pPr>
              <w:pStyle w:val="0"/>
              <w:jc w:val="center"/>
            </w:pPr>
            <w:r>
              <w:rPr>
                <w:sz w:val="20"/>
              </w:rPr>
              <w:t xml:space="preserve">2</w:t>
            </w:r>
          </w:p>
        </w:tc>
        <w:tc>
          <w:tcPr>
            <w:tcW w:w="1144" w:type="dxa"/>
          </w:tcPr>
          <w:p>
            <w:pPr>
              <w:pStyle w:val="0"/>
              <w:jc w:val="center"/>
            </w:pPr>
            <w:r>
              <w:rPr>
                <w:sz w:val="20"/>
              </w:rPr>
              <w:t xml:space="preserve">1</w:t>
            </w:r>
          </w:p>
        </w:tc>
      </w:tr>
      <w:tr>
        <w:tc>
          <w:tcPr>
            <w:vMerge w:val="continue"/>
          </w:tcPr>
          <w:p/>
        </w:tc>
        <w:tc>
          <w:tcPr>
            <w:tcW w:w="2500" w:type="dxa"/>
          </w:tcPr>
          <w:p>
            <w:pPr>
              <w:pStyle w:val="0"/>
              <w:jc w:val="center"/>
            </w:pPr>
            <w:r>
              <w:rPr>
                <w:sz w:val="20"/>
              </w:rPr>
              <w:t xml:space="preserve">3</w:t>
            </w:r>
          </w:p>
        </w:tc>
        <w:tc>
          <w:tcPr>
            <w:tcW w:w="2500" w:type="dxa"/>
          </w:tcPr>
          <w:p>
            <w:pPr>
              <w:pStyle w:val="0"/>
              <w:jc w:val="center"/>
            </w:pPr>
            <w:r>
              <w:rPr>
                <w:sz w:val="20"/>
              </w:rPr>
              <w:t xml:space="preserve">REI 45</w:t>
            </w:r>
          </w:p>
        </w:tc>
        <w:tc>
          <w:tcPr>
            <w:tcW w:w="2500" w:type="dxa"/>
          </w:tcPr>
          <w:p>
            <w:pPr>
              <w:pStyle w:val="0"/>
              <w:jc w:val="center"/>
            </w:pPr>
            <w:r>
              <w:rPr>
                <w:sz w:val="20"/>
              </w:rPr>
              <w:t xml:space="preserve">2</w:t>
            </w:r>
          </w:p>
        </w:tc>
        <w:tc>
          <w:tcPr>
            <w:tcW w:w="1144" w:type="dxa"/>
          </w:tcPr>
          <w:p>
            <w:pPr>
              <w:pStyle w:val="0"/>
              <w:jc w:val="center"/>
            </w:pPr>
            <w:r>
              <w:rPr>
                <w:sz w:val="20"/>
              </w:rPr>
              <w:t xml:space="preserve">1</w:t>
            </w:r>
          </w:p>
        </w:tc>
      </w:tr>
      <w:tr>
        <w:tc>
          <w:tcPr>
            <w:vMerge w:val="continue"/>
          </w:tcPr>
          <w:p/>
        </w:tc>
        <w:tc>
          <w:tcPr>
            <w:tcW w:w="2500" w:type="dxa"/>
          </w:tcPr>
          <w:p>
            <w:pPr>
              <w:pStyle w:val="0"/>
              <w:jc w:val="center"/>
            </w:pPr>
            <w:r>
              <w:rPr>
                <w:sz w:val="20"/>
              </w:rPr>
              <w:t xml:space="preserve">4</w:t>
            </w:r>
          </w:p>
        </w:tc>
        <w:tc>
          <w:tcPr>
            <w:tcW w:w="2500" w:type="dxa"/>
          </w:tcPr>
          <w:p>
            <w:pPr>
              <w:pStyle w:val="0"/>
              <w:jc w:val="center"/>
            </w:pPr>
            <w:r>
              <w:rPr>
                <w:sz w:val="20"/>
              </w:rPr>
              <w:t xml:space="preserve">REI 15</w:t>
            </w:r>
          </w:p>
        </w:tc>
        <w:tc>
          <w:tcPr>
            <w:tcW w:w="2500" w:type="dxa"/>
          </w:tcPr>
          <w:p>
            <w:pPr>
              <w:pStyle w:val="0"/>
              <w:jc w:val="center"/>
            </w:pPr>
            <w:r>
              <w:rPr>
                <w:sz w:val="20"/>
              </w:rPr>
              <w:t xml:space="preserve">3</w:t>
            </w:r>
          </w:p>
        </w:tc>
        <w:tc>
          <w:tcPr>
            <w:tcW w:w="1144" w:type="dxa"/>
          </w:tcPr>
          <w:p>
            <w:pPr>
              <w:pStyle w:val="0"/>
              <w:jc w:val="center"/>
            </w:pPr>
            <w:r>
              <w:rPr>
                <w:sz w:val="20"/>
              </w:rPr>
              <w:t xml:space="preserve">2</w:t>
            </w:r>
          </w:p>
        </w:tc>
      </w:tr>
    </w:tbl>
    <w:p>
      <w:pPr>
        <w:sectPr>
          <w:headerReference w:type="default" r:id="rId539"/>
          <w:headerReference w:type="first" r:id="rId539"/>
          <w:footerReference w:type="default" r:id="rId540"/>
          <w:footerReference w:type="first" r:id="rId540"/>
          <w:pgSz w:w="16838" w:h="11906" w:orient="landscape"/>
          <w:pgMar w:top="1133" w:right="1440" w:bottom="566" w:left="1440" w:header="0" w:footer="0" w:gutter="0"/>
          <w:titlePg/>
        </w:sectPr>
      </w:pPr>
    </w:p>
    <w:p>
      <w:pPr>
        <w:pStyle w:val="0"/>
        <w:ind w:firstLine="540"/>
        <w:jc w:val="both"/>
      </w:pPr>
      <w:r>
        <w:rPr>
          <w:sz w:val="20"/>
        </w:rPr>
      </w:r>
    </w:p>
    <w:p>
      <w:pPr>
        <w:pStyle w:val="0"/>
        <w:outlineLvl w:val="1"/>
        <w:jc w:val="center"/>
      </w:pPr>
      <w:r>
        <w:rPr>
          <w:sz w:val="20"/>
        </w:rPr>
        <w:t xml:space="preserve">Таблица 24</w:t>
      </w:r>
    </w:p>
    <w:p>
      <w:pPr>
        <w:pStyle w:val="0"/>
        <w:jc w:val="right"/>
      </w:pPr>
      <w:r>
        <w:rPr>
          <w:sz w:val="20"/>
        </w:rPr>
      </w:r>
    </w:p>
    <w:bookmarkStart w:id="3102" w:name="P3102"/>
    <w:bookmarkEnd w:id="3102"/>
    <w:p>
      <w:pPr>
        <w:pStyle w:val="2"/>
        <w:jc w:val="center"/>
      </w:pPr>
      <w:r>
        <w:rPr>
          <w:sz w:val="20"/>
        </w:rPr>
        <w:t xml:space="preserve">Пределы огнестойкости заполнения проемов</w:t>
      </w:r>
    </w:p>
    <w:p>
      <w:pPr>
        <w:pStyle w:val="2"/>
        <w:jc w:val="center"/>
      </w:pPr>
      <w:r>
        <w:rPr>
          <w:sz w:val="20"/>
        </w:rPr>
        <w:t xml:space="preserve">в противопожарных преградах</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082"/>
        <w:gridCol w:w="2615"/>
        <w:gridCol w:w="2267"/>
      </w:tblGrid>
      <w:tr>
        <w:tc>
          <w:tcPr>
            <w:tcW w:w="4082" w:type="dxa"/>
          </w:tcPr>
          <w:p>
            <w:pPr>
              <w:pStyle w:val="0"/>
              <w:jc w:val="center"/>
            </w:pPr>
            <w:r>
              <w:rPr>
                <w:sz w:val="20"/>
              </w:rPr>
              <w:t xml:space="preserve">Наименование элементов заполнения проемов в противопожарных преградах</w:t>
            </w:r>
          </w:p>
        </w:tc>
        <w:tc>
          <w:tcPr>
            <w:tcW w:w="2615" w:type="dxa"/>
          </w:tcPr>
          <w:p>
            <w:pPr>
              <w:pStyle w:val="0"/>
              <w:jc w:val="center"/>
            </w:pPr>
            <w:r>
              <w:rPr>
                <w:sz w:val="20"/>
              </w:rPr>
              <w:t xml:space="preserve">Тип заполнения проемов в противопожарных преградах</w:t>
            </w:r>
          </w:p>
        </w:tc>
        <w:tc>
          <w:tcPr>
            <w:tcW w:w="2267" w:type="dxa"/>
          </w:tcPr>
          <w:p>
            <w:pPr>
              <w:pStyle w:val="0"/>
              <w:jc w:val="center"/>
            </w:pPr>
            <w:r>
              <w:rPr>
                <w:sz w:val="20"/>
              </w:rPr>
              <w:t xml:space="preserve">Предел огнестойкости</w:t>
            </w:r>
          </w:p>
        </w:tc>
      </w:tr>
      <w:tr>
        <w:tc>
          <w:tcPr>
            <w:tcW w:w="4082" w:type="dxa"/>
            <w:vMerge w:val="restart"/>
          </w:tcPr>
          <w:p>
            <w:pPr>
              <w:pStyle w:val="0"/>
            </w:pPr>
            <w:r>
              <w:rPr>
                <w:sz w:val="20"/>
              </w:rPr>
              <w:t xml:space="preserve">Двери (за исключением дверей с остеклением более 25 процентов и дымогазонепроницаемых дверей), ворота, люки, клапаны, шторы и экраны</w:t>
            </w:r>
          </w:p>
        </w:tc>
        <w:tc>
          <w:tcPr>
            <w:tcW w:w="2615" w:type="dxa"/>
          </w:tcPr>
          <w:p>
            <w:pPr>
              <w:pStyle w:val="0"/>
              <w:jc w:val="center"/>
            </w:pPr>
            <w:r>
              <w:rPr>
                <w:sz w:val="20"/>
              </w:rPr>
              <w:t xml:space="preserve">1</w:t>
            </w:r>
          </w:p>
        </w:tc>
        <w:tc>
          <w:tcPr>
            <w:tcW w:w="2267" w:type="dxa"/>
          </w:tcPr>
          <w:p>
            <w:pPr>
              <w:pStyle w:val="0"/>
              <w:jc w:val="center"/>
            </w:pPr>
            <w:r>
              <w:rPr>
                <w:sz w:val="20"/>
              </w:rPr>
              <w:t xml:space="preserve">EI 60</w:t>
            </w:r>
          </w:p>
        </w:tc>
      </w:tr>
      <w:tr>
        <w:tc>
          <w:tcPr>
            <w:vMerge w:val="continue"/>
          </w:tcPr>
          <w:p/>
        </w:tc>
        <w:tc>
          <w:tcPr>
            <w:tcW w:w="2615" w:type="dxa"/>
          </w:tcPr>
          <w:p>
            <w:pPr>
              <w:pStyle w:val="0"/>
              <w:jc w:val="center"/>
            </w:pPr>
            <w:r>
              <w:rPr>
                <w:sz w:val="20"/>
              </w:rPr>
              <w:t xml:space="preserve">2</w:t>
            </w:r>
          </w:p>
        </w:tc>
        <w:tc>
          <w:tcPr>
            <w:tcW w:w="2267" w:type="dxa"/>
          </w:tcPr>
          <w:p>
            <w:pPr>
              <w:pStyle w:val="0"/>
              <w:jc w:val="center"/>
            </w:pPr>
            <w:r>
              <w:rPr>
                <w:sz w:val="20"/>
              </w:rPr>
              <w:t xml:space="preserve">EI 30</w:t>
            </w:r>
          </w:p>
        </w:tc>
      </w:tr>
      <w:tr>
        <w:tc>
          <w:tcPr>
            <w:vMerge w:val="continue"/>
          </w:tcPr>
          <w:p/>
        </w:tc>
        <w:tc>
          <w:tcPr>
            <w:tcW w:w="2615" w:type="dxa"/>
          </w:tcPr>
          <w:p>
            <w:pPr>
              <w:pStyle w:val="0"/>
              <w:jc w:val="center"/>
            </w:pPr>
            <w:r>
              <w:rPr>
                <w:sz w:val="20"/>
              </w:rPr>
              <w:t xml:space="preserve">3</w:t>
            </w:r>
          </w:p>
        </w:tc>
        <w:tc>
          <w:tcPr>
            <w:tcW w:w="2267" w:type="dxa"/>
          </w:tcPr>
          <w:p>
            <w:pPr>
              <w:pStyle w:val="0"/>
              <w:jc w:val="center"/>
            </w:pPr>
            <w:r>
              <w:rPr>
                <w:sz w:val="20"/>
              </w:rPr>
              <w:t xml:space="preserve">EI 15</w:t>
            </w:r>
          </w:p>
        </w:tc>
      </w:tr>
      <w:tr>
        <w:tc>
          <w:tcPr>
            <w:tcW w:w="4082" w:type="dxa"/>
            <w:vMerge w:val="restart"/>
          </w:tcPr>
          <w:p>
            <w:pPr>
              <w:pStyle w:val="0"/>
            </w:pPr>
            <w:r>
              <w:rPr>
                <w:sz w:val="20"/>
              </w:rPr>
              <w:t xml:space="preserve">Двери с остеклением более 25 процентов</w:t>
            </w:r>
          </w:p>
        </w:tc>
        <w:tc>
          <w:tcPr>
            <w:tcW w:w="2615" w:type="dxa"/>
          </w:tcPr>
          <w:p>
            <w:pPr>
              <w:pStyle w:val="0"/>
              <w:jc w:val="center"/>
            </w:pPr>
            <w:r>
              <w:rPr>
                <w:sz w:val="20"/>
              </w:rPr>
              <w:t xml:space="preserve">1</w:t>
            </w:r>
          </w:p>
        </w:tc>
        <w:tc>
          <w:tcPr>
            <w:tcW w:w="2267" w:type="dxa"/>
          </w:tcPr>
          <w:p>
            <w:pPr>
              <w:pStyle w:val="0"/>
              <w:jc w:val="center"/>
            </w:pPr>
            <w:r>
              <w:rPr>
                <w:sz w:val="20"/>
              </w:rPr>
              <w:t xml:space="preserve">EIW 60</w:t>
            </w:r>
          </w:p>
        </w:tc>
      </w:tr>
      <w:tr>
        <w:tc>
          <w:tcPr>
            <w:vMerge w:val="continue"/>
          </w:tcPr>
          <w:p/>
        </w:tc>
        <w:tc>
          <w:tcPr>
            <w:tcW w:w="2615" w:type="dxa"/>
          </w:tcPr>
          <w:p>
            <w:pPr>
              <w:pStyle w:val="0"/>
              <w:jc w:val="center"/>
            </w:pPr>
            <w:r>
              <w:rPr>
                <w:sz w:val="20"/>
              </w:rPr>
              <w:t xml:space="preserve">2</w:t>
            </w:r>
          </w:p>
        </w:tc>
        <w:tc>
          <w:tcPr>
            <w:tcW w:w="2267" w:type="dxa"/>
          </w:tcPr>
          <w:p>
            <w:pPr>
              <w:pStyle w:val="0"/>
              <w:jc w:val="center"/>
            </w:pPr>
            <w:r>
              <w:rPr>
                <w:sz w:val="20"/>
              </w:rPr>
              <w:t xml:space="preserve">EIW 30</w:t>
            </w:r>
          </w:p>
        </w:tc>
      </w:tr>
      <w:tr>
        <w:tc>
          <w:tcPr>
            <w:vMerge w:val="continue"/>
          </w:tcPr>
          <w:p/>
        </w:tc>
        <w:tc>
          <w:tcPr>
            <w:tcW w:w="2615" w:type="dxa"/>
          </w:tcPr>
          <w:p>
            <w:pPr>
              <w:pStyle w:val="0"/>
              <w:jc w:val="center"/>
            </w:pPr>
            <w:r>
              <w:rPr>
                <w:sz w:val="20"/>
              </w:rPr>
              <w:t xml:space="preserve">3</w:t>
            </w:r>
          </w:p>
        </w:tc>
        <w:tc>
          <w:tcPr>
            <w:tcW w:w="2267" w:type="dxa"/>
          </w:tcPr>
          <w:p>
            <w:pPr>
              <w:pStyle w:val="0"/>
              <w:jc w:val="center"/>
            </w:pPr>
            <w:r>
              <w:rPr>
                <w:sz w:val="20"/>
              </w:rPr>
              <w:t xml:space="preserve">EIW 15</w:t>
            </w:r>
          </w:p>
        </w:tc>
      </w:tr>
      <w:tr>
        <w:tc>
          <w:tcPr>
            <w:tcW w:w="4082" w:type="dxa"/>
            <w:vMerge w:val="restart"/>
          </w:tcPr>
          <w:p>
            <w:pPr>
              <w:pStyle w:val="0"/>
            </w:pPr>
            <w:r>
              <w:rPr>
                <w:sz w:val="20"/>
              </w:rPr>
              <w:t xml:space="preserve">Дымогазонепроницаемые двери (за исключением дверей с остеклением более 25 процентов)</w:t>
            </w:r>
          </w:p>
        </w:tc>
        <w:tc>
          <w:tcPr>
            <w:tcW w:w="2615" w:type="dxa"/>
          </w:tcPr>
          <w:p>
            <w:pPr>
              <w:pStyle w:val="0"/>
              <w:jc w:val="center"/>
            </w:pPr>
            <w:r>
              <w:rPr>
                <w:sz w:val="20"/>
              </w:rPr>
              <w:t xml:space="preserve">1</w:t>
            </w:r>
          </w:p>
        </w:tc>
        <w:tc>
          <w:tcPr>
            <w:tcW w:w="2267" w:type="dxa"/>
          </w:tcPr>
          <w:p>
            <w:pPr>
              <w:pStyle w:val="0"/>
              <w:jc w:val="center"/>
            </w:pPr>
            <w:r>
              <w:rPr>
                <w:sz w:val="20"/>
              </w:rPr>
              <w:t xml:space="preserve">EIS 60</w:t>
            </w:r>
          </w:p>
        </w:tc>
      </w:tr>
      <w:tr>
        <w:tc>
          <w:tcPr>
            <w:vMerge w:val="continue"/>
          </w:tcPr>
          <w:p/>
        </w:tc>
        <w:tc>
          <w:tcPr>
            <w:tcW w:w="2615" w:type="dxa"/>
          </w:tcPr>
          <w:p>
            <w:pPr>
              <w:pStyle w:val="0"/>
              <w:jc w:val="center"/>
            </w:pPr>
            <w:r>
              <w:rPr>
                <w:sz w:val="20"/>
              </w:rPr>
              <w:t xml:space="preserve">2</w:t>
            </w:r>
          </w:p>
        </w:tc>
        <w:tc>
          <w:tcPr>
            <w:tcW w:w="2267" w:type="dxa"/>
          </w:tcPr>
          <w:p>
            <w:pPr>
              <w:pStyle w:val="0"/>
              <w:jc w:val="center"/>
            </w:pPr>
            <w:r>
              <w:rPr>
                <w:sz w:val="20"/>
              </w:rPr>
              <w:t xml:space="preserve">EIS 30</w:t>
            </w:r>
          </w:p>
        </w:tc>
      </w:tr>
      <w:tr>
        <w:tc>
          <w:tcPr>
            <w:vMerge w:val="continue"/>
          </w:tcPr>
          <w:p/>
        </w:tc>
        <w:tc>
          <w:tcPr>
            <w:tcW w:w="2615" w:type="dxa"/>
          </w:tcPr>
          <w:p>
            <w:pPr>
              <w:pStyle w:val="0"/>
              <w:jc w:val="center"/>
            </w:pPr>
            <w:r>
              <w:rPr>
                <w:sz w:val="20"/>
              </w:rPr>
              <w:t xml:space="preserve">3</w:t>
            </w:r>
          </w:p>
        </w:tc>
        <w:tc>
          <w:tcPr>
            <w:tcW w:w="2267" w:type="dxa"/>
          </w:tcPr>
          <w:p>
            <w:pPr>
              <w:pStyle w:val="0"/>
              <w:jc w:val="center"/>
            </w:pPr>
            <w:r>
              <w:rPr>
                <w:sz w:val="20"/>
              </w:rPr>
              <w:t xml:space="preserve">EIS 15</w:t>
            </w:r>
          </w:p>
        </w:tc>
      </w:tr>
      <w:tr>
        <w:tc>
          <w:tcPr>
            <w:tcW w:w="4082" w:type="dxa"/>
            <w:vMerge w:val="restart"/>
          </w:tcPr>
          <w:p>
            <w:pPr>
              <w:pStyle w:val="0"/>
            </w:pPr>
            <w:r>
              <w:rPr>
                <w:sz w:val="20"/>
              </w:rPr>
              <w:t xml:space="preserve">Дымогазонепроницаемые двери с остеклением более 25 процентов, шторы и экраны</w:t>
            </w:r>
          </w:p>
        </w:tc>
        <w:tc>
          <w:tcPr>
            <w:tcW w:w="2615" w:type="dxa"/>
          </w:tcPr>
          <w:p>
            <w:pPr>
              <w:pStyle w:val="0"/>
              <w:jc w:val="center"/>
            </w:pPr>
            <w:r>
              <w:rPr>
                <w:sz w:val="20"/>
              </w:rPr>
              <w:t xml:space="preserve">1</w:t>
            </w:r>
          </w:p>
        </w:tc>
        <w:tc>
          <w:tcPr>
            <w:tcW w:w="2267" w:type="dxa"/>
          </w:tcPr>
          <w:p>
            <w:pPr>
              <w:pStyle w:val="0"/>
              <w:jc w:val="center"/>
            </w:pPr>
            <w:r>
              <w:rPr>
                <w:sz w:val="20"/>
              </w:rPr>
              <w:t xml:space="preserve">EIWS 60</w:t>
            </w:r>
          </w:p>
        </w:tc>
      </w:tr>
      <w:tr>
        <w:tc>
          <w:tcPr>
            <w:vMerge w:val="continue"/>
          </w:tcPr>
          <w:p/>
        </w:tc>
        <w:tc>
          <w:tcPr>
            <w:tcW w:w="2615" w:type="dxa"/>
          </w:tcPr>
          <w:p>
            <w:pPr>
              <w:pStyle w:val="0"/>
              <w:jc w:val="center"/>
            </w:pPr>
            <w:r>
              <w:rPr>
                <w:sz w:val="20"/>
              </w:rPr>
              <w:t xml:space="preserve">2</w:t>
            </w:r>
          </w:p>
        </w:tc>
        <w:tc>
          <w:tcPr>
            <w:tcW w:w="2267" w:type="dxa"/>
          </w:tcPr>
          <w:p>
            <w:pPr>
              <w:pStyle w:val="0"/>
              <w:jc w:val="center"/>
            </w:pPr>
            <w:r>
              <w:rPr>
                <w:sz w:val="20"/>
              </w:rPr>
              <w:t xml:space="preserve">EIWS 30</w:t>
            </w:r>
          </w:p>
        </w:tc>
      </w:tr>
      <w:tr>
        <w:tc>
          <w:tcPr>
            <w:vMerge w:val="continue"/>
          </w:tcPr>
          <w:p/>
        </w:tc>
        <w:tc>
          <w:tcPr>
            <w:tcW w:w="2615" w:type="dxa"/>
          </w:tcPr>
          <w:p>
            <w:pPr>
              <w:pStyle w:val="0"/>
              <w:jc w:val="center"/>
            </w:pPr>
            <w:r>
              <w:rPr>
                <w:sz w:val="20"/>
              </w:rPr>
              <w:t xml:space="preserve">3</w:t>
            </w:r>
          </w:p>
        </w:tc>
        <w:tc>
          <w:tcPr>
            <w:tcW w:w="2267" w:type="dxa"/>
          </w:tcPr>
          <w:p>
            <w:pPr>
              <w:pStyle w:val="0"/>
              <w:jc w:val="center"/>
            </w:pPr>
            <w:r>
              <w:rPr>
                <w:sz w:val="20"/>
              </w:rPr>
              <w:t xml:space="preserve">EIWS 15</w:t>
            </w:r>
          </w:p>
        </w:tc>
      </w:tr>
      <w:tr>
        <w:tblPrEx>
          <w:tblBorders>
            <w:insideH w:val="nil"/>
          </w:tblBorders>
        </w:tblPrEx>
        <w:tc>
          <w:tcPr>
            <w:tcW w:w="4082" w:type="dxa"/>
            <w:tcBorders>
              <w:bottom w:val="nil"/>
            </w:tcBorders>
          </w:tcPr>
          <w:p>
            <w:pPr>
              <w:pStyle w:val="0"/>
            </w:pPr>
            <w:r>
              <w:rPr>
                <w:sz w:val="20"/>
              </w:rPr>
              <w:t xml:space="preserve">Двери шахт лифтов (при условии, что к ним устанавливаются требования по пределам огнестойкости)</w:t>
            </w:r>
          </w:p>
        </w:tc>
        <w:tc>
          <w:tcPr>
            <w:tcW w:w="2615" w:type="dxa"/>
            <w:tcBorders>
              <w:bottom w:val="nil"/>
            </w:tcBorders>
          </w:tcPr>
          <w:p>
            <w:pPr>
              <w:pStyle w:val="0"/>
              <w:jc w:val="center"/>
            </w:pPr>
            <w:r>
              <w:rPr>
                <w:sz w:val="20"/>
              </w:rPr>
              <w:t xml:space="preserve">2</w:t>
            </w:r>
          </w:p>
        </w:tc>
        <w:tc>
          <w:tcPr>
            <w:tcW w:w="2267" w:type="dxa"/>
            <w:tcBorders>
              <w:bottom w:val="nil"/>
            </w:tcBorders>
          </w:tcPr>
          <w:p>
            <w:pPr>
              <w:pStyle w:val="0"/>
              <w:jc w:val="center"/>
            </w:pPr>
            <w:r>
              <w:rPr>
                <w:sz w:val="20"/>
              </w:rPr>
              <w:t xml:space="preserve">EI 30 (в зданиях высотой не более 28 метров предел огнестойкости дверей шахт лифтов принимается E 30)</w:t>
            </w:r>
          </w:p>
        </w:tc>
      </w:tr>
      <w:tr>
        <w:tblPrEx>
          <w:tblBorders>
            <w:insideH w:val="nil"/>
          </w:tblBorders>
        </w:tblPrEx>
        <w:tc>
          <w:tcPr>
            <w:gridSpan w:val="3"/>
            <w:tcW w:w="8964" w:type="dxa"/>
            <w:tcBorders>
              <w:top w:val="nil"/>
            </w:tcBorders>
          </w:tcPr>
          <w:p>
            <w:pPr>
              <w:pStyle w:val="0"/>
              <w:jc w:val="both"/>
            </w:pPr>
            <w:r>
              <w:rPr>
                <w:sz w:val="20"/>
              </w:rPr>
              <w:t xml:space="preserve">(в ред. Федерального </w:t>
            </w:r>
            <w:hyperlink w:history="0" r:id="rId561"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29.07.2017 N 244-ФЗ)</w:t>
            </w:r>
          </w:p>
        </w:tc>
      </w:tr>
      <w:tr>
        <w:tc>
          <w:tcPr>
            <w:tcW w:w="4082" w:type="dxa"/>
            <w:vMerge w:val="restart"/>
          </w:tcPr>
          <w:p>
            <w:pPr>
              <w:pStyle w:val="0"/>
            </w:pPr>
            <w:r>
              <w:rPr>
                <w:sz w:val="20"/>
              </w:rPr>
              <w:t xml:space="preserve">Окна</w:t>
            </w:r>
          </w:p>
        </w:tc>
        <w:tc>
          <w:tcPr>
            <w:tcW w:w="2615" w:type="dxa"/>
          </w:tcPr>
          <w:p>
            <w:pPr>
              <w:pStyle w:val="0"/>
              <w:jc w:val="center"/>
            </w:pPr>
            <w:r>
              <w:rPr>
                <w:sz w:val="20"/>
              </w:rPr>
              <w:t xml:space="preserve">1</w:t>
            </w:r>
          </w:p>
        </w:tc>
        <w:tc>
          <w:tcPr>
            <w:tcW w:w="2267" w:type="dxa"/>
          </w:tcPr>
          <w:p>
            <w:pPr>
              <w:pStyle w:val="0"/>
              <w:jc w:val="center"/>
            </w:pPr>
            <w:r>
              <w:rPr>
                <w:sz w:val="20"/>
              </w:rPr>
              <w:t xml:space="preserve">E 60</w:t>
            </w:r>
          </w:p>
        </w:tc>
      </w:tr>
      <w:tr>
        <w:tc>
          <w:tcPr>
            <w:vMerge w:val="continue"/>
          </w:tcPr>
          <w:p/>
        </w:tc>
        <w:tc>
          <w:tcPr>
            <w:tcW w:w="2615" w:type="dxa"/>
          </w:tcPr>
          <w:p>
            <w:pPr>
              <w:pStyle w:val="0"/>
              <w:jc w:val="center"/>
            </w:pPr>
            <w:r>
              <w:rPr>
                <w:sz w:val="20"/>
              </w:rPr>
              <w:t xml:space="preserve">2</w:t>
            </w:r>
          </w:p>
        </w:tc>
        <w:tc>
          <w:tcPr>
            <w:tcW w:w="2267" w:type="dxa"/>
          </w:tcPr>
          <w:p>
            <w:pPr>
              <w:pStyle w:val="0"/>
              <w:jc w:val="center"/>
            </w:pPr>
            <w:r>
              <w:rPr>
                <w:sz w:val="20"/>
              </w:rPr>
              <w:t xml:space="preserve">E 30</w:t>
            </w:r>
          </w:p>
        </w:tc>
      </w:tr>
      <w:tr>
        <w:tc>
          <w:tcPr>
            <w:vMerge w:val="continue"/>
          </w:tcPr>
          <w:p/>
        </w:tc>
        <w:tc>
          <w:tcPr>
            <w:tcW w:w="2615" w:type="dxa"/>
          </w:tcPr>
          <w:p>
            <w:pPr>
              <w:pStyle w:val="0"/>
              <w:jc w:val="center"/>
            </w:pPr>
            <w:r>
              <w:rPr>
                <w:sz w:val="20"/>
              </w:rPr>
              <w:t xml:space="preserve">3</w:t>
            </w:r>
          </w:p>
        </w:tc>
        <w:tc>
          <w:tcPr>
            <w:tcW w:w="2267" w:type="dxa"/>
          </w:tcPr>
          <w:p>
            <w:pPr>
              <w:pStyle w:val="0"/>
              <w:jc w:val="center"/>
            </w:pPr>
            <w:r>
              <w:rPr>
                <w:sz w:val="20"/>
              </w:rPr>
              <w:t xml:space="preserve">E 15</w:t>
            </w:r>
          </w:p>
        </w:tc>
      </w:tr>
      <w:tr>
        <w:tc>
          <w:tcPr>
            <w:tcW w:w="4082" w:type="dxa"/>
          </w:tcPr>
          <w:p>
            <w:pPr>
              <w:pStyle w:val="0"/>
            </w:pPr>
            <w:r>
              <w:rPr>
                <w:sz w:val="20"/>
              </w:rPr>
              <w:t xml:space="preserve">Занавесы</w:t>
            </w:r>
          </w:p>
        </w:tc>
        <w:tc>
          <w:tcPr>
            <w:tcW w:w="2615" w:type="dxa"/>
          </w:tcPr>
          <w:p>
            <w:pPr>
              <w:pStyle w:val="0"/>
              <w:jc w:val="center"/>
            </w:pPr>
            <w:r>
              <w:rPr>
                <w:sz w:val="20"/>
              </w:rPr>
              <w:t xml:space="preserve">1</w:t>
            </w:r>
          </w:p>
        </w:tc>
        <w:tc>
          <w:tcPr>
            <w:tcW w:w="2267" w:type="dxa"/>
          </w:tcPr>
          <w:p>
            <w:pPr>
              <w:pStyle w:val="0"/>
              <w:jc w:val="center"/>
            </w:pPr>
            <w:r>
              <w:rPr>
                <w:sz w:val="20"/>
              </w:rPr>
              <w:t xml:space="preserve">EI 60</w:t>
            </w:r>
          </w:p>
        </w:tc>
      </w:tr>
    </w:tbl>
    <w:p>
      <w:pPr>
        <w:pStyle w:val="0"/>
        <w:ind w:firstLine="540"/>
        <w:jc w:val="both"/>
      </w:pPr>
      <w:r>
        <w:rPr>
          <w:sz w:val="20"/>
        </w:rPr>
      </w:r>
    </w:p>
    <w:p>
      <w:pPr>
        <w:pStyle w:val="0"/>
        <w:outlineLvl w:val="1"/>
        <w:jc w:val="center"/>
      </w:pPr>
      <w:r>
        <w:rPr>
          <w:sz w:val="20"/>
        </w:rPr>
        <w:t xml:space="preserve">Таблица 25</w:t>
      </w:r>
    </w:p>
    <w:p>
      <w:pPr>
        <w:pStyle w:val="0"/>
        <w:ind w:firstLine="540"/>
        <w:jc w:val="both"/>
      </w:pPr>
      <w:r>
        <w:rPr>
          <w:sz w:val="20"/>
        </w:rPr>
      </w:r>
    </w:p>
    <w:bookmarkStart w:id="3153" w:name="P3153"/>
    <w:bookmarkEnd w:id="3153"/>
    <w:p>
      <w:pPr>
        <w:pStyle w:val="2"/>
        <w:jc w:val="center"/>
      </w:pPr>
      <w:r>
        <w:rPr>
          <w:sz w:val="20"/>
        </w:rPr>
        <w:t xml:space="preserve">Требования к элементам тамбур-шлюза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75"/>
        <w:gridCol w:w="2184"/>
        <w:gridCol w:w="2200"/>
        <w:gridCol w:w="2605"/>
      </w:tblGrid>
      <w:tr>
        <w:tc>
          <w:tcPr>
            <w:tcW w:w="1975" w:type="dxa"/>
            <w:vMerge w:val="restart"/>
          </w:tcPr>
          <w:p>
            <w:pPr>
              <w:pStyle w:val="0"/>
              <w:jc w:val="center"/>
            </w:pPr>
            <w:r>
              <w:rPr>
                <w:sz w:val="20"/>
              </w:rPr>
              <w:t xml:space="preserve">Тип тамбур-шлюза</w:t>
            </w:r>
          </w:p>
        </w:tc>
        <w:tc>
          <w:tcPr>
            <w:gridSpan w:val="3"/>
            <w:tcW w:w="6989" w:type="dxa"/>
          </w:tcPr>
          <w:p>
            <w:pPr>
              <w:pStyle w:val="0"/>
              <w:jc w:val="center"/>
            </w:pPr>
            <w:r>
              <w:rPr>
                <w:sz w:val="20"/>
              </w:rPr>
              <w:t xml:space="preserve">Типы элементов тамбур-шлюза</w:t>
            </w:r>
          </w:p>
        </w:tc>
      </w:tr>
      <w:tr>
        <w:tc>
          <w:tcPr>
            <w:vMerge w:val="continue"/>
          </w:tcPr>
          <w:p/>
        </w:tc>
        <w:tc>
          <w:tcPr>
            <w:tcW w:w="2184" w:type="dxa"/>
          </w:tcPr>
          <w:p>
            <w:pPr>
              <w:pStyle w:val="0"/>
              <w:jc w:val="center"/>
            </w:pPr>
            <w:r>
              <w:rPr>
                <w:sz w:val="20"/>
              </w:rPr>
              <w:t xml:space="preserve">Перегородки</w:t>
            </w:r>
          </w:p>
        </w:tc>
        <w:tc>
          <w:tcPr>
            <w:tcW w:w="2200" w:type="dxa"/>
          </w:tcPr>
          <w:p>
            <w:pPr>
              <w:pStyle w:val="0"/>
              <w:jc w:val="center"/>
            </w:pPr>
            <w:r>
              <w:rPr>
                <w:sz w:val="20"/>
              </w:rPr>
              <w:t xml:space="preserve">Перекрытия</w:t>
            </w:r>
          </w:p>
        </w:tc>
        <w:tc>
          <w:tcPr>
            <w:tcW w:w="2605" w:type="dxa"/>
          </w:tcPr>
          <w:p>
            <w:pPr>
              <w:pStyle w:val="0"/>
              <w:jc w:val="center"/>
            </w:pPr>
            <w:r>
              <w:rPr>
                <w:sz w:val="20"/>
              </w:rPr>
              <w:t xml:space="preserve">Заполнение проемов</w:t>
            </w:r>
          </w:p>
        </w:tc>
      </w:tr>
      <w:tr>
        <w:tc>
          <w:tcPr>
            <w:tcW w:w="1975" w:type="dxa"/>
          </w:tcPr>
          <w:p>
            <w:pPr>
              <w:pStyle w:val="0"/>
              <w:jc w:val="center"/>
            </w:pPr>
            <w:r>
              <w:rPr>
                <w:sz w:val="20"/>
              </w:rPr>
              <w:t xml:space="preserve">1</w:t>
            </w:r>
          </w:p>
        </w:tc>
        <w:tc>
          <w:tcPr>
            <w:tcW w:w="2184" w:type="dxa"/>
          </w:tcPr>
          <w:p>
            <w:pPr>
              <w:pStyle w:val="0"/>
              <w:jc w:val="center"/>
            </w:pPr>
            <w:r>
              <w:rPr>
                <w:sz w:val="20"/>
              </w:rPr>
              <w:t xml:space="preserve">1</w:t>
            </w:r>
          </w:p>
        </w:tc>
        <w:tc>
          <w:tcPr>
            <w:tcW w:w="2200" w:type="dxa"/>
          </w:tcPr>
          <w:p>
            <w:pPr>
              <w:pStyle w:val="0"/>
              <w:jc w:val="center"/>
            </w:pPr>
            <w:r>
              <w:rPr>
                <w:sz w:val="20"/>
              </w:rPr>
              <w:t xml:space="preserve">3</w:t>
            </w:r>
          </w:p>
        </w:tc>
        <w:tc>
          <w:tcPr>
            <w:tcW w:w="2605" w:type="dxa"/>
          </w:tcPr>
          <w:p>
            <w:pPr>
              <w:pStyle w:val="0"/>
              <w:jc w:val="center"/>
            </w:pPr>
            <w:r>
              <w:rPr>
                <w:sz w:val="20"/>
              </w:rPr>
              <w:t xml:space="preserve">2</w:t>
            </w:r>
          </w:p>
        </w:tc>
      </w:tr>
      <w:tr>
        <w:tc>
          <w:tcPr>
            <w:tcW w:w="1975" w:type="dxa"/>
          </w:tcPr>
          <w:p>
            <w:pPr>
              <w:pStyle w:val="0"/>
              <w:jc w:val="center"/>
            </w:pPr>
            <w:r>
              <w:rPr>
                <w:sz w:val="20"/>
              </w:rPr>
              <w:t xml:space="preserve">2</w:t>
            </w:r>
          </w:p>
        </w:tc>
        <w:tc>
          <w:tcPr>
            <w:tcW w:w="2184" w:type="dxa"/>
          </w:tcPr>
          <w:p>
            <w:pPr>
              <w:pStyle w:val="0"/>
              <w:jc w:val="center"/>
            </w:pPr>
            <w:r>
              <w:rPr>
                <w:sz w:val="20"/>
              </w:rPr>
              <w:t xml:space="preserve">2</w:t>
            </w:r>
          </w:p>
        </w:tc>
        <w:tc>
          <w:tcPr>
            <w:tcW w:w="2200" w:type="dxa"/>
          </w:tcPr>
          <w:p>
            <w:pPr>
              <w:pStyle w:val="0"/>
              <w:jc w:val="center"/>
            </w:pPr>
            <w:r>
              <w:rPr>
                <w:sz w:val="20"/>
              </w:rPr>
              <w:t xml:space="preserve">4</w:t>
            </w:r>
          </w:p>
        </w:tc>
        <w:tc>
          <w:tcPr>
            <w:tcW w:w="2605" w:type="dxa"/>
          </w:tcPr>
          <w:p>
            <w:pPr>
              <w:pStyle w:val="0"/>
              <w:jc w:val="center"/>
            </w:pPr>
            <w:r>
              <w:rPr>
                <w:sz w:val="20"/>
              </w:rPr>
              <w:t xml:space="preserve">3</w:t>
            </w:r>
          </w:p>
        </w:tc>
      </w:tr>
    </w:tbl>
    <w:p>
      <w:pPr>
        <w:pStyle w:val="0"/>
        <w:ind w:firstLine="540"/>
        <w:jc w:val="both"/>
      </w:pPr>
      <w:r>
        <w:rPr>
          <w:sz w:val="20"/>
        </w:rPr>
      </w:r>
    </w:p>
    <w:p>
      <w:pPr>
        <w:pStyle w:val="0"/>
        <w:outlineLvl w:val="1"/>
        <w:jc w:val="center"/>
      </w:pPr>
      <w:r>
        <w:rPr>
          <w:sz w:val="20"/>
        </w:rPr>
        <w:t xml:space="preserve">Таблица 26</w:t>
      </w:r>
    </w:p>
    <w:p>
      <w:pPr>
        <w:pStyle w:val="0"/>
        <w:jc w:val="right"/>
      </w:pPr>
      <w:r>
        <w:rPr>
          <w:sz w:val="20"/>
        </w:rPr>
      </w:r>
    </w:p>
    <w:p>
      <w:pPr>
        <w:pStyle w:val="2"/>
        <w:jc w:val="center"/>
      </w:pPr>
      <w:r>
        <w:rPr>
          <w:sz w:val="20"/>
        </w:rPr>
        <w:t xml:space="preserve">Нормы комплектации многофункциональных интегрированных</w:t>
      </w:r>
    </w:p>
    <w:p>
      <w:pPr>
        <w:pStyle w:val="2"/>
        <w:jc w:val="center"/>
      </w:pPr>
      <w:r>
        <w:rPr>
          <w:sz w:val="20"/>
        </w:rPr>
        <w:t xml:space="preserve">пожарных шкафов</w:t>
      </w:r>
    </w:p>
    <w:p>
      <w:pPr>
        <w:pStyle w:val="0"/>
        <w:ind w:firstLine="540"/>
        <w:jc w:val="both"/>
      </w:pPr>
      <w:r>
        <w:rPr>
          <w:sz w:val="20"/>
        </w:rPr>
      </w:r>
    </w:p>
    <w:p>
      <w:pPr>
        <w:pStyle w:val="0"/>
        <w:ind w:firstLine="540"/>
        <w:jc w:val="both"/>
      </w:pPr>
      <w:r>
        <w:rPr>
          <w:sz w:val="20"/>
        </w:rPr>
        <w:t xml:space="preserve">Утратила силу. - Федеральный </w:t>
      </w:r>
      <w:hyperlink w:history="0" r:id="rId56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ind w:firstLine="540"/>
        <w:jc w:val="both"/>
      </w:pPr>
      <w:r>
        <w:rPr>
          <w:sz w:val="20"/>
        </w:rPr>
      </w:r>
    </w:p>
    <w:p>
      <w:pPr>
        <w:pStyle w:val="0"/>
        <w:outlineLvl w:val="1"/>
        <w:jc w:val="center"/>
      </w:pPr>
      <w:r>
        <w:rPr>
          <w:sz w:val="20"/>
        </w:rPr>
        <w:t xml:space="preserve">Таблица 27</w:t>
      </w:r>
    </w:p>
    <w:p>
      <w:pPr>
        <w:pStyle w:val="0"/>
        <w:jc w:val="right"/>
      </w:pPr>
      <w:r>
        <w:rPr>
          <w:sz w:val="20"/>
        </w:rPr>
      </w:r>
    </w:p>
    <w:bookmarkStart w:id="3178" w:name="P3178"/>
    <w:bookmarkEnd w:id="3178"/>
    <w:p>
      <w:pPr>
        <w:pStyle w:val="2"/>
        <w:jc w:val="center"/>
      </w:pPr>
      <w:r>
        <w:rPr>
          <w:sz w:val="20"/>
        </w:rPr>
        <w:t xml:space="preserve">Перечень показателей, необходимых для оценки</w:t>
      </w:r>
    </w:p>
    <w:p>
      <w:pPr>
        <w:pStyle w:val="2"/>
        <w:jc w:val="center"/>
      </w:pPr>
      <w:r>
        <w:rPr>
          <w:sz w:val="20"/>
        </w:rPr>
        <w:t xml:space="preserve">пожарной опасности строительных материалов</w:t>
      </w:r>
    </w:p>
    <w:p>
      <w:pPr>
        <w:pStyle w:val="0"/>
        <w:jc w:val="center"/>
      </w:pPr>
      <w:r>
        <w:rPr>
          <w:sz w:val="20"/>
        </w:rPr>
        <w:t xml:space="preserve">(в ред. Федерального </w:t>
      </w:r>
      <w:hyperlink w:history="0" r:id="rId56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64"/>
        <w:gridCol w:w="1492"/>
        <w:gridCol w:w="2308"/>
        <w:gridCol w:w="2524"/>
        <w:gridCol w:w="2452"/>
        <w:gridCol w:w="1732"/>
      </w:tblGrid>
      <w:tr>
        <w:tc>
          <w:tcPr>
            <w:tcW w:w="2764" w:type="dxa"/>
            <w:vMerge w:val="restart"/>
          </w:tcPr>
          <w:p>
            <w:pPr>
              <w:pStyle w:val="0"/>
              <w:jc w:val="center"/>
            </w:pPr>
            <w:r>
              <w:rPr>
                <w:sz w:val="20"/>
              </w:rPr>
              <w:t xml:space="preserve">Назначение строительных материалов</w:t>
            </w:r>
          </w:p>
        </w:tc>
        <w:tc>
          <w:tcPr>
            <w:gridSpan w:val="5"/>
            <w:tcW w:w="10508" w:type="dxa"/>
          </w:tcPr>
          <w:p>
            <w:pPr>
              <w:pStyle w:val="0"/>
              <w:jc w:val="center"/>
            </w:pPr>
            <w:r>
              <w:rPr>
                <w:sz w:val="20"/>
              </w:rPr>
              <w:t xml:space="preserve">Перечень необходимых показателей в зависимости от назначения строительных материалов</w:t>
            </w:r>
          </w:p>
        </w:tc>
      </w:tr>
      <w:tr>
        <w:tc>
          <w:tcPr>
            <w:vMerge w:val="continue"/>
          </w:tcPr>
          <w:p/>
        </w:tc>
        <w:tc>
          <w:tcPr>
            <w:tcW w:w="1492" w:type="dxa"/>
          </w:tcPr>
          <w:p>
            <w:pPr>
              <w:pStyle w:val="0"/>
              <w:jc w:val="center"/>
            </w:pPr>
            <w:r>
              <w:rPr>
                <w:sz w:val="20"/>
              </w:rPr>
              <w:t xml:space="preserve">группа горючести</w:t>
            </w:r>
          </w:p>
        </w:tc>
        <w:tc>
          <w:tcPr>
            <w:tcW w:w="2308" w:type="dxa"/>
          </w:tcPr>
          <w:p>
            <w:pPr>
              <w:pStyle w:val="0"/>
              <w:jc w:val="center"/>
            </w:pPr>
            <w:r>
              <w:rPr>
                <w:sz w:val="20"/>
              </w:rPr>
              <w:t xml:space="preserve">группа распространения пламени</w:t>
            </w:r>
          </w:p>
        </w:tc>
        <w:tc>
          <w:tcPr>
            <w:tcW w:w="2524" w:type="dxa"/>
          </w:tcPr>
          <w:p>
            <w:pPr>
              <w:pStyle w:val="0"/>
              <w:jc w:val="center"/>
            </w:pPr>
            <w:r>
              <w:rPr>
                <w:sz w:val="20"/>
              </w:rPr>
              <w:t xml:space="preserve">группа воспламеняемости</w:t>
            </w:r>
          </w:p>
        </w:tc>
        <w:tc>
          <w:tcPr>
            <w:tcW w:w="2452" w:type="dxa"/>
          </w:tcPr>
          <w:p>
            <w:pPr>
              <w:pStyle w:val="0"/>
              <w:jc w:val="center"/>
            </w:pPr>
            <w:r>
              <w:rPr>
                <w:sz w:val="20"/>
              </w:rPr>
              <w:t xml:space="preserve">группа по дымообразующей способности</w:t>
            </w:r>
          </w:p>
        </w:tc>
        <w:tc>
          <w:tcPr>
            <w:tcW w:w="1732" w:type="dxa"/>
          </w:tcPr>
          <w:p>
            <w:pPr>
              <w:pStyle w:val="0"/>
              <w:jc w:val="center"/>
            </w:pPr>
            <w:r>
              <w:rPr>
                <w:sz w:val="20"/>
              </w:rPr>
              <w:t xml:space="preserve">группа по токсичности продуктов горения</w:t>
            </w:r>
          </w:p>
        </w:tc>
      </w:tr>
      <w:tr>
        <w:tc>
          <w:tcPr>
            <w:tcW w:w="2764" w:type="dxa"/>
          </w:tcPr>
          <w:p>
            <w:pPr>
              <w:pStyle w:val="0"/>
            </w:pPr>
            <w:r>
              <w:rPr>
                <w:sz w:val="20"/>
              </w:rPr>
              <w:t xml:space="preserve">Материалы для отделки стен и потолков, в том числе покрытия из красок, эмалей, лаков</w:t>
            </w:r>
          </w:p>
        </w:tc>
        <w:tc>
          <w:tcPr>
            <w:tcW w:w="1492" w:type="dxa"/>
            <w:vAlign w:val="bottom"/>
          </w:tcPr>
          <w:p>
            <w:pPr>
              <w:pStyle w:val="0"/>
              <w:jc w:val="center"/>
            </w:pPr>
            <w:r>
              <w:rPr>
                <w:sz w:val="20"/>
              </w:rPr>
              <w:t xml:space="preserve">+</w:t>
            </w:r>
          </w:p>
        </w:tc>
        <w:tc>
          <w:tcPr>
            <w:tcW w:w="2308" w:type="dxa"/>
            <w:vAlign w:val="bottom"/>
          </w:tcPr>
          <w:p>
            <w:pPr>
              <w:pStyle w:val="0"/>
              <w:jc w:val="center"/>
            </w:pPr>
            <w:r>
              <w:rPr>
                <w:sz w:val="20"/>
              </w:rPr>
              <w:t xml:space="preserve">-</w:t>
            </w:r>
          </w:p>
        </w:tc>
        <w:tc>
          <w:tcPr>
            <w:tcW w:w="2524" w:type="dxa"/>
            <w:vAlign w:val="bottom"/>
          </w:tcPr>
          <w:p>
            <w:pPr>
              <w:pStyle w:val="0"/>
              <w:jc w:val="center"/>
            </w:pPr>
            <w:r>
              <w:rPr>
                <w:sz w:val="20"/>
              </w:rPr>
              <w:t xml:space="preserve">+</w:t>
            </w:r>
          </w:p>
        </w:tc>
        <w:tc>
          <w:tcPr>
            <w:tcW w:w="2452" w:type="dxa"/>
            <w:vAlign w:val="bottom"/>
          </w:tcPr>
          <w:p>
            <w:pPr>
              <w:pStyle w:val="0"/>
              <w:jc w:val="center"/>
            </w:pPr>
            <w:r>
              <w:rPr>
                <w:sz w:val="20"/>
              </w:rPr>
              <w:t xml:space="preserve">+</w:t>
            </w:r>
          </w:p>
        </w:tc>
        <w:tc>
          <w:tcPr>
            <w:tcW w:w="1732" w:type="dxa"/>
            <w:vAlign w:val="bottom"/>
          </w:tcPr>
          <w:p>
            <w:pPr>
              <w:pStyle w:val="0"/>
              <w:jc w:val="center"/>
            </w:pPr>
            <w:r>
              <w:rPr>
                <w:sz w:val="20"/>
              </w:rPr>
              <w:t xml:space="preserve">+</w:t>
            </w:r>
          </w:p>
        </w:tc>
      </w:tr>
      <w:tr>
        <w:tc>
          <w:tcPr>
            <w:tcW w:w="2764" w:type="dxa"/>
          </w:tcPr>
          <w:p>
            <w:pPr>
              <w:pStyle w:val="0"/>
            </w:pPr>
            <w:r>
              <w:rPr>
                <w:sz w:val="20"/>
              </w:rPr>
              <w:t xml:space="preserve">Материалы для покрытия полов, в том числе ковровые</w:t>
            </w:r>
          </w:p>
        </w:tc>
        <w:tc>
          <w:tcPr>
            <w:tcW w:w="1492" w:type="dxa"/>
            <w:vAlign w:val="bottom"/>
          </w:tcPr>
          <w:p>
            <w:pPr>
              <w:pStyle w:val="0"/>
              <w:jc w:val="center"/>
            </w:pPr>
            <w:r>
              <w:rPr>
                <w:sz w:val="20"/>
              </w:rPr>
              <w:t xml:space="preserve">-</w:t>
            </w:r>
          </w:p>
        </w:tc>
        <w:tc>
          <w:tcPr>
            <w:tcW w:w="2308" w:type="dxa"/>
            <w:vAlign w:val="bottom"/>
          </w:tcPr>
          <w:p>
            <w:pPr>
              <w:pStyle w:val="0"/>
              <w:jc w:val="center"/>
            </w:pPr>
            <w:r>
              <w:rPr>
                <w:sz w:val="20"/>
              </w:rPr>
              <w:t xml:space="preserve">+</w:t>
            </w:r>
          </w:p>
        </w:tc>
        <w:tc>
          <w:tcPr>
            <w:tcW w:w="2524" w:type="dxa"/>
            <w:vAlign w:val="bottom"/>
          </w:tcPr>
          <w:p>
            <w:pPr>
              <w:pStyle w:val="0"/>
              <w:jc w:val="center"/>
            </w:pPr>
            <w:r>
              <w:rPr>
                <w:sz w:val="20"/>
              </w:rPr>
              <w:t xml:space="preserve">+</w:t>
            </w:r>
          </w:p>
        </w:tc>
        <w:tc>
          <w:tcPr>
            <w:tcW w:w="2452" w:type="dxa"/>
            <w:vAlign w:val="bottom"/>
          </w:tcPr>
          <w:p>
            <w:pPr>
              <w:pStyle w:val="0"/>
              <w:jc w:val="center"/>
            </w:pPr>
            <w:r>
              <w:rPr>
                <w:sz w:val="20"/>
              </w:rPr>
              <w:t xml:space="preserve">+</w:t>
            </w:r>
          </w:p>
        </w:tc>
        <w:tc>
          <w:tcPr>
            <w:tcW w:w="1732" w:type="dxa"/>
            <w:vAlign w:val="bottom"/>
          </w:tcPr>
          <w:p>
            <w:pPr>
              <w:pStyle w:val="0"/>
              <w:jc w:val="center"/>
            </w:pPr>
            <w:r>
              <w:rPr>
                <w:sz w:val="20"/>
              </w:rPr>
              <w:t xml:space="preserve">+</w:t>
            </w:r>
          </w:p>
        </w:tc>
      </w:tr>
      <w:tr>
        <w:tc>
          <w:tcPr>
            <w:tcW w:w="2764" w:type="dxa"/>
          </w:tcPr>
          <w:p>
            <w:pPr>
              <w:pStyle w:val="0"/>
            </w:pPr>
            <w:r>
              <w:rPr>
                <w:sz w:val="20"/>
              </w:rPr>
              <w:t xml:space="preserve">Кровельные материалы</w:t>
            </w:r>
          </w:p>
        </w:tc>
        <w:tc>
          <w:tcPr>
            <w:tcW w:w="1492" w:type="dxa"/>
            <w:vAlign w:val="bottom"/>
          </w:tcPr>
          <w:p>
            <w:pPr>
              <w:pStyle w:val="0"/>
              <w:jc w:val="center"/>
            </w:pPr>
            <w:r>
              <w:rPr>
                <w:sz w:val="20"/>
              </w:rPr>
              <w:t xml:space="preserve">+</w:t>
            </w:r>
          </w:p>
        </w:tc>
        <w:tc>
          <w:tcPr>
            <w:tcW w:w="2308" w:type="dxa"/>
            <w:vAlign w:val="bottom"/>
          </w:tcPr>
          <w:p>
            <w:pPr>
              <w:pStyle w:val="0"/>
              <w:jc w:val="center"/>
            </w:pPr>
            <w:r>
              <w:rPr>
                <w:sz w:val="20"/>
              </w:rPr>
              <w:t xml:space="preserve">+</w:t>
            </w:r>
          </w:p>
        </w:tc>
        <w:tc>
          <w:tcPr>
            <w:tcW w:w="2524" w:type="dxa"/>
            <w:vAlign w:val="bottom"/>
          </w:tcPr>
          <w:p>
            <w:pPr>
              <w:pStyle w:val="0"/>
              <w:jc w:val="center"/>
            </w:pPr>
            <w:r>
              <w:rPr>
                <w:sz w:val="20"/>
              </w:rPr>
              <w:t xml:space="preserve">+</w:t>
            </w:r>
          </w:p>
        </w:tc>
        <w:tc>
          <w:tcPr>
            <w:tcW w:w="2452" w:type="dxa"/>
            <w:vAlign w:val="bottom"/>
          </w:tcPr>
          <w:p>
            <w:pPr>
              <w:pStyle w:val="0"/>
              <w:jc w:val="center"/>
            </w:pPr>
            <w:r>
              <w:rPr>
                <w:sz w:val="20"/>
              </w:rPr>
              <w:t xml:space="preserve">-</w:t>
            </w:r>
          </w:p>
        </w:tc>
        <w:tc>
          <w:tcPr>
            <w:tcW w:w="1732" w:type="dxa"/>
            <w:vAlign w:val="bottom"/>
          </w:tcPr>
          <w:p>
            <w:pPr>
              <w:pStyle w:val="0"/>
              <w:jc w:val="center"/>
            </w:pPr>
            <w:r>
              <w:rPr>
                <w:sz w:val="20"/>
              </w:rPr>
              <w:t xml:space="preserve">-</w:t>
            </w:r>
          </w:p>
        </w:tc>
      </w:tr>
      <w:tr>
        <w:tc>
          <w:tcPr>
            <w:tcW w:w="2764" w:type="dxa"/>
          </w:tcPr>
          <w:p>
            <w:pPr>
              <w:pStyle w:val="0"/>
            </w:pPr>
            <w:r>
              <w:rPr>
                <w:sz w:val="20"/>
              </w:rPr>
              <w:t xml:space="preserve">Гидроизоляционные и пароизоляционные материалы толщиной более 0,2 миллиметра</w:t>
            </w:r>
          </w:p>
        </w:tc>
        <w:tc>
          <w:tcPr>
            <w:tcW w:w="1492" w:type="dxa"/>
            <w:vAlign w:val="bottom"/>
          </w:tcPr>
          <w:p>
            <w:pPr>
              <w:pStyle w:val="0"/>
              <w:jc w:val="center"/>
            </w:pPr>
            <w:r>
              <w:rPr>
                <w:sz w:val="20"/>
              </w:rPr>
              <w:t xml:space="preserve">+</w:t>
            </w:r>
          </w:p>
        </w:tc>
        <w:tc>
          <w:tcPr>
            <w:tcW w:w="2308" w:type="dxa"/>
            <w:vAlign w:val="bottom"/>
          </w:tcPr>
          <w:p>
            <w:pPr>
              <w:pStyle w:val="0"/>
              <w:jc w:val="center"/>
            </w:pPr>
            <w:r>
              <w:rPr>
                <w:sz w:val="20"/>
              </w:rPr>
              <w:t xml:space="preserve">-</w:t>
            </w:r>
          </w:p>
        </w:tc>
        <w:tc>
          <w:tcPr>
            <w:tcW w:w="2524" w:type="dxa"/>
            <w:vAlign w:val="bottom"/>
          </w:tcPr>
          <w:p>
            <w:pPr>
              <w:pStyle w:val="0"/>
              <w:jc w:val="center"/>
            </w:pPr>
            <w:r>
              <w:rPr>
                <w:sz w:val="20"/>
              </w:rPr>
              <w:t xml:space="preserve">+</w:t>
            </w:r>
          </w:p>
        </w:tc>
        <w:tc>
          <w:tcPr>
            <w:tcW w:w="2452" w:type="dxa"/>
            <w:vAlign w:val="bottom"/>
          </w:tcPr>
          <w:p>
            <w:pPr>
              <w:pStyle w:val="0"/>
              <w:jc w:val="center"/>
            </w:pPr>
            <w:r>
              <w:rPr>
                <w:sz w:val="20"/>
              </w:rPr>
              <w:t xml:space="preserve">-</w:t>
            </w:r>
          </w:p>
        </w:tc>
        <w:tc>
          <w:tcPr>
            <w:tcW w:w="1732" w:type="dxa"/>
            <w:vAlign w:val="bottom"/>
          </w:tcPr>
          <w:p>
            <w:pPr>
              <w:pStyle w:val="0"/>
              <w:jc w:val="center"/>
            </w:pPr>
            <w:r>
              <w:rPr>
                <w:sz w:val="20"/>
              </w:rPr>
              <w:t xml:space="preserve">-</w:t>
            </w:r>
          </w:p>
        </w:tc>
      </w:tr>
      <w:tr>
        <w:tc>
          <w:tcPr>
            <w:tcW w:w="2764" w:type="dxa"/>
          </w:tcPr>
          <w:p>
            <w:pPr>
              <w:pStyle w:val="0"/>
            </w:pPr>
            <w:r>
              <w:rPr>
                <w:sz w:val="20"/>
              </w:rPr>
              <w:t xml:space="preserve">Теплоизоляционные материалы</w:t>
            </w:r>
          </w:p>
        </w:tc>
        <w:tc>
          <w:tcPr>
            <w:tcW w:w="1492" w:type="dxa"/>
            <w:vAlign w:val="bottom"/>
          </w:tcPr>
          <w:p>
            <w:pPr>
              <w:pStyle w:val="0"/>
              <w:jc w:val="center"/>
            </w:pPr>
            <w:r>
              <w:rPr>
                <w:sz w:val="20"/>
              </w:rPr>
              <w:t xml:space="preserve">+</w:t>
            </w:r>
          </w:p>
        </w:tc>
        <w:tc>
          <w:tcPr>
            <w:tcW w:w="2308" w:type="dxa"/>
            <w:vAlign w:val="bottom"/>
          </w:tcPr>
          <w:p>
            <w:pPr>
              <w:pStyle w:val="0"/>
              <w:jc w:val="center"/>
            </w:pPr>
            <w:r>
              <w:rPr>
                <w:sz w:val="20"/>
              </w:rPr>
              <w:t xml:space="preserve">-</w:t>
            </w:r>
          </w:p>
        </w:tc>
        <w:tc>
          <w:tcPr>
            <w:tcW w:w="2524" w:type="dxa"/>
            <w:vAlign w:val="bottom"/>
          </w:tcPr>
          <w:p>
            <w:pPr>
              <w:pStyle w:val="0"/>
              <w:jc w:val="center"/>
            </w:pPr>
            <w:r>
              <w:rPr>
                <w:sz w:val="20"/>
              </w:rPr>
              <w:t xml:space="preserve">+</w:t>
            </w:r>
          </w:p>
        </w:tc>
        <w:tc>
          <w:tcPr>
            <w:tcW w:w="2452" w:type="dxa"/>
            <w:vAlign w:val="bottom"/>
          </w:tcPr>
          <w:p>
            <w:pPr>
              <w:pStyle w:val="0"/>
              <w:jc w:val="center"/>
            </w:pPr>
            <w:r>
              <w:rPr>
                <w:sz w:val="20"/>
              </w:rPr>
              <w:t xml:space="preserve">+</w:t>
            </w:r>
          </w:p>
        </w:tc>
        <w:tc>
          <w:tcPr>
            <w:tcW w:w="1732" w:type="dxa"/>
            <w:vAlign w:val="bottom"/>
          </w:tcPr>
          <w:p>
            <w:pPr>
              <w:pStyle w:val="0"/>
              <w:jc w:val="center"/>
            </w:pPr>
            <w:r>
              <w:rPr>
                <w:sz w:val="20"/>
              </w:rPr>
              <w:t xml:space="preserve">+</w:t>
            </w:r>
          </w:p>
        </w:tc>
      </w:tr>
    </w:tbl>
    <w:p>
      <w:pPr>
        <w:pStyle w:val="0"/>
        <w:jc w:val="both"/>
      </w:pPr>
      <w:r>
        <w:rPr>
          <w:sz w:val="20"/>
        </w:rPr>
      </w:r>
    </w:p>
    <w:p>
      <w:pPr>
        <w:pStyle w:val="0"/>
        <w:ind w:firstLine="540"/>
        <w:jc w:val="both"/>
      </w:pPr>
      <w:r>
        <w:rPr>
          <w:sz w:val="20"/>
        </w:rPr>
        <w:t xml:space="preserve">Примечания: 1. Знак "+" обозначает, что показатель необходимо применять.</w:t>
      </w:r>
    </w:p>
    <w:p>
      <w:pPr>
        <w:pStyle w:val="0"/>
        <w:spacing w:before="200" w:line-rule="auto"/>
        <w:ind w:firstLine="540"/>
        <w:jc w:val="both"/>
      </w:pPr>
      <w:r>
        <w:rPr>
          <w:sz w:val="20"/>
        </w:rPr>
        <w:t xml:space="preserve">2. Знак "-" обозначает, что показатель не применяется.</w:t>
      </w:r>
    </w:p>
    <w:p>
      <w:pPr>
        <w:pStyle w:val="0"/>
        <w:spacing w:before="200" w:line-rule="auto"/>
        <w:ind w:firstLine="540"/>
        <w:jc w:val="both"/>
      </w:pPr>
      <w:r>
        <w:rPr>
          <w:sz w:val="20"/>
        </w:rPr>
        <w:t xml:space="preserve">3. При применении гидроизоляционных материалов для поверхностного слоя кровли показатели их пожарной опасности следует определять по позиции "Кровельные материалы".</w:t>
      </w:r>
    </w:p>
    <w:p>
      <w:pPr>
        <w:pStyle w:val="0"/>
        <w:ind w:firstLine="540"/>
        <w:jc w:val="both"/>
      </w:pPr>
      <w:r>
        <w:rPr>
          <w:sz w:val="20"/>
        </w:rPr>
      </w:r>
    </w:p>
    <w:p>
      <w:pPr>
        <w:pStyle w:val="0"/>
        <w:outlineLvl w:val="1"/>
        <w:jc w:val="center"/>
      </w:pPr>
      <w:r>
        <w:rPr>
          <w:sz w:val="20"/>
        </w:rPr>
        <w:t xml:space="preserve">Таблица 28</w:t>
      </w:r>
    </w:p>
    <w:p>
      <w:pPr>
        <w:pStyle w:val="0"/>
        <w:jc w:val="right"/>
      </w:pPr>
      <w:r>
        <w:rPr>
          <w:sz w:val="20"/>
        </w:rPr>
      </w:r>
    </w:p>
    <w:bookmarkStart w:id="3226" w:name="P3226"/>
    <w:bookmarkEnd w:id="3226"/>
    <w:p>
      <w:pPr>
        <w:pStyle w:val="2"/>
        <w:jc w:val="center"/>
      </w:pPr>
      <w:r>
        <w:rPr>
          <w:sz w:val="20"/>
        </w:rPr>
        <w:t xml:space="preserve">Область применения декоративно-отделочных, облицовочных</w:t>
      </w:r>
    </w:p>
    <w:p>
      <w:pPr>
        <w:pStyle w:val="2"/>
        <w:jc w:val="center"/>
      </w:pPr>
      <w:r>
        <w:rPr>
          <w:sz w:val="20"/>
        </w:rPr>
        <w:t xml:space="preserve">материалов и покрытий полов на путях эвакуации</w:t>
      </w:r>
    </w:p>
    <w:p>
      <w:pPr>
        <w:pStyle w:val="0"/>
        <w:jc w:val="center"/>
      </w:pPr>
      <w:r>
        <w:rPr>
          <w:sz w:val="20"/>
        </w:rPr>
        <w:t xml:space="preserve">(в ред. Федерального </w:t>
      </w:r>
      <w:hyperlink w:history="0" r:id="rId56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84"/>
        <w:gridCol w:w="1732"/>
        <w:gridCol w:w="1648"/>
        <w:gridCol w:w="1480"/>
        <w:gridCol w:w="1648"/>
        <w:gridCol w:w="1480"/>
      </w:tblGrid>
      <w:tr>
        <w:tc>
          <w:tcPr>
            <w:tcW w:w="2284" w:type="dxa"/>
            <w:vMerge w:val="restart"/>
          </w:tcPr>
          <w:p>
            <w:pPr>
              <w:pStyle w:val="0"/>
              <w:jc w:val="center"/>
            </w:pPr>
            <w:r>
              <w:rPr>
                <w:sz w:val="20"/>
              </w:rPr>
              <w:t xml:space="preserve">Класс функциональной пожарной опасности здания</w:t>
            </w:r>
          </w:p>
        </w:tc>
        <w:tc>
          <w:tcPr>
            <w:tcW w:w="1732" w:type="dxa"/>
            <w:vMerge w:val="restart"/>
          </w:tcPr>
          <w:p>
            <w:pPr>
              <w:pStyle w:val="0"/>
              <w:jc w:val="center"/>
            </w:pPr>
            <w:r>
              <w:rPr>
                <w:sz w:val="20"/>
              </w:rPr>
              <w:t xml:space="preserve">Этажность и высота здания</w:t>
            </w:r>
          </w:p>
        </w:tc>
        <w:tc>
          <w:tcPr>
            <w:gridSpan w:val="4"/>
            <w:tcW w:w="6256" w:type="dxa"/>
          </w:tcPr>
          <w:p>
            <w:pPr>
              <w:pStyle w:val="0"/>
              <w:jc w:val="center"/>
            </w:pPr>
            <w:r>
              <w:rPr>
                <w:sz w:val="20"/>
              </w:rPr>
              <w:t xml:space="preserve">Показатели пожарной опасности, не более указанных</w:t>
            </w:r>
          </w:p>
        </w:tc>
      </w:tr>
      <w:tr>
        <w:tc>
          <w:tcPr>
            <w:vMerge w:val="continue"/>
          </w:tcPr>
          <w:p/>
        </w:tc>
        <w:tc>
          <w:tcPr>
            <w:vMerge w:val="continue"/>
          </w:tcPr>
          <w:p/>
        </w:tc>
        <w:tc>
          <w:tcPr>
            <w:gridSpan w:val="2"/>
            <w:tcW w:w="3128" w:type="dxa"/>
          </w:tcPr>
          <w:p>
            <w:pPr>
              <w:pStyle w:val="0"/>
              <w:jc w:val="center"/>
            </w:pPr>
            <w:r>
              <w:rPr>
                <w:sz w:val="20"/>
              </w:rPr>
              <w:t xml:space="preserve">для стен и потолков</w:t>
            </w:r>
          </w:p>
        </w:tc>
        <w:tc>
          <w:tcPr>
            <w:gridSpan w:val="2"/>
            <w:tcW w:w="3128" w:type="dxa"/>
          </w:tcPr>
          <w:p>
            <w:pPr>
              <w:pStyle w:val="0"/>
              <w:jc w:val="center"/>
            </w:pPr>
            <w:r>
              <w:rPr>
                <w:sz w:val="20"/>
              </w:rPr>
              <w:t xml:space="preserve">для покрытия полов</w:t>
            </w:r>
          </w:p>
        </w:tc>
      </w:tr>
      <w:tr>
        <w:tc>
          <w:tcPr>
            <w:vMerge w:val="continue"/>
          </w:tcPr>
          <w:p/>
        </w:tc>
        <w:tc>
          <w:tcPr>
            <w:vMerge w:val="continue"/>
          </w:tcPr>
          <w:p/>
        </w:tc>
        <w:tc>
          <w:tcPr>
            <w:tcW w:w="1648" w:type="dxa"/>
          </w:tcPr>
          <w:p>
            <w:pPr>
              <w:pStyle w:val="0"/>
              <w:jc w:val="center"/>
            </w:pPr>
            <w:r>
              <w:rPr>
                <w:sz w:val="20"/>
              </w:rPr>
              <w:t xml:space="preserve">Вестибюли, лестничные клетки, лифтовые холлы</w:t>
            </w:r>
          </w:p>
        </w:tc>
        <w:tc>
          <w:tcPr>
            <w:tcW w:w="1480" w:type="dxa"/>
          </w:tcPr>
          <w:p>
            <w:pPr>
              <w:pStyle w:val="0"/>
              <w:jc w:val="center"/>
            </w:pPr>
            <w:r>
              <w:rPr>
                <w:sz w:val="20"/>
              </w:rPr>
              <w:t xml:space="preserve">Общие коридоры, холлы, фойе</w:t>
            </w:r>
          </w:p>
        </w:tc>
        <w:tc>
          <w:tcPr>
            <w:tcW w:w="1648" w:type="dxa"/>
          </w:tcPr>
          <w:p>
            <w:pPr>
              <w:pStyle w:val="0"/>
              <w:jc w:val="center"/>
            </w:pPr>
            <w:r>
              <w:rPr>
                <w:sz w:val="20"/>
              </w:rPr>
              <w:t xml:space="preserve">Вестибюли, лестничные клетки, лифтовые холлы</w:t>
            </w:r>
          </w:p>
        </w:tc>
        <w:tc>
          <w:tcPr>
            <w:tcW w:w="1480" w:type="dxa"/>
          </w:tcPr>
          <w:p>
            <w:pPr>
              <w:pStyle w:val="0"/>
              <w:jc w:val="center"/>
            </w:pPr>
            <w:r>
              <w:rPr>
                <w:sz w:val="20"/>
              </w:rPr>
              <w:t xml:space="preserve">Общие коридоры, холлы, фойе</w:t>
            </w:r>
          </w:p>
        </w:tc>
      </w:tr>
      <w:tr>
        <w:tc>
          <w:tcPr>
            <w:tcW w:w="2284" w:type="dxa"/>
            <w:vMerge w:val="restart"/>
          </w:tcPr>
          <w:p>
            <w:pPr>
              <w:pStyle w:val="0"/>
            </w:pPr>
            <w:r>
              <w:rPr>
                <w:sz w:val="20"/>
              </w:rPr>
              <w:t xml:space="preserve">Ф1.2; Ф1.3; Ф2.3; Ф2.4; Ф3.1; Ф3.2; Ф3.6; Ф4.2; Ф4.3; Ф4.4; Ф5.1; Ф5.2; Ф5.3</w:t>
            </w:r>
          </w:p>
        </w:tc>
        <w:tc>
          <w:tcPr>
            <w:tcW w:w="1732" w:type="dxa"/>
          </w:tcPr>
          <w:p>
            <w:pPr>
              <w:pStyle w:val="0"/>
            </w:pPr>
            <w:r>
              <w:rPr>
                <w:sz w:val="20"/>
              </w:rPr>
              <w:t xml:space="preserve">не более 9 этажей или не более 28 метров</w:t>
            </w:r>
          </w:p>
        </w:tc>
        <w:tc>
          <w:tcPr>
            <w:tcW w:w="1648" w:type="dxa"/>
          </w:tcPr>
          <w:p>
            <w:pPr>
              <w:pStyle w:val="0"/>
            </w:pPr>
            <w:r>
              <w:rPr>
                <w:sz w:val="20"/>
              </w:rPr>
              <w:t xml:space="preserve">Г1, В2, Д2, Т2</w:t>
            </w:r>
          </w:p>
        </w:tc>
        <w:tc>
          <w:tcPr>
            <w:tcW w:w="1480" w:type="dxa"/>
          </w:tcPr>
          <w:p>
            <w:pPr>
              <w:pStyle w:val="0"/>
            </w:pPr>
            <w:r>
              <w:rPr>
                <w:sz w:val="20"/>
              </w:rPr>
              <w:t xml:space="preserve">Г2, В2, Д3, Т2</w:t>
            </w:r>
          </w:p>
        </w:tc>
        <w:tc>
          <w:tcPr>
            <w:tcW w:w="1648" w:type="dxa"/>
          </w:tcPr>
          <w:p>
            <w:pPr>
              <w:pStyle w:val="0"/>
            </w:pPr>
            <w:r>
              <w:rPr>
                <w:sz w:val="20"/>
              </w:rPr>
              <w:t xml:space="preserve">В2, Д3, Т2, РП2</w:t>
            </w:r>
          </w:p>
        </w:tc>
        <w:tc>
          <w:tcPr>
            <w:tcW w:w="1480" w:type="dxa"/>
          </w:tcPr>
          <w:p>
            <w:pPr>
              <w:pStyle w:val="0"/>
            </w:pPr>
            <w:r>
              <w:rPr>
                <w:sz w:val="20"/>
              </w:rPr>
              <w:t xml:space="preserve">В2, Д3, Т3, РП2</w:t>
            </w:r>
          </w:p>
        </w:tc>
      </w:tr>
      <w:tr>
        <w:tc>
          <w:tcPr>
            <w:vMerge w:val="continue"/>
          </w:tcPr>
          <w:p/>
        </w:tc>
        <w:tc>
          <w:tcPr>
            <w:tcW w:w="1732" w:type="dxa"/>
          </w:tcPr>
          <w:p>
            <w:pPr>
              <w:pStyle w:val="0"/>
            </w:pPr>
            <w:r>
              <w:rPr>
                <w:sz w:val="20"/>
              </w:rPr>
              <w:t xml:space="preserve">более 9, но не более 17 этажей или более 28, но не более 50 метров</w:t>
            </w:r>
          </w:p>
        </w:tc>
        <w:tc>
          <w:tcPr>
            <w:tcW w:w="1648" w:type="dxa"/>
          </w:tcPr>
          <w:p>
            <w:pPr>
              <w:pStyle w:val="0"/>
            </w:pPr>
            <w:r>
              <w:rPr>
                <w:sz w:val="20"/>
              </w:rPr>
              <w:t xml:space="preserve">Г1, В1, Д2, Т2</w:t>
            </w:r>
          </w:p>
        </w:tc>
        <w:tc>
          <w:tcPr>
            <w:tcW w:w="1480" w:type="dxa"/>
          </w:tcPr>
          <w:p>
            <w:pPr>
              <w:pStyle w:val="0"/>
            </w:pPr>
            <w:r>
              <w:rPr>
                <w:sz w:val="20"/>
              </w:rPr>
              <w:t xml:space="preserve">Г1, В2, Д2, Т2</w:t>
            </w:r>
          </w:p>
        </w:tc>
        <w:tc>
          <w:tcPr>
            <w:tcW w:w="1648" w:type="dxa"/>
          </w:tcPr>
          <w:p>
            <w:pPr>
              <w:pStyle w:val="0"/>
            </w:pPr>
            <w:r>
              <w:rPr>
                <w:sz w:val="20"/>
              </w:rPr>
              <w:t xml:space="preserve">В2, Д3, Т2, РП2</w:t>
            </w:r>
          </w:p>
        </w:tc>
        <w:tc>
          <w:tcPr>
            <w:tcW w:w="1480" w:type="dxa"/>
          </w:tcPr>
          <w:p>
            <w:pPr>
              <w:pStyle w:val="0"/>
            </w:pPr>
            <w:r>
              <w:rPr>
                <w:sz w:val="20"/>
              </w:rPr>
              <w:t xml:space="preserve">В2, Д3, Т2, РП2</w:t>
            </w:r>
          </w:p>
        </w:tc>
      </w:tr>
      <w:tr>
        <w:tc>
          <w:tcPr>
            <w:vMerge w:val="continue"/>
          </w:tcPr>
          <w:p/>
        </w:tc>
        <w:tc>
          <w:tcPr>
            <w:tcW w:w="1732" w:type="dxa"/>
          </w:tcPr>
          <w:p>
            <w:pPr>
              <w:pStyle w:val="0"/>
            </w:pPr>
            <w:r>
              <w:rPr>
                <w:sz w:val="20"/>
              </w:rPr>
              <w:t xml:space="preserve">более 17 этажей или более 50 метров</w:t>
            </w:r>
          </w:p>
        </w:tc>
        <w:tc>
          <w:tcPr>
            <w:tcW w:w="1648" w:type="dxa"/>
          </w:tcPr>
          <w:p>
            <w:pPr>
              <w:pStyle w:val="0"/>
            </w:pPr>
            <w:r>
              <w:rPr>
                <w:sz w:val="20"/>
              </w:rPr>
              <w:t xml:space="preserve">НГ</w:t>
            </w:r>
          </w:p>
        </w:tc>
        <w:tc>
          <w:tcPr>
            <w:tcW w:w="1480" w:type="dxa"/>
          </w:tcPr>
          <w:p>
            <w:pPr>
              <w:pStyle w:val="0"/>
            </w:pPr>
            <w:r>
              <w:rPr>
                <w:sz w:val="20"/>
              </w:rPr>
              <w:t xml:space="preserve">Г1, В1, Д2, Т2</w:t>
            </w:r>
          </w:p>
        </w:tc>
        <w:tc>
          <w:tcPr>
            <w:tcW w:w="1648" w:type="dxa"/>
          </w:tcPr>
          <w:p>
            <w:pPr>
              <w:pStyle w:val="0"/>
            </w:pPr>
            <w:r>
              <w:rPr>
                <w:sz w:val="20"/>
              </w:rPr>
              <w:t xml:space="preserve">В2, Д3, Т2, РП2</w:t>
            </w:r>
          </w:p>
        </w:tc>
        <w:tc>
          <w:tcPr>
            <w:tcW w:w="1480" w:type="dxa"/>
          </w:tcPr>
          <w:p>
            <w:pPr>
              <w:pStyle w:val="0"/>
            </w:pPr>
            <w:r>
              <w:rPr>
                <w:sz w:val="20"/>
              </w:rPr>
              <w:t xml:space="preserve">В2, Д3, Т2, РП2</w:t>
            </w:r>
          </w:p>
        </w:tc>
      </w:tr>
      <w:tr>
        <w:tc>
          <w:tcPr>
            <w:tcW w:w="2284" w:type="dxa"/>
          </w:tcPr>
          <w:p>
            <w:pPr>
              <w:pStyle w:val="0"/>
            </w:pPr>
            <w:r>
              <w:rPr>
                <w:sz w:val="20"/>
              </w:rPr>
              <w:t xml:space="preserve">Ф1.1; Ф2.1; Ф2.2; Ф3.3; Ф3.4; Ф3.5; Ф3.7; Ф4.1</w:t>
            </w:r>
          </w:p>
        </w:tc>
        <w:tc>
          <w:tcPr>
            <w:tcW w:w="1732" w:type="dxa"/>
          </w:tcPr>
          <w:p>
            <w:pPr>
              <w:pStyle w:val="0"/>
            </w:pPr>
            <w:r>
              <w:rPr>
                <w:sz w:val="20"/>
              </w:rPr>
              <w:t xml:space="preserve">вне зависимости от этажности и высоты</w:t>
            </w:r>
          </w:p>
        </w:tc>
        <w:tc>
          <w:tcPr>
            <w:tcW w:w="1648" w:type="dxa"/>
          </w:tcPr>
          <w:p>
            <w:pPr>
              <w:pStyle w:val="0"/>
            </w:pPr>
            <w:r>
              <w:rPr>
                <w:sz w:val="20"/>
              </w:rPr>
              <w:t xml:space="preserve">НГ</w:t>
            </w:r>
          </w:p>
        </w:tc>
        <w:tc>
          <w:tcPr>
            <w:tcW w:w="1480" w:type="dxa"/>
          </w:tcPr>
          <w:p>
            <w:pPr>
              <w:pStyle w:val="0"/>
            </w:pPr>
            <w:r>
              <w:rPr>
                <w:sz w:val="20"/>
              </w:rPr>
              <w:t xml:space="preserve">Г1, В1, Д2, Т2</w:t>
            </w:r>
          </w:p>
        </w:tc>
        <w:tc>
          <w:tcPr>
            <w:tcW w:w="1648" w:type="dxa"/>
          </w:tcPr>
          <w:p>
            <w:pPr>
              <w:pStyle w:val="0"/>
            </w:pPr>
            <w:r>
              <w:rPr>
                <w:sz w:val="20"/>
              </w:rPr>
              <w:t xml:space="preserve">В2, Д3, Т2, РП2</w:t>
            </w:r>
          </w:p>
        </w:tc>
        <w:tc>
          <w:tcPr>
            <w:tcW w:w="1480" w:type="dxa"/>
          </w:tcPr>
          <w:p>
            <w:pPr>
              <w:pStyle w:val="0"/>
            </w:pPr>
            <w:r>
              <w:rPr>
                <w:sz w:val="20"/>
              </w:rPr>
              <w:t xml:space="preserve">В2, Д3, Т2, РП2</w:t>
            </w:r>
          </w:p>
        </w:tc>
      </w:tr>
    </w:tbl>
    <w:p>
      <w:pPr>
        <w:sectPr>
          <w:headerReference w:type="default" r:id="rId539"/>
          <w:headerReference w:type="first" r:id="rId539"/>
          <w:footerReference w:type="default" r:id="rId540"/>
          <w:footerReference w:type="first" r:id="rId540"/>
          <w:pgSz w:w="16838" w:h="11906" w:orient="landscape"/>
          <w:pgMar w:top="1133" w:right="1440" w:bottom="566" w:left="1440" w:header="0" w:footer="0" w:gutter="0"/>
          <w:titlePg/>
        </w:sectPr>
      </w:pPr>
    </w:p>
    <w:p>
      <w:pPr>
        <w:pStyle w:val="0"/>
        <w:ind w:firstLine="540"/>
        <w:jc w:val="both"/>
      </w:pPr>
      <w:r>
        <w:rPr>
          <w:sz w:val="20"/>
        </w:rPr>
      </w:r>
    </w:p>
    <w:p>
      <w:pPr>
        <w:pStyle w:val="0"/>
        <w:outlineLvl w:val="1"/>
        <w:jc w:val="center"/>
      </w:pPr>
      <w:r>
        <w:rPr>
          <w:sz w:val="20"/>
        </w:rPr>
        <w:t xml:space="preserve">Таблица 29</w:t>
      </w:r>
    </w:p>
    <w:p>
      <w:pPr>
        <w:pStyle w:val="0"/>
        <w:ind w:firstLine="540"/>
        <w:jc w:val="both"/>
      </w:pPr>
      <w:r>
        <w:rPr>
          <w:sz w:val="20"/>
        </w:rPr>
      </w:r>
    </w:p>
    <w:bookmarkStart w:id="3264" w:name="P3264"/>
    <w:bookmarkEnd w:id="3264"/>
    <w:p>
      <w:pPr>
        <w:pStyle w:val="2"/>
        <w:jc w:val="center"/>
      </w:pPr>
      <w:r>
        <w:rPr>
          <w:sz w:val="20"/>
        </w:rPr>
        <w:t xml:space="preserve">Область применения декоративно-отделочных, облицовочных</w:t>
      </w:r>
    </w:p>
    <w:p>
      <w:pPr>
        <w:pStyle w:val="2"/>
        <w:jc w:val="center"/>
      </w:pPr>
      <w:r>
        <w:rPr>
          <w:sz w:val="20"/>
        </w:rPr>
        <w:t xml:space="preserve">материалов и покрытий полов в зальных помещениях, за</w:t>
      </w:r>
    </w:p>
    <w:p>
      <w:pPr>
        <w:pStyle w:val="2"/>
        <w:jc w:val="center"/>
      </w:pPr>
      <w:r>
        <w:rPr>
          <w:sz w:val="20"/>
        </w:rPr>
        <w:t xml:space="preserve">исключением покрытий полов спортивных арен спортивных</w:t>
      </w:r>
    </w:p>
    <w:p>
      <w:pPr>
        <w:pStyle w:val="2"/>
        <w:jc w:val="center"/>
      </w:pPr>
      <w:r>
        <w:rPr>
          <w:sz w:val="20"/>
        </w:rPr>
        <w:t xml:space="preserve">сооружений и полов танцевальных залов</w:t>
      </w:r>
    </w:p>
    <w:p>
      <w:pPr>
        <w:pStyle w:val="0"/>
        <w:jc w:val="center"/>
      </w:pPr>
      <w:r>
        <w:rPr>
          <w:sz w:val="20"/>
        </w:rPr>
        <w:t xml:space="preserve">(в ред. Федерального </w:t>
      </w:r>
      <w:hyperlink w:history="0" r:id="rId56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7"/>
        <w:gridCol w:w="2145"/>
        <w:gridCol w:w="2113"/>
        <w:gridCol w:w="2149"/>
      </w:tblGrid>
      <w:tr>
        <w:tc>
          <w:tcPr>
            <w:tcW w:w="2557" w:type="dxa"/>
            <w:vMerge w:val="restart"/>
          </w:tcPr>
          <w:p>
            <w:pPr>
              <w:pStyle w:val="0"/>
              <w:jc w:val="center"/>
            </w:pPr>
            <w:r>
              <w:rPr>
                <w:sz w:val="20"/>
              </w:rPr>
              <w:t xml:space="preserve">Класс функциональной пожарной опасности здания</w:t>
            </w:r>
          </w:p>
        </w:tc>
        <w:tc>
          <w:tcPr>
            <w:tcW w:w="2145" w:type="dxa"/>
            <w:vMerge w:val="restart"/>
          </w:tcPr>
          <w:p>
            <w:pPr>
              <w:pStyle w:val="0"/>
              <w:jc w:val="center"/>
            </w:pPr>
            <w:r>
              <w:rPr>
                <w:sz w:val="20"/>
              </w:rPr>
              <w:t xml:space="preserve">Вместимость зальных помещений, человек</w:t>
            </w:r>
          </w:p>
        </w:tc>
        <w:tc>
          <w:tcPr>
            <w:gridSpan w:val="2"/>
            <w:tcW w:w="4262" w:type="dxa"/>
          </w:tcPr>
          <w:p>
            <w:pPr>
              <w:pStyle w:val="0"/>
              <w:jc w:val="center"/>
            </w:pPr>
            <w:r>
              <w:rPr>
                <w:sz w:val="20"/>
              </w:rPr>
              <w:t xml:space="preserve">Показатели пожарной опасности, не более указанных</w:t>
            </w:r>
          </w:p>
        </w:tc>
      </w:tr>
      <w:tr>
        <w:tc>
          <w:tcPr>
            <w:vMerge w:val="continue"/>
          </w:tcPr>
          <w:p/>
        </w:tc>
        <w:tc>
          <w:tcPr>
            <w:vMerge w:val="continue"/>
          </w:tcPr>
          <w:p/>
        </w:tc>
        <w:tc>
          <w:tcPr>
            <w:tcW w:w="2113" w:type="dxa"/>
          </w:tcPr>
          <w:p>
            <w:pPr>
              <w:pStyle w:val="0"/>
              <w:jc w:val="center"/>
            </w:pPr>
            <w:r>
              <w:rPr>
                <w:sz w:val="20"/>
              </w:rPr>
              <w:t xml:space="preserve">для стен и потолков</w:t>
            </w:r>
          </w:p>
        </w:tc>
        <w:tc>
          <w:tcPr>
            <w:tcW w:w="2149" w:type="dxa"/>
          </w:tcPr>
          <w:p>
            <w:pPr>
              <w:pStyle w:val="0"/>
              <w:jc w:val="center"/>
            </w:pPr>
            <w:r>
              <w:rPr>
                <w:sz w:val="20"/>
              </w:rPr>
              <w:t xml:space="preserve">для покрытий полов</w:t>
            </w:r>
          </w:p>
        </w:tc>
      </w:tr>
      <w:tr>
        <w:tc>
          <w:tcPr>
            <w:tcW w:w="2557" w:type="dxa"/>
            <w:vMerge w:val="restart"/>
          </w:tcPr>
          <w:p>
            <w:pPr>
              <w:pStyle w:val="0"/>
            </w:pPr>
            <w:r>
              <w:rPr>
                <w:sz w:val="20"/>
              </w:rPr>
              <w:t xml:space="preserve">Ф1.2; Ф2.3; Ф2.4; Ф3.1; Ф3.2; Ф3.6; Ф4.2; Ф4.3; Ф4.4; Ф5.1</w:t>
            </w:r>
          </w:p>
        </w:tc>
        <w:tc>
          <w:tcPr>
            <w:tcW w:w="2145" w:type="dxa"/>
          </w:tcPr>
          <w:p>
            <w:pPr>
              <w:pStyle w:val="0"/>
            </w:pPr>
            <w:r>
              <w:rPr>
                <w:sz w:val="20"/>
              </w:rPr>
              <w:t xml:space="preserve">более 800</w:t>
            </w:r>
          </w:p>
        </w:tc>
        <w:tc>
          <w:tcPr>
            <w:tcW w:w="2113" w:type="dxa"/>
          </w:tcPr>
          <w:p>
            <w:pPr>
              <w:pStyle w:val="0"/>
            </w:pPr>
            <w:r>
              <w:rPr>
                <w:sz w:val="20"/>
              </w:rPr>
              <w:t xml:space="preserve">НГ</w:t>
            </w:r>
          </w:p>
        </w:tc>
        <w:tc>
          <w:tcPr>
            <w:tcW w:w="2149" w:type="dxa"/>
          </w:tcPr>
          <w:p>
            <w:pPr>
              <w:pStyle w:val="0"/>
            </w:pPr>
            <w:r>
              <w:rPr>
                <w:sz w:val="20"/>
              </w:rPr>
              <w:t xml:space="preserve">В2, Д2, Т2, РП1</w:t>
            </w:r>
          </w:p>
        </w:tc>
      </w:tr>
      <w:tr>
        <w:tc>
          <w:tcPr>
            <w:vMerge w:val="continue"/>
          </w:tcPr>
          <w:p/>
        </w:tc>
        <w:tc>
          <w:tcPr>
            <w:tcW w:w="2145" w:type="dxa"/>
          </w:tcPr>
          <w:p>
            <w:pPr>
              <w:pStyle w:val="0"/>
            </w:pPr>
            <w:r>
              <w:rPr>
                <w:sz w:val="20"/>
              </w:rPr>
              <w:t xml:space="preserve">более 300, но не более 800</w:t>
            </w:r>
          </w:p>
        </w:tc>
        <w:tc>
          <w:tcPr>
            <w:tcW w:w="2113" w:type="dxa"/>
          </w:tcPr>
          <w:p>
            <w:pPr>
              <w:pStyle w:val="0"/>
            </w:pPr>
            <w:r>
              <w:rPr>
                <w:sz w:val="20"/>
              </w:rPr>
              <w:t xml:space="preserve">Г1, В1, Д2, Т2</w:t>
            </w:r>
          </w:p>
        </w:tc>
        <w:tc>
          <w:tcPr>
            <w:tcW w:w="2149" w:type="dxa"/>
          </w:tcPr>
          <w:p>
            <w:pPr>
              <w:pStyle w:val="0"/>
            </w:pPr>
            <w:r>
              <w:rPr>
                <w:sz w:val="20"/>
              </w:rPr>
              <w:t xml:space="preserve">В2, Д2, Т2, РП1</w:t>
            </w:r>
          </w:p>
        </w:tc>
      </w:tr>
      <w:tr>
        <w:tc>
          <w:tcPr>
            <w:vMerge w:val="continue"/>
          </w:tcPr>
          <w:p/>
        </w:tc>
        <w:tc>
          <w:tcPr>
            <w:tcW w:w="2145" w:type="dxa"/>
          </w:tcPr>
          <w:p>
            <w:pPr>
              <w:pStyle w:val="0"/>
            </w:pPr>
            <w:r>
              <w:rPr>
                <w:sz w:val="20"/>
              </w:rPr>
              <w:t xml:space="preserve">более 50, но не более 300</w:t>
            </w:r>
          </w:p>
        </w:tc>
        <w:tc>
          <w:tcPr>
            <w:tcW w:w="2113" w:type="dxa"/>
          </w:tcPr>
          <w:p>
            <w:pPr>
              <w:pStyle w:val="0"/>
            </w:pPr>
            <w:r>
              <w:rPr>
                <w:sz w:val="20"/>
              </w:rPr>
              <w:t xml:space="preserve">Г1, В2, Д2, Т2</w:t>
            </w:r>
          </w:p>
        </w:tc>
        <w:tc>
          <w:tcPr>
            <w:tcW w:w="2149" w:type="dxa"/>
          </w:tcPr>
          <w:p>
            <w:pPr>
              <w:pStyle w:val="0"/>
            </w:pPr>
            <w:r>
              <w:rPr>
                <w:sz w:val="20"/>
              </w:rPr>
              <w:t xml:space="preserve">В2, Д3, Т2, РП2</w:t>
            </w:r>
          </w:p>
        </w:tc>
      </w:tr>
      <w:tr>
        <w:tc>
          <w:tcPr>
            <w:vMerge w:val="continue"/>
          </w:tcPr>
          <w:p/>
        </w:tc>
        <w:tc>
          <w:tcPr>
            <w:tcW w:w="2145" w:type="dxa"/>
          </w:tcPr>
          <w:p>
            <w:pPr>
              <w:pStyle w:val="0"/>
            </w:pPr>
            <w:r>
              <w:rPr>
                <w:sz w:val="20"/>
              </w:rPr>
              <w:t xml:space="preserve">не более 50</w:t>
            </w:r>
          </w:p>
        </w:tc>
        <w:tc>
          <w:tcPr>
            <w:tcW w:w="2113" w:type="dxa"/>
          </w:tcPr>
          <w:p>
            <w:pPr>
              <w:pStyle w:val="0"/>
            </w:pPr>
            <w:r>
              <w:rPr>
                <w:sz w:val="20"/>
              </w:rPr>
              <w:t xml:space="preserve">Г2, В2, Д3, Т2</w:t>
            </w:r>
          </w:p>
        </w:tc>
        <w:tc>
          <w:tcPr>
            <w:tcW w:w="2149" w:type="dxa"/>
          </w:tcPr>
          <w:p>
            <w:pPr>
              <w:pStyle w:val="0"/>
            </w:pPr>
            <w:r>
              <w:rPr>
                <w:sz w:val="20"/>
              </w:rPr>
              <w:t xml:space="preserve">В2, Д3, Т3, РП2</w:t>
            </w:r>
          </w:p>
        </w:tc>
      </w:tr>
      <w:tr>
        <w:tc>
          <w:tcPr>
            <w:tcW w:w="2557" w:type="dxa"/>
            <w:vMerge w:val="restart"/>
          </w:tcPr>
          <w:p>
            <w:pPr>
              <w:pStyle w:val="0"/>
            </w:pPr>
            <w:r>
              <w:rPr>
                <w:sz w:val="20"/>
              </w:rPr>
              <w:t xml:space="preserve">Ф1.1; Ф2.1; Ф2.2; Ф3.3; Ф3.4; Ф3.5; Ф3.7; Ф4.1</w:t>
            </w:r>
          </w:p>
        </w:tc>
        <w:tc>
          <w:tcPr>
            <w:tcW w:w="2145" w:type="dxa"/>
          </w:tcPr>
          <w:p>
            <w:pPr>
              <w:pStyle w:val="0"/>
            </w:pPr>
            <w:r>
              <w:rPr>
                <w:sz w:val="20"/>
              </w:rPr>
              <w:t xml:space="preserve">более 300</w:t>
            </w:r>
          </w:p>
        </w:tc>
        <w:tc>
          <w:tcPr>
            <w:tcW w:w="2113" w:type="dxa"/>
          </w:tcPr>
          <w:p>
            <w:pPr>
              <w:pStyle w:val="0"/>
            </w:pPr>
            <w:r>
              <w:rPr>
                <w:sz w:val="20"/>
              </w:rPr>
              <w:t xml:space="preserve">НГ</w:t>
            </w:r>
          </w:p>
        </w:tc>
        <w:tc>
          <w:tcPr>
            <w:tcW w:w="2149" w:type="dxa"/>
          </w:tcPr>
          <w:p>
            <w:pPr>
              <w:pStyle w:val="0"/>
            </w:pPr>
            <w:r>
              <w:rPr>
                <w:sz w:val="20"/>
              </w:rPr>
              <w:t xml:space="preserve">В2, Д2, Т2, РП1</w:t>
            </w:r>
          </w:p>
        </w:tc>
      </w:tr>
      <w:tr>
        <w:tc>
          <w:tcPr>
            <w:vMerge w:val="continue"/>
          </w:tcPr>
          <w:p/>
        </w:tc>
        <w:tc>
          <w:tcPr>
            <w:tcW w:w="2145" w:type="dxa"/>
          </w:tcPr>
          <w:p>
            <w:pPr>
              <w:pStyle w:val="0"/>
            </w:pPr>
            <w:r>
              <w:rPr>
                <w:sz w:val="20"/>
              </w:rPr>
              <w:t xml:space="preserve">более 15, но не более 300</w:t>
            </w:r>
          </w:p>
        </w:tc>
        <w:tc>
          <w:tcPr>
            <w:tcW w:w="2113" w:type="dxa"/>
          </w:tcPr>
          <w:p>
            <w:pPr>
              <w:pStyle w:val="0"/>
            </w:pPr>
            <w:r>
              <w:rPr>
                <w:sz w:val="20"/>
              </w:rPr>
              <w:t xml:space="preserve">Г1, В1, Д2, Т2</w:t>
            </w:r>
          </w:p>
        </w:tc>
        <w:tc>
          <w:tcPr>
            <w:tcW w:w="2149" w:type="dxa"/>
          </w:tcPr>
          <w:p>
            <w:pPr>
              <w:pStyle w:val="0"/>
            </w:pPr>
            <w:r>
              <w:rPr>
                <w:sz w:val="20"/>
              </w:rPr>
              <w:t xml:space="preserve">В2, Д2, Т2, РП1</w:t>
            </w:r>
          </w:p>
        </w:tc>
      </w:tr>
      <w:tr>
        <w:tc>
          <w:tcPr>
            <w:vMerge w:val="continue"/>
          </w:tcPr>
          <w:p/>
        </w:tc>
        <w:tc>
          <w:tcPr>
            <w:tcW w:w="2145" w:type="dxa"/>
          </w:tcPr>
          <w:p>
            <w:pPr>
              <w:pStyle w:val="0"/>
            </w:pPr>
            <w:r>
              <w:rPr>
                <w:sz w:val="20"/>
              </w:rPr>
              <w:t xml:space="preserve">не более 15</w:t>
            </w:r>
          </w:p>
        </w:tc>
        <w:tc>
          <w:tcPr>
            <w:tcW w:w="2113" w:type="dxa"/>
          </w:tcPr>
          <w:p>
            <w:pPr>
              <w:pStyle w:val="0"/>
            </w:pPr>
            <w:r>
              <w:rPr>
                <w:sz w:val="20"/>
              </w:rPr>
              <w:t xml:space="preserve">Г2, В2, Д3, Т2</w:t>
            </w:r>
          </w:p>
        </w:tc>
        <w:tc>
          <w:tcPr>
            <w:tcW w:w="2149" w:type="dxa"/>
          </w:tcPr>
          <w:p>
            <w:pPr>
              <w:pStyle w:val="0"/>
            </w:pPr>
            <w:r>
              <w:rPr>
                <w:sz w:val="20"/>
              </w:rPr>
              <w:t xml:space="preserve">В2, Д3, Т3, РП2</w:t>
            </w:r>
          </w:p>
        </w:tc>
      </w:tr>
    </w:tbl>
    <w:p>
      <w:pPr>
        <w:pStyle w:val="0"/>
        <w:ind w:firstLine="540"/>
        <w:jc w:val="both"/>
      </w:pPr>
      <w:r>
        <w:rPr>
          <w:sz w:val="20"/>
        </w:rPr>
      </w:r>
    </w:p>
    <w:p>
      <w:pPr>
        <w:pStyle w:val="0"/>
        <w:ind w:firstLine="540"/>
        <w:jc w:val="both"/>
      </w:pPr>
      <w:r>
        <w:rPr>
          <w:sz w:val="20"/>
        </w:rPr>
        <w:t xml:space="preserve">Примечание: Для отделки стен и потолков не допускается применять облицовочные материалы, используемые в качестве акустических панелей, с более высокими показателями пожарной опасности, чем Г1, В1, Д2, Т2.</w:t>
      </w:r>
    </w:p>
    <w:p>
      <w:pPr>
        <w:pStyle w:val="0"/>
        <w:ind w:firstLine="540"/>
        <w:jc w:val="both"/>
      </w:pPr>
      <w:r>
        <w:rPr>
          <w:sz w:val="20"/>
        </w:rPr>
      </w:r>
    </w:p>
    <w:p>
      <w:pPr>
        <w:pStyle w:val="0"/>
        <w:outlineLvl w:val="1"/>
        <w:jc w:val="center"/>
      </w:pPr>
      <w:r>
        <w:rPr>
          <w:sz w:val="20"/>
        </w:rPr>
        <w:t xml:space="preserve">Таблица 30</w:t>
      </w:r>
    </w:p>
    <w:p>
      <w:pPr>
        <w:pStyle w:val="0"/>
        <w:jc w:val="right"/>
      </w:pPr>
      <w:r>
        <w:rPr>
          <w:sz w:val="20"/>
        </w:rPr>
      </w:r>
    </w:p>
    <w:bookmarkStart w:id="3303" w:name="P3303"/>
    <w:bookmarkEnd w:id="3303"/>
    <w:p>
      <w:pPr>
        <w:pStyle w:val="2"/>
        <w:jc w:val="center"/>
      </w:pPr>
      <w:r>
        <w:rPr>
          <w:sz w:val="20"/>
        </w:rPr>
        <w:t xml:space="preserve">Перечень показателей, необходимых для оценки</w:t>
      </w:r>
    </w:p>
    <w:p>
      <w:pPr>
        <w:pStyle w:val="2"/>
        <w:jc w:val="center"/>
      </w:pPr>
      <w:r>
        <w:rPr>
          <w:sz w:val="20"/>
        </w:rPr>
        <w:t xml:space="preserve">пожарной опасности текстильных и кожевенных материалов</w:t>
      </w:r>
    </w:p>
    <w:p>
      <w:pPr>
        <w:pStyle w:val="2"/>
        <w:jc w:val="center"/>
      </w:pPr>
      <w:r>
        <w:rPr>
          <w:sz w:val="20"/>
        </w:rPr>
        <w:t xml:space="preserve">и для нормирования требований</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60"/>
        <w:gridCol w:w="1276"/>
        <w:gridCol w:w="2260"/>
        <w:gridCol w:w="1780"/>
        <w:gridCol w:w="1780"/>
        <w:gridCol w:w="1420"/>
      </w:tblGrid>
      <w:tr>
        <w:tc>
          <w:tcPr>
            <w:tcW w:w="2560" w:type="dxa"/>
            <w:vMerge w:val="restart"/>
          </w:tcPr>
          <w:p>
            <w:pPr>
              <w:pStyle w:val="0"/>
              <w:jc w:val="center"/>
            </w:pPr>
            <w:r>
              <w:rPr>
                <w:sz w:val="20"/>
              </w:rPr>
              <w:t xml:space="preserve">Показатели пожарной опасности</w:t>
            </w:r>
          </w:p>
        </w:tc>
        <w:tc>
          <w:tcPr>
            <w:gridSpan w:val="5"/>
            <w:tcW w:w="8516" w:type="dxa"/>
          </w:tcPr>
          <w:p>
            <w:pPr>
              <w:pStyle w:val="0"/>
              <w:jc w:val="center"/>
            </w:pPr>
            <w:r>
              <w:rPr>
                <w:sz w:val="20"/>
              </w:rPr>
              <w:t xml:space="preserve">Функциональное назначение</w:t>
            </w:r>
          </w:p>
        </w:tc>
      </w:tr>
      <w:tr>
        <w:tc>
          <w:tcPr>
            <w:vMerge w:val="continue"/>
          </w:tcPr>
          <w:p/>
        </w:tc>
        <w:tc>
          <w:tcPr>
            <w:tcW w:w="1276" w:type="dxa"/>
          </w:tcPr>
          <w:p>
            <w:pPr>
              <w:pStyle w:val="0"/>
              <w:jc w:val="center"/>
            </w:pPr>
            <w:r>
              <w:rPr>
                <w:sz w:val="20"/>
              </w:rPr>
              <w:t xml:space="preserve">Шторы и занавесы</w:t>
            </w:r>
          </w:p>
        </w:tc>
        <w:tc>
          <w:tcPr>
            <w:tcW w:w="2260" w:type="dxa"/>
          </w:tcPr>
          <w:p>
            <w:pPr>
              <w:pStyle w:val="0"/>
              <w:jc w:val="center"/>
            </w:pPr>
            <w:r>
              <w:rPr>
                <w:sz w:val="20"/>
              </w:rPr>
              <w:t xml:space="preserve">Постельные принадлежности</w:t>
            </w:r>
          </w:p>
        </w:tc>
        <w:tc>
          <w:tcPr>
            <w:tcW w:w="1780" w:type="dxa"/>
          </w:tcPr>
          <w:p>
            <w:pPr>
              <w:pStyle w:val="0"/>
              <w:jc w:val="center"/>
            </w:pPr>
            <w:r>
              <w:rPr>
                <w:sz w:val="20"/>
              </w:rPr>
              <w:t xml:space="preserve">Элементы мягкой мебели (в том числе кожевенные)</w:t>
            </w:r>
          </w:p>
        </w:tc>
        <w:tc>
          <w:tcPr>
            <w:tcW w:w="1780" w:type="dxa"/>
          </w:tcPr>
          <w:p>
            <w:pPr>
              <w:pStyle w:val="0"/>
              <w:jc w:val="center"/>
            </w:pPr>
            <w:r>
              <w:rPr>
                <w:sz w:val="20"/>
              </w:rPr>
              <w:t xml:space="preserve">Специальная защитная одежда</w:t>
            </w:r>
          </w:p>
        </w:tc>
        <w:tc>
          <w:tcPr>
            <w:tcW w:w="1420" w:type="dxa"/>
          </w:tcPr>
          <w:p>
            <w:pPr>
              <w:pStyle w:val="0"/>
              <w:jc w:val="center"/>
            </w:pPr>
            <w:r>
              <w:rPr>
                <w:sz w:val="20"/>
              </w:rPr>
              <w:t xml:space="preserve">Ковровые покрытия</w:t>
            </w:r>
          </w:p>
        </w:tc>
      </w:tr>
      <w:tr>
        <w:tc>
          <w:tcPr>
            <w:tcW w:w="2560" w:type="dxa"/>
          </w:tcPr>
          <w:p>
            <w:pPr>
              <w:pStyle w:val="0"/>
            </w:pPr>
            <w:r>
              <w:rPr>
                <w:sz w:val="20"/>
              </w:rPr>
              <w:t xml:space="preserve">Воспламеняемость</w:t>
            </w:r>
          </w:p>
        </w:tc>
        <w:tc>
          <w:tcPr>
            <w:tcW w:w="1276" w:type="dxa"/>
          </w:tcPr>
          <w:p>
            <w:pPr>
              <w:pStyle w:val="0"/>
              <w:jc w:val="center"/>
            </w:pPr>
            <w:r>
              <w:rPr>
                <w:sz w:val="20"/>
              </w:rPr>
              <w:t xml:space="preserve">+</w:t>
            </w:r>
          </w:p>
        </w:tc>
        <w:tc>
          <w:tcPr>
            <w:tcW w:w="2260" w:type="dxa"/>
          </w:tcPr>
          <w:p>
            <w:pPr>
              <w:pStyle w:val="0"/>
              <w:jc w:val="center"/>
            </w:pPr>
            <w:r>
              <w:rPr>
                <w:sz w:val="20"/>
              </w:rPr>
              <w:t xml:space="preserve">+</w:t>
            </w:r>
          </w:p>
        </w:tc>
        <w:tc>
          <w:tcPr>
            <w:tcW w:w="1780" w:type="dxa"/>
          </w:tcPr>
          <w:p>
            <w:pPr>
              <w:pStyle w:val="0"/>
              <w:jc w:val="center"/>
            </w:pPr>
            <w:r>
              <w:rPr>
                <w:sz w:val="20"/>
              </w:rPr>
              <w:t xml:space="preserve">+</w:t>
            </w:r>
          </w:p>
        </w:tc>
        <w:tc>
          <w:tcPr>
            <w:tcW w:w="1780" w:type="dxa"/>
          </w:tcPr>
          <w:p>
            <w:pPr>
              <w:pStyle w:val="0"/>
              <w:jc w:val="center"/>
            </w:pPr>
            <w:r>
              <w:rPr>
                <w:sz w:val="20"/>
              </w:rPr>
              <w:t xml:space="preserve">+</w:t>
            </w:r>
          </w:p>
        </w:tc>
        <w:tc>
          <w:tcPr>
            <w:tcW w:w="1420" w:type="dxa"/>
          </w:tcPr>
          <w:p>
            <w:pPr>
              <w:pStyle w:val="0"/>
              <w:jc w:val="center"/>
            </w:pPr>
            <w:r>
              <w:rPr>
                <w:sz w:val="20"/>
              </w:rPr>
              <w:t xml:space="preserve">+</w:t>
            </w:r>
          </w:p>
        </w:tc>
      </w:tr>
      <w:tr>
        <w:tc>
          <w:tcPr>
            <w:tcW w:w="2560" w:type="dxa"/>
          </w:tcPr>
          <w:p>
            <w:pPr>
              <w:pStyle w:val="0"/>
            </w:pPr>
            <w:r>
              <w:rPr>
                <w:sz w:val="20"/>
              </w:rPr>
              <w:t xml:space="preserve">Устойчивость к воздействию теплового потока</w:t>
            </w:r>
          </w:p>
        </w:tc>
        <w:tc>
          <w:tcPr>
            <w:tcW w:w="1276" w:type="dxa"/>
            <w:vAlign w:val="bottom"/>
          </w:tcPr>
          <w:p>
            <w:pPr>
              <w:pStyle w:val="0"/>
              <w:jc w:val="center"/>
            </w:pPr>
            <w:r>
              <w:rPr>
                <w:sz w:val="20"/>
              </w:rPr>
              <w:t xml:space="preserve">-</w:t>
            </w:r>
          </w:p>
        </w:tc>
        <w:tc>
          <w:tcPr>
            <w:tcW w:w="2260" w:type="dxa"/>
            <w:vAlign w:val="bottom"/>
          </w:tcPr>
          <w:p>
            <w:pPr>
              <w:pStyle w:val="0"/>
              <w:jc w:val="center"/>
            </w:pPr>
            <w:r>
              <w:rPr>
                <w:sz w:val="20"/>
              </w:rPr>
              <w:t xml:space="preserve">-</w:t>
            </w:r>
          </w:p>
        </w:tc>
        <w:tc>
          <w:tcPr>
            <w:tcW w:w="1780" w:type="dxa"/>
            <w:vAlign w:val="bottom"/>
          </w:tcPr>
          <w:p>
            <w:pPr>
              <w:pStyle w:val="0"/>
              <w:jc w:val="center"/>
            </w:pPr>
            <w:r>
              <w:rPr>
                <w:sz w:val="20"/>
              </w:rPr>
              <w:t xml:space="preserve">-</w:t>
            </w:r>
          </w:p>
        </w:tc>
        <w:tc>
          <w:tcPr>
            <w:tcW w:w="1780" w:type="dxa"/>
            <w:vAlign w:val="bottom"/>
          </w:tcPr>
          <w:p>
            <w:pPr>
              <w:pStyle w:val="0"/>
              <w:jc w:val="center"/>
            </w:pPr>
            <w:r>
              <w:rPr>
                <w:sz w:val="20"/>
              </w:rPr>
              <w:t xml:space="preserve">+</w:t>
            </w:r>
          </w:p>
        </w:tc>
        <w:tc>
          <w:tcPr>
            <w:tcW w:w="1420" w:type="dxa"/>
            <w:vAlign w:val="bottom"/>
          </w:tcPr>
          <w:p>
            <w:pPr>
              <w:pStyle w:val="0"/>
              <w:jc w:val="center"/>
            </w:pPr>
            <w:r>
              <w:rPr>
                <w:sz w:val="20"/>
              </w:rPr>
              <w:t xml:space="preserve">-</w:t>
            </w:r>
          </w:p>
        </w:tc>
      </w:tr>
      <w:tr>
        <w:tc>
          <w:tcPr>
            <w:tcW w:w="2560" w:type="dxa"/>
          </w:tcPr>
          <w:p>
            <w:pPr>
              <w:pStyle w:val="0"/>
            </w:pPr>
            <w:r>
              <w:rPr>
                <w:sz w:val="20"/>
              </w:rPr>
              <w:t xml:space="preserve">Теплозащитная эффективность при воздействии пламени</w:t>
            </w:r>
          </w:p>
        </w:tc>
        <w:tc>
          <w:tcPr>
            <w:tcW w:w="1276" w:type="dxa"/>
            <w:vAlign w:val="bottom"/>
          </w:tcPr>
          <w:p>
            <w:pPr>
              <w:pStyle w:val="0"/>
              <w:jc w:val="center"/>
            </w:pPr>
            <w:r>
              <w:rPr>
                <w:sz w:val="20"/>
              </w:rPr>
              <w:t xml:space="preserve">-</w:t>
            </w:r>
          </w:p>
        </w:tc>
        <w:tc>
          <w:tcPr>
            <w:tcW w:w="2260" w:type="dxa"/>
            <w:vAlign w:val="bottom"/>
          </w:tcPr>
          <w:p>
            <w:pPr>
              <w:pStyle w:val="0"/>
              <w:jc w:val="center"/>
            </w:pPr>
            <w:r>
              <w:rPr>
                <w:sz w:val="20"/>
              </w:rPr>
              <w:t xml:space="preserve">-</w:t>
            </w:r>
          </w:p>
        </w:tc>
        <w:tc>
          <w:tcPr>
            <w:tcW w:w="1780" w:type="dxa"/>
            <w:vAlign w:val="bottom"/>
          </w:tcPr>
          <w:p>
            <w:pPr>
              <w:pStyle w:val="0"/>
              <w:jc w:val="center"/>
            </w:pPr>
            <w:r>
              <w:rPr>
                <w:sz w:val="20"/>
              </w:rPr>
              <w:t xml:space="preserve">-</w:t>
            </w:r>
          </w:p>
        </w:tc>
        <w:tc>
          <w:tcPr>
            <w:tcW w:w="1780" w:type="dxa"/>
            <w:vAlign w:val="bottom"/>
          </w:tcPr>
          <w:p>
            <w:pPr>
              <w:pStyle w:val="0"/>
              <w:jc w:val="center"/>
            </w:pPr>
            <w:r>
              <w:rPr>
                <w:sz w:val="20"/>
              </w:rPr>
              <w:t xml:space="preserve">+</w:t>
            </w:r>
          </w:p>
        </w:tc>
        <w:tc>
          <w:tcPr>
            <w:tcW w:w="1420" w:type="dxa"/>
            <w:vAlign w:val="bottom"/>
          </w:tcPr>
          <w:p>
            <w:pPr>
              <w:pStyle w:val="0"/>
              <w:jc w:val="center"/>
            </w:pPr>
            <w:r>
              <w:rPr>
                <w:sz w:val="20"/>
              </w:rPr>
              <w:t xml:space="preserve">-</w:t>
            </w:r>
          </w:p>
        </w:tc>
      </w:tr>
      <w:tr>
        <w:tc>
          <w:tcPr>
            <w:tcW w:w="2560" w:type="dxa"/>
          </w:tcPr>
          <w:p>
            <w:pPr>
              <w:pStyle w:val="0"/>
            </w:pPr>
            <w:r>
              <w:rPr>
                <w:sz w:val="20"/>
              </w:rPr>
              <w:t xml:space="preserve">Распространение пламени</w:t>
            </w:r>
          </w:p>
        </w:tc>
        <w:tc>
          <w:tcPr>
            <w:tcW w:w="1276" w:type="dxa"/>
            <w:vAlign w:val="bottom"/>
          </w:tcPr>
          <w:p>
            <w:pPr>
              <w:pStyle w:val="0"/>
              <w:jc w:val="center"/>
            </w:pPr>
            <w:r>
              <w:rPr>
                <w:sz w:val="20"/>
              </w:rPr>
              <w:t xml:space="preserve">-</w:t>
            </w:r>
          </w:p>
        </w:tc>
        <w:tc>
          <w:tcPr>
            <w:tcW w:w="2260" w:type="dxa"/>
            <w:vAlign w:val="bottom"/>
          </w:tcPr>
          <w:p>
            <w:pPr>
              <w:pStyle w:val="0"/>
              <w:jc w:val="center"/>
            </w:pPr>
            <w:r>
              <w:rPr>
                <w:sz w:val="20"/>
              </w:rPr>
              <w:t xml:space="preserve">-</w:t>
            </w:r>
          </w:p>
        </w:tc>
        <w:tc>
          <w:tcPr>
            <w:tcW w:w="1780" w:type="dxa"/>
            <w:vAlign w:val="bottom"/>
          </w:tcPr>
          <w:p>
            <w:pPr>
              <w:pStyle w:val="0"/>
              <w:jc w:val="center"/>
            </w:pPr>
            <w:r>
              <w:rPr>
                <w:sz w:val="20"/>
              </w:rPr>
              <w:t xml:space="preserve">+</w:t>
            </w:r>
          </w:p>
        </w:tc>
        <w:tc>
          <w:tcPr>
            <w:tcW w:w="1780" w:type="dxa"/>
            <w:vAlign w:val="bottom"/>
          </w:tcPr>
          <w:p>
            <w:pPr>
              <w:pStyle w:val="0"/>
              <w:jc w:val="center"/>
            </w:pPr>
            <w:r>
              <w:rPr>
                <w:sz w:val="20"/>
              </w:rPr>
              <w:t xml:space="preserve">-</w:t>
            </w:r>
          </w:p>
        </w:tc>
        <w:tc>
          <w:tcPr>
            <w:tcW w:w="1420" w:type="dxa"/>
            <w:vAlign w:val="bottom"/>
          </w:tcPr>
          <w:p>
            <w:pPr>
              <w:pStyle w:val="0"/>
              <w:jc w:val="center"/>
            </w:pPr>
            <w:r>
              <w:rPr>
                <w:sz w:val="20"/>
              </w:rPr>
              <w:t xml:space="preserve">+</w:t>
            </w:r>
          </w:p>
        </w:tc>
      </w:tr>
      <w:tr>
        <w:tc>
          <w:tcPr>
            <w:tcW w:w="2560" w:type="dxa"/>
          </w:tcPr>
          <w:p>
            <w:pPr>
              <w:pStyle w:val="0"/>
            </w:pPr>
            <w:r>
              <w:rPr>
                <w:sz w:val="20"/>
              </w:rPr>
              <w:t xml:space="preserve">Показатель токсичности продуктов горения</w:t>
            </w:r>
          </w:p>
        </w:tc>
        <w:tc>
          <w:tcPr>
            <w:tcW w:w="1276" w:type="dxa"/>
            <w:vAlign w:val="bottom"/>
          </w:tcPr>
          <w:p>
            <w:pPr>
              <w:pStyle w:val="0"/>
              <w:jc w:val="center"/>
            </w:pPr>
            <w:r>
              <w:rPr>
                <w:sz w:val="20"/>
              </w:rPr>
              <w:t xml:space="preserve">+</w:t>
            </w:r>
          </w:p>
        </w:tc>
        <w:tc>
          <w:tcPr>
            <w:tcW w:w="2260" w:type="dxa"/>
            <w:vAlign w:val="bottom"/>
          </w:tcPr>
          <w:p>
            <w:pPr>
              <w:pStyle w:val="0"/>
              <w:jc w:val="center"/>
            </w:pPr>
            <w:r>
              <w:rPr>
                <w:sz w:val="20"/>
              </w:rPr>
              <w:t xml:space="preserve">-</w:t>
            </w:r>
          </w:p>
        </w:tc>
        <w:tc>
          <w:tcPr>
            <w:tcW w:w="1780" w:type="dxa"/>
            <w:vAlign w:val="bottom"/>
          </w:tcPr>
          <w:p>
            <w:pPr>
              <w:pStyle w:val="0"/>
              <w:jc w:val="center"/>
            </w:pPr>
            <w:r>
              <w:rPr>
                <w:sz w:val="20"/>
              </w:rPr>
              <w:t xml:space="preserve">+</w:t>
            </w:r>
          </w:p>
        </w:tc>
        <w:tc>
          <w:tcPr>
            <w:tcW w:w="1780" w:type="dxa"/>
            <w:vAlign w:val="bottom"/>
          </w:tcPr>
          <w:p>
            <w:pPr>
              <w:pStyle w:val="0"/>
              <w:jc w:val="center"/>
            </w:pPr>
            <w:r>
              <w:rPr>
                <w:sz w:val="20"/>
              </w:rPr>
              <w:t xml:space="preserve">-</w:t>
            </w:r>
          </w:p>
        </w:tc>
        <w:tc>
          <w:tcPr>
            <w:tcW w:w="1420" w:type="dxa"/>
            <w:vAlign w:val="bottom"/>
          </w:tcPr>
          <w:p>
            <w:pPr>
              <w:pStyle w:val="0"/>
              <w:jc w:val="center"/>
            </w:pPr>
            <w:r>
              <w:rPr>
                <w:sz w:val="20"/>
              </w:rPr>
              <w:t xml:space="preserve">+</w:t>
            </w:r>
          </w:p>
        </w:tc>
      </w:tr>
      <w:tr>
        <w:tc>
          <w:tcPr>
            <w:tcW w:w="2560" w:type="dxa"/>
          </w:tcPr>
          <w:p>
            <w:pPr>
              <w:pStyle w:val="0"/>
            </w:pPr>
            <w:r>
              <w:rPr>
                <w:sz w:val="20"/>
              </w:rPr>
              <w:t xml:space="preserve">Коэффициент дымообразования</w:t>
            </w:r>
          </w:p>
        </w:tc>
        <w:tc>
          <w:tcPr>
            <w:tcW w:w="1276" w:type="dxa"/>
            <w:vAlign w:val="bottom"/>
          </w:tcPr>
          <w:p>
            <w:pPr>
              <w:pStyle w:val="0"/>
              <w:jc w:val="center"/>
            </w:pPr>
            <w:r>
              <w:rPr>
                <w:sz w:val="20"/>
              </w:rPr>
              <w:t xml:space="preserve">+</w:t>
            </w:r>
          </w:p>
        </w:tc>
        <w:tc>
          <w:tcPr>
            <w:tcW w:w="2260" w:type="dxa"/>
            <w:vAlign w:val="bottom"/>
          </w:tcPr>
          <w:p>
            <w:pPr>
              <w:pStyle w:val="0"/>
              <w:jc w:val="center"/>
            </w:pPr>
            <w:r>
              <w:rPr>
                <w:sz w:val="20"/>
              </w:rPr>
              <w:t xml:space="preserve">-</w:t>
            </w:r>
          </w:p>
        </w:tc>
        <w:tc>
          <w:tcPr>
            <w:tcW w:w="1780" w:type="dxa"/>
            <w:vAlign w:val="bottom"/>
          </w:tcPr>
          <w:p>
            <w:pPr>
              <w:pStyle w:val="0"/>
              <w:jc w:val="center"/>
            </w:pPr>
            <w:r>
              <w:rPr>
                <w:sz w:val="20"/>
              </w:rPr>
              <w:t xml:space="preserve">+</w:t>
            </w:r>
          </w:p>
        </w:tc>
        <w:tc>
          <w:tcPr>
            <w:tcW w:w="1780" w:type="dxa"/>
            <w:vAlign w:val="bottom"/>
          </w:tcPr>
          <w:p>
            <w:pPr>
              <w:pStyle w:val="0"/>
              <w:jc w:val="center"/>
            </w:pPr>
            <w:r>
              <w:rPr>
                <w:sz w:val="20"/>
              </w:rPr>
              <w:t xml:space="preserve">-</w:t>
            </w:r>
          </w:p>
        </w:tc>
        <w:tc>
          <w:tcPr>
            <w:tcW w:w="1420" w:type="dxa"/>
            <w:vAlign w:val="bottom"/>
          </w:tcPr>
          <w:p>
            <w:pPr>
              <w:pStyle w:val="0"/>
              <w:jc w:val="center"/>
            </w:pPr>
            <w:r>
              <w:rPr>
                <w:sz w:val="20"/>
              </w:rPr>
              <w:t xml:space="preserve">+</w:t>
            </w:r>
          </w:p>
        </w:tc>
      </w:tr>
    </w:tbl>
    <w:p>
      <w:pPr>
        <w:pStyle w:val="0"/>
        <w:ind w:firstLine="540"/>
        <w:jc w:val="both"/>
      </w:pPr>
      <w:r>
        <w:rPr>
          <w:sz w:val="20"/>
        </w:rPr>
      </w:r>
    </w:p>
    <w:p>
      <w:pPr>
        <w:pStyle w:val="0"/>
        <w:ind w:firstLine="540"/>
        <w:jc w:val="both"/>
      </w:pPr>
      <w:r>
        <w:rPr>
          <w:sz w:val="20"/>
        </w:rPr>
        <w:t xml:space="preserve">Примечания: 1. Знак "+" обозначает, что показатель необходимо применять.</w:t>
      </w:r>
    </w:p>
    <w:p>
      <w:pPr>
        <w:pStyle w:val="0"/>
        <w:spacing w:before="200" w:line-rule="auto"/>
        <w:ind w:firstLine="540"/>
        <w:jc w:val="both"/>
      </w:pPr>
      <w:r>
        <w:rPr>
          <w:sz w:val="20"/>
        </w:rPr>
        <w:t xml:space="preserve">2. Знак "-" обозначает, что показатель не применяется.</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39"/>
      <w:headerReference w:type="first" r:id="rId539"/>
      <w:footerReference w:type="default" r:id="rId540"/>
      <w:footerReference w:type="first" r:id="rId540"/>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22.07.2008 N 123-ФЗ</w:t>
            <w:br/>
            <w:t>(ред. от 14.07.2022)</w:t>
            <w:br/>
            <w:t>"Технический регламент о требованиях пожарной безопасности...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13.12.2022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Федеральный закон от 22.07.2008 N 123-ФЗ</w:t>
            <w:br/>
            <w:t>(ред. от 14.07.2022)</w:t>
            <w:br/>
            <w:t>"Технический регламент о требованиях пожарной безопасности...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7228F6341DEEDDADB61BDCBF15E792DBC440ABBBBE14040855EC3276C25A109AAE28A0670DB5542BFD022DD81D215158C2562530556AA0EAWEZ3I" TargetMode = "External"/>
	<Relationship Id="rId8" Type="http://schemas.openxmlformats.org/officeDocument/2006/relationships/hyperlink" Target="consultantplus://offline/ref=7228F6341DEEDDADB61BDCBF15E792DBC34AA1BEB217040855EC3276C25A109AAE28A0670DB45323F4022DD81D215158C2562530556AA0EAWEZ3I" TargetMode = "External"/>
	<Relationship Id="rId9" Type="http://schemas.openxmlformats.org/officeDocument/2006/relationships/hyperlink" Target="consultantplus://offline/ref=7228F6341DEEDDADB61BDCBF15E792DBC342A8BCBF17040855EC3276C25A109AAE28A0670DB55423F3022DD81D215158C2562530556AA0EAWEZ3I" TargetMode = "External"/>
	<Relationship Id="rId10" Type="http://schemas.openxmlformats.org/officeDocument/2006/relationships/hyperlink" Target="consultantplus://offline/ref=7228F6341DEEDDADB61BDCBF15E792DBC14BA8BCB111040855EC3276C25A109AAE28A0670DB55429FC022DD81D215158C2562530556AA0EAWEZ3I" TargetMode = "External"/>
	<Relationship Id="rId11" Type="http://schemas.openxmlformats.org/officeDocument/2006/relationships/hyperlink" Target="consultantplus://offline/ref=7228F6341DEEDDADB61BDCBF15E792DBC242A9BDB215040855EC3276C25A109AAE28A0670DB5542BFC022DD81D215158C2562530556AA0EAWEZ3I" TargetMode = "External"/>
	<Relationship Id="rId12" Type="http://schemas.openxmlformats.org/officeDocument/2006/relationships/hyperlink" Target="consultantplus://offline/ref=7228F6341DEEDDADB61BDCBF15E792DBC440ABBBBE17040855EC3276C25A109AAE28A0670DB5542BFD022DD81D215158C2562530556AA0EAWEZ3I" TargetMode = "External"/>
	<Relationship Id="rId13" Type="http://schemas.openxmlformats.org/officeDocument/2006/relationships/hyperlink" Target="consultantplus://offline/ref=7228F6341DEEDDADB61BDCBF15E792DBC343ADBDB114040855EC3276C25A109AAE28A0670DB5562CF3022DD81D215158C2562530556AA0EAWEZ3I" TargetMode = "External"/>
	<Relationship Id="rId14" Type="http://schemas.openxmlformats.org/officeDocument/2006/relationships/hyperlink" Target="consultantplus://offline/ref=7228F6341DEEDDADB61BDCBF15E792DBC34AAAB8B214040855EC3276C25A109AAE28A0670DB55428FD022DD81D215158C2562530556AA0EAWEZ3I" TargetMode = "External"/>
	<Relationship Id="rId15" Type="http://schemas.openxmlformats.org/officeDocument/2006/relationships/hyperlink" Target="consultantplus://offline/ref=7228F6341DEEDDADB61BDCBF15E792DBC440A8B3B41A040855EC3276C25A109AAE28A0670DB5542BFD022DD81D215158C2562530556AA0EAWEZ3I" TargetMode = "External"/>
	<Relationship Id="rId16" Type="http://schemas.openxmlformats.org/officeDocument/2006/relationships/hyperlink" Target="consultantplus://offline/ref=7228F6341DEEDDADB61BDCBF15E792DBC34AA1BAB71B040855EC3276C25A109AAE28A0670DB55128FD022DD81D215158C2562530556AA0EAWEZ3I" TargetMode = "External"/>
	<Relationship Id="rId17" Type="http://schemas.openxmlformats.org/officeDocument/2006/relationships/hyperlink" Target="consultantplus://offline/ref=7228F6341DEEDDADB61BDCBF15E792DBC34AA1BAB71B040855EC3276C25A109ABC28F86B0CB64A2AF6177B895BW7Z6I" TargetMode = "External"/>
	<Relationship Id="rId18" Type="http://schemas.openxmlformats.org/officeDocument/2006/relationships/hyperlink" Target="consultantplus://offline/ref=7228F6341DEEDDADB61BDCBF15E792DBC440ABBBBE14040855EC3276C25A109AAE28A0670DB5542AF5022DD81D215158C2562530556AA0EAWEZ3I" TargetMode = "External"/>
	<Relationship Id="rId19" Type="http://schemas.openxmlformats.org/officeDocument/2006/relationships/hyperlink" Target="consultantplus://offline/ref=7228F6341DEEDDADB61BDCBF15E792DBC440ABBBBE17040855EC3276C25A109AAE28A0670DB5542AF5022DD81D215158C2562530556AA0EAWEZ3I" TargetMode = "External"/>
	<Relationship Id="rId20" Type="http://schemas.openxmlformats.org/officeDocument/2006/relationships/hyperlink" Target="consultantplus://offline/ref=7228F6341DEEDDADB61BDCBF15E792DBC440A8B3B41A040855EC3276C25A109AAE28A0670DB5542AF5022DD81D215158C2562530556AA0EAWEZ3I" TargetMode = "External"/>
	<Relationship Id="rId21" Type="http://schemas.openxmlformats.org/officeDocument/2006/relationships/hyperlink" Target="consultantplus://offline/ref=7228F6341DEEDDADB61BDCBF15E792DBC34AA1BAB71B040855EC3276C25A109ABC28F86B0CB64A2AF6177B895BW7Z6I" TargetMode = "External"/>
	<Relationship Id="rId22" Type="http://schemas.openxmlformats.org/officeDocument/2006/relationships/hyperlink" Target="consultantplus://offline/ref=7228F6341DEEDDADB61BDCBF15E792DBC440ABBBBE14040855EC3276C25A109AAE28A0670DB5542AF6022DD81D215158C2562530556AA0EAWEZ3I" TargetMode = "External"/>
	<Relationship Id="rId23" Type="http://schemas.openxmlformats.org/officeDocument/2006/relationships/hyperlink" Target="consultantplus://offline/ref=7228F6341DEEDDADB61BDCBF15E792DBC440ABBBBE14040855EC3276C25A109AAE28A0670DB5542AF7022DD81D215158C2562530556AA0EAWEZ3I" TargetMode = "External"/>
	<Relationship Id="rId24" Type="http://schemas.openxmlformats.org/officeDocument/2006/relationships/hyperlink" Target="consultantplus://offline/ref=7228F6341DEEDDADB61BDCBF15E792DBC440ABBBBE14040855EC3276C25A109AAE28A0670DB5542AF0022DD81D215158C2562530556AA0EAWEZ3I" TargetMode = "External"/>
	<Relationship Id="rId25" Type="http://schemas.openxmlformats.org/officeDocument/2006/relationships/hyperlink" Target="consultantplus://offline/ref=7228F6341DEEDDADB61BDCBF15E792DBC343A8BFB31B040855EC3276C25A109AAE28A0670DB5542AF6022DD81D215158C2562530556AA0EAWEZ3I" TargetMode = "External"/>
	<Relationship Id="rId26" Type="http://schemas.openxmlformats.org/officeDocument/2006/relationships/hyperlink" Target="consultantplus://offline/ref=7228F6341DEEDDADB61BDCBF15E792DBC440ABBBBE17040855EC3276C25A109AAE28A0670DB5542AF6022DD81D215158C2562530556AA0EAWEZ3I" TargetMode = "External"/>
	<Relationship Id="rId27" Type="http://schemas.openxmlformats.org/officeDocument/2006/relationships/hyperlink" Target="consultantplus://offline/ref=7228F6341DEEDDADB61BDCBF15E792DBC240A9B3B413040855EC3276C25A109AAE28A0670DB5542AF1022DD81D215158C2562530556AA0EAWEZ3I" TargetMode = "External"/>
	<Relationship Id="rId28" Type="http://schemas.openxmlformats.org/officeDocument/2006/relationships/hyperlink" Target="consultantplus://offline/ref=7228F6341DEEDDADB61BDCBF15E792DBC440A8B3B41A040855EC3276C25A109AAE28A0670DB5542AF6022DD81D215158C2562530556AA0EAWEZ3I" TargetMode = "External"/>
	<Relationship Id="rId29" Type="http://schemas.openxmlformats.org/officeDocument/2006/relationships/hyperlink" Target="consultantplus://offline/ref=7228F6341DEEDDADB61BDCBF15E792DBC34AA1BAB71B040855EC3276C25A109AAE28A0670DB5542AF3022DD81D215158C2562530556AA0EAWEZ3I" TargetMode = "External"/>
	<Relationship Id="rId30" Type="http://schemas.openxmlformats.org/officeDocument/2006/relationships/hyperlink" Target="consultantplus://offline/ref=7228F6341DEEDDADB61BDCBF15E792DBC440ABB8B614040855EC3276C25A109AAE28A0670DB5542AF4022DD81D215158C2562530556AA0EAWEZ3I" TargetMode = "External"/>
	<Relationship Id="rId31" Type="http://schemas.openxmlformats.org/officeDocument/2006/relationships/hyperlink" Target="consultantplus://offline/ref=7228F6341DEEDDADB61BDCBF15E792DBC440ABBBBE14040855EC3276C25A109AAE28A0670DB5542AF2022DD81D215158C2562530556AA0EAWEZ3I" TargetMode = "External"/>
	<Relationship Id="rId32" Type="http://schemas.openxmlformats.org/officeDocument/2006/relationships/hyperlink" Target="consultantplus://offline/ref=7228F6341DEEDDADB61BDCBF15E792DBC440A8B3B41A040855EC3276C25A109AAE28A0670DB5542AF1022DD81D215158C2562530556AA0EAWEZ3I" TargetMode = "External"/>
	<Relationship Id="rId33" Type="http://schemas.openxmlformats.org/officeDocument/2006/relationships/hyperlink" Target="consultantplus://offline/ref=7228F6341DEEDDADB61BDCBF15E792DBC440ABBBBE14040855EC3276C25A109AAE28A0670DB5542AF3022DD81D215158C2562530556AA0EAWEZ3I" TargetMode = "External"/>
	<Relationship Id="rId34" Type="http://schemas.openxmlformats.org/officeDocument/2006/relationships/hyperlink" Target="consultantplus://offline/ref=7228F6341DEEDDADB61BDCBF15E792DBC440A8B3B41A040855EC3276C25A109AAE28A0670DB5542AF3022DD81D215158C2562530556AA0EAWEZ3I" TargetMode = "External"/>
	<Relationship Id="rId35" Type="http://schemas.openxmlformats.org/officeDocument/2006/relationships/hyperlink" Target="consultantplus://offline/ref=7228F6341DEEDDADB61BDCBF15E792DBC440ABBBBE14040855EC3276C25A109AAE28A0670DB5542AFC022DD81D215158C2562530556AA0EAWEZ3I" TargetMode = "External"/>
	<Relationship Id="rId36" Type="http://schemas.openxmlformats.org/officeDocument/2006/relationships/hyperlink" Target="consultantplus://offline/ref=7228F6341DEEDDADB61BDCBF15E792DBC347A9BDB012040855EC3276C25A109AAE28A0670DB55629FD022DD81D215158C2562530556AA0EAWEZ3I" TargetMode = "External"/>
	<Relationship Id="rId37" Type="http://schemas.openxmlformats.org/officeDocument/2006/relationships/hyperlink" Target="consultantplus://offline/ref=7228F6341DEEDDADB61BDCBF15E792DBC440ABBBBE14040855EC3276C25A109AAE28A0670DB5542AFD022DD81D215158C2562530556AA0EAWEZ3I" TargetMode = "External"/>
	<Relationship Id="rId38" Type="http://schemas.openxmlformats.org/officeDocument/2006/relationships/hyperlink" Target="consultantplus://offline/ref=7228F6341DEEDDADB61BDCBF15E792DBC440ABBBBE14040855EC3276C25A109AAE28A0670DB55429F4022DD81D215158C2562530556AA0EAWEZ3I" TargetMode = "External"/>
	<Relationship Id="rId39" Type="http://schemas.openxmlformats.org/officeDocument/2006/relationships/hyperlink" Target="consultantplus://offline/ref=7228F6341DEEDDADB61BDCBF15E792DBC440ABBBBE14040855EC3276C25A109AAE28A0670DB55429F5022DD81D215158C2562530556AA0EAWEZ3I" TargetMode = "External"/>
	<Relationship Id="rId40" Type="http://schemas.openxmlformats.org/officeDocument/2006/relationships/hyperlink" Target="consultantplus://offline/ref=7228F6341DEEDDADB61BDCBF15E792DBC440ABBBBE14040855EC3276C25A109AAE28A0670DB55429F6022DD81D215158C2562530556AA0EAWEZ3I" TargetMode = "External"/>
	<Relationship Id="rId41" Type="http://schemas.openxmlformats.org/officeDocument/2006/relationships/hyperlink" Target="consultantplus://offline/ref=7228F6341DEEDDADB61BDCBF15E792DBC440A8B3B41A040855EC3276C25A109AAE28A0670DB5542AFC022DD81D215158C2562530556AA0EAWEZ3I" TargetMode = "External"/>
	<Relationship Id="rId42" Type="http://schemas.openxmlformats.org/officeDocument/2006/relationships/hyperlink" Target="consultantplus://offline/ref=7228F6341DEEDDADB61BDCBF15E792DBC440A8B3B41A040855EC3276C25A109AAE28A0670DB5542AFD022DD81D215158C2562530556AA0EAWEZ3I" TargetMode = "External"/>
	<Relationship Id="rId43" Type="http://schemas.openxmlformats.org/officeDocument/2006/relationships/hyperlink" Target="consultantplus://offline/ref=7228F6341DEEDDADB61BDCBF15E792DBC440ABBBBE17040855EC3276C25A109AAE28A0670DB5542AF0022DD81D215158C2562530556AA0EAWEZ3I" TargetMode = "External"/>
	<Relationship Id="rId44" Type="http://schemas.openxmlformats.org/officeDocument/2006/relationships/hyperlink" Target="consultantplus://offline/ref=7228F6341DEEDDADB61BDCBF15E792DBC440A8B3B41A040855EC3276C25A109AAE28A0670DB55429F4022DD81D215158C2562530556AA0EAWEZ3I" TargetMode = "External"/>
	<Relationship Id="rId45" Type="http://schemas.openxmlformats.org/officeDocument/2006/relationships/hyperlink" Target="consultantplus://offline/ref=7228F6341DEEDDADB61BDCBF15E792DBC440A8B3B41A040855EC3276C25A109AAE28A0670DB55429F5022DD81D215158C2562530556AA0EAWEZ3I" TargetMode = "External"/>
	<Relationship Id="rId46" Type="http://schemas.openxmlformats.org/officeDocument/2006/relationships/hyperlink" Target="consultantplus://offline/ref=7228F6341DEEDDADB61BDCBF15E792DBC440A8B3B41A040855EC3276C25A109AAE28A0670DB55429F5022DD81D215158C2562530556AA0EAWEZ3I" TargetMode = "External"/>
	<Relationship Id="rId47" Type="http://schemas.openxmlformats.org/officeDocument/2006/relationships/hyperlink" Target="consultantplus://offline/ref=7228F6341DEEDDADB61BDCBF15E792DBC440A8B3B41A040855EC3276C25A109AAE28A0670DB55429F6022DD81D215158C2562530556AA0EAWEZ3I" TargetMode = "External"/>
	<Relationship Id="rId48" Type="http://schemas.openxmlformats.org/officeDocument/2006/relationships/hyperlink" Target="consultantplus://offline/ref=7228F6341DEEDDADB61BDCBF15E792DBC440A8B3B41A040855EC3276C25A109AAE28A0670DB55429F0022DD81D215158C2562530556AA0EAWEZ3I" TargetMode = "External"/>
	<Relationship Id="rId49" Type="http://schemas.openxmlformats.org/officeDocument/2006/relationships/hyperlink" Target="consultantplus://offline/ref=7228F6341DEEDDADB61BDCBF15E792DBC440ABBBBE14040855EC3276C25A109AAE28A0670DB55429F1022DD81D215158C2562530556AA0EAWEZ3I" TargetMode = "External"/>
	<Relationship Id="rId50" Type="http://schemas.openxmlformats.org/officeDocument/2006/relationships/hyperlink" Target="consultantplus://offline/ref=7228F6341DEEDDADB61BDCBF15E792DBC440ABBBBE14040855EC3276C25A109AAE28A0670DB55429F2022DD81D215158C2562530556AA0EAWEZ3I" TargetMode = "External"/>
	<Relationship Id="rId51" Type="http://schemas.openxmlformats.org/officeDocument/2006/relationships/hyperlink" Target="consultantplus://offline/ref=7228F6341DEEDDADB61BDCBF15E792DBC440A8B3B41A040855EC3276C25A109AAE28A0670DB55429F1022DD81D215158C2562530556AA0EAWEZ3I" TargetMode = "External"/>
	<Relationship Id="rId52" Type="http://schemas.openxmlformats.org/officeDocument/2006/relationships/hyperlink" Target="consultantplus://offline/ref=7228F6341DEEDDADB61BDCBF15E792DBC440A8B3B41A040855EC3276C25A109AAE28A0670DB55429F2022DD81D215158C2562530556AA0EAWEZ3I" TargetMode = "External"/>
	<Relationship Id="rId53" Type="http://schemas.openxmlformats.org/officeDocument/2006/relationships/hyperlink" Target="consultantplus://offline/ref=7228F6341DEEDDADB61BDCBF15E792DBC440ABBBBE14040855EC3276C25A109AAE28A0670DB55429F3022DD81D215158C2562530556AA0EAWEZ3I" TargetMode = "External"/>
	<Relationship Id="rId54" Type="http://schemas.openxmlformats.org/officeDocument/2006/relationships/hyperlink" Target="consultantplus://offline/ref=7228F6341DEEDDADB61BDCBF15E792DBC440ABBBBE14040855EC3276C25A109AAE28A0670DB55429FC022DD81D215158C2562530556AA0EAWEZ3I" TargetMode = "External"/>
	<Relationship Id="rId55" Type="http://schemas.openxmlformats.org/officeDocument/2006/relationships/hyperlink" Target="consultantplus://offline/ref=7228F6341DEEDDADB61BDCBF15E792DBC440ABBBBE14040855EC3276C25A109AAE28A0670DB55429FD022DD81D215158C2562530556AA0EAWEZ3I" TargetMode = "External"/>
	<Relationship Id="rId56" Type="http://schemas.openxmlformats.org/officeDocument/2006/relationships/hyperlink" Target="consultantplus://offline/ref=7228F6341DEEDDADB61BDCBF15E792DBC440A8B3B41A040855EC3276C25A109AAE28A0670DB55429F2022DD81D215158C2562530556AA0EAWEZ3I" TargetMode = "External"/>
	<Relationship Id="rId57" Type="http://schemas.openxmlformats.org/officeDocument/2006/relationships/hyperlink" Target="consultantplus://offline/ref=7228F6341DEEDDADB61BDCBF15E792DBC440A8B3B41A040855EC3276C25A109AAE28A0670DB55429F3022DD81D215158C2562530556AA0EAWEZ3I" TargetMode = "External"/>
	<Relationship Id="rId58" Type="http://schemas.openxmlformats.org/officeDocument/2006/relationships/hyperlink" Target="consultantplus://offline/ref=7228F6341DEEDDADB61BDCBF15E792DBC440A8B3B41A040855EC3276C25A109AAE28A0670DB55429FD022DD81D215158C2562530556AA0EAWEZ3I" TargetMode = "External"/>
	<Relationship Id="rId59" Type="http://schemas.openxmlformats.org/officeDocument/2006/relationships/hyperlink" Target="consultantplus://offline/ref=7228F6341DEEDDADB61BDCBF15E792DBC24AAEBEBC44530A04B93C73CA0A4A8AB861AC6513B45635F6097BW8ZBI" TargetMode = "External"/>
	<Relationship Id="rId60" Type="http://schemas.openxmlformats.org/officeDocument/2006/relationships/hyperlink" Target="consultantplus://offline/ref=7228F6341DEEDDADB61BDCBF15E792DBC34AA1BAB71B040855EC3276C25A109ABC28F86B0CB64A2AF6177B895BW7Z6I" TargetMode = "External"/>
	<Relationship Id="rId61" Type="http://schemas.openxmlformats.org/officeDocument/2006/relationships/hyperlink" Target="consultantplus://offline/ref=7228F6341DEEDDADB61BDCBF15E792DBC440ABB8B614040855EC3276C25A109AAE28A06709BD5F7FA54D2C8458774258C356263249W6ZAI" TargetMode = "External"/>
	<Relationship Id="rId62" Type="http://schemas.openxmlformats.org/officeDocument/2006/relationships/hyperlink" Target="consultantplus://offline/ref=7228F6341DEEDDADB61BDCBF15E792DBC34AA1BAB71B040855EC3276C25A109ABC28F86B0CB64A2AF6177B895BW7Z6I" TargetMode = "External"/>
	<Relationship Id="rId63" Type="http://schemas.openxmlformats.org/officeDocument/2006/relationships/hyperlink" Target="consultantplus://offline/ref=7228F6341DEEDDADB61BDCBF15E792DBC440ABBBBE14040855EC3276C25A109AAE28A0670DB55428F5022DD81D215158C2562530556AA0EAWEZ3I" TargetMode = "External"/>
	<Relationship Id="rId64" Type="http://schemas.openxmlformats.org/officeDocument/2006/relationships/hyperlink" Target="consultantplus://offline/ref=7228F6341DEEDDADB61BDCBF15E792DBC440A8B3B41A040855EC3276C25A109AAE28A0670DB55428F5022DD81D215158C2562530556AA0EAWEZ3I" TargetMode = "External"/>
	<Relationship Id="rId65" Type="http://schemas.openxmlformats.org/officeDocument/2006/relationships/hyperlink" Target="consultantplus://offline/ref=7228F6341DEEDDADB61BDCBF15E792DBC440ABBBBE14040855EC3276C25A109AAE28A0670DB55428F7022DD81D215158C2562530556AA0EAWEZ3I" TargetMode = "External"/>
	<Relationship Id="rId66" Type="http://schemas.openxmlformats.org/officeDocument/2006/relationships/hyperlink" Target="consultantplus://offline/ref=7228F6341DEEDDADB61BDCBF15E792DBC242A9BDB215040855EC3276C25A109AAE28A0670DB5542BFC022DD81D215158C2562530556AA0EAWEZ3I" TargetMode = "External"/>
	<Relationship Id="rId67" Type="http://schemas.openxmlformats.org/officeDocument/2006/relationships/hyperlink" Target="consultantplus://offline/ref=7228F6341DEEDDADB61BDCBF15E792DBC441ABB3B115040855EC3276C25A109AAE28A0670DB5542AF7022DD81D215158C2562530556AA0EAWEZ3I" TargetMode = "External"/>
	<Relationship Id="rId68" Type="http://schemas.openxmlformats.org/officeDocument/2006/relationships/hyperlink" Target="consultantplus://offline/ref=7228F6341DEEDDADB61BDCBF15E792DBC440A8B3B41A040855EC3276C25A109AAE28A0670DB55428F2022DD81D215158C2562530556AA0EAWEZ3I" TargetMode = "External"/>
	<Relationship Id="rId69" Type="http://schemas.openxmlformats.org/officeDocument/2006/relationships/hyperlink" Target="consultantplus://offline/ref=7228F6341DEEDDADB61BDCBF15E792DBC440ABBBBE14040855EC3276C25A109AAE28A0670DB5542FF4022DD81D215158C2562530556AA0EAWEZ3I" TargetMode = "External"/>
	<Relationship Id="rId70" Type="http://schemas.openxmlformats.org/officeDocument/2006/relationships/hyperlink" Target="consultantplus://offline/ref=7228F6341DEEDDADB61BDCBF15E792DBC34AA1BAB71B040855EC3276C25A109ABC28F86B0CB64A2AF6177B895BW7Z6I" TargetMode = "External"/>
	<Relationship Id="rId71" Type="http://schemas.openxmlformats.org/officeDocument/2006/relationships/hyperlink" Target="consultantplus://offline/ref=7228F6341DEEDDADB61BDCBF15E792DBC440ABBBBE14040855EC3276C25A109AAE28A0670DB5542FF5022DD81D215158C2562530556AA0EAWEZ3I" TargetMode = "External"/>
	<Relationship Id="rId72" Type="http://schemas.openxmlformats.org/officeDocument/2006/relationships/hyperlink" Target="consultantplus://offline/ref=7228F6341DEEDDADB61BDCBF15E792DBC440A8B3B41A040855EC3276C25A109AAE28A0670DB5542FF7022DD81D215158C2562530556AA0EAWEZ3I" TargetMode = "External"/>
	<Relationship Id="rId73" Type="http://schemas.openxmlformats.org/officeDocument/2006/relationships/hyperlink" Target="consultantplus://offline/ref=7228F6341DEEDDADB61BDCBF15E792DBC440A8B3B41A040855EC3276C25A109AAE28A0670DB5542FF0022DD81D215158C2562530556AA0EAWEZ3I" TargetMode = "External"/>
	<Relationship Id="rId74" Type="http://schemas.openxmlformats.org/officeDocument/2006/relationships/hyperlink" Target="consultantplus://offline/ref=7228F6341DEEDDADB61BDCBF15E792DBC347A9BDB012040855EC3276C25A109AAE28A0670DB55629FD022DD81D215158C2562530556AA0EAWEZ3I" TargetMode = "External"/>
	<Relationship Id="rId75" Type="http://schemas.openxmlformats.org/officeDocument/2006/relationships/hyperlink" Target="consultantplus://offline/ref=7228F6341DEEDDADB61BDCBF15E792DBC440A8B3B41A040855EC3276C25A109AAE28A0670DB5542FF2022DD81D215158C2562530556AA0EAWEZ3I" TargetMode = "External"/>
	<Relationship Id="rId76" Type="http://schemas.openxmlformats.org/officeDocument/2006/relationships/hyperlink" Target="consultantplus://offline/ref=7228F6341DEEDDADB61BDCBF15E792DBC440ABBBBE17040855EC3276C25A109AAE28A0670DB5542AF2022DD81D215158C2562530556AA0EAWEZ3I" TargetMode = "External"/>
	<Relationship Id="rId77" Type="http://schemas.openxmlformats.org/officeDocument/2006/relationships/hyperlink" Target="consultantplus://offline/ref=7228F6341DEEDDADB61BDCBF15E792DBC440A8B3B41A040855EC3276C25A109AAE28A0670DB5542FFC022DD81D215158C2562530556AA0EAWEZ3I" TargetMode = "External"/>
	<Relationship Id="rId78" Type="http://schemas.openxmlformats.org/officeDocument/2006/relationships/hyperlink" Target="consultantplus://offline/ref=7228F6341DEEDDADB61BDCBF15E792DBC440A8B3B41A040855EC3276C25A109AAE28A0670DB5542FFC022DD81D215158C2562530556AA0EAWEZ3I" TargetMode = "External"/>
	<Relationship Id="rId79" Type="http://schemas.openxmlformats.org/officeDocument/2006/relationships/hyperlink" Target="consultantplus://offline/ref=7228F6341DEEDDADB61BDCBF15E792DBC440A8B3B41A040855EC3276C25A109AAE28A0670DB5542FFD022DD81D215158C2562530556AA0EAWEZ3I" TargetMode = "External"/>
	<Relationship Id="rId80" Type="http://schemas.openxmlformats.org/officeDocument/2006/relationships/hyperlink" Target="consultantplus://offline/ref=7228F6341DEEDDADB61BDCBF15E792DBC440ABBBBE14040855EC3276C25A109AAE28A0670DB5542FF1022DD81D215158C2562530556AA0EAWEZ3I" TargetMode = "External"/>
	<Relationship Id="rId81" Type="http://schemas.openxmlformats.org/officeDocument/2006/relationships/hyperlink" Target="consultantplus://offline/ref=7228F6341DEEDDADB61BDCBF15E792DBC440ABBBBE14040855EC3276C25A109AAE28A0670DB5542FF2022DD81D215158C2562530556AA0EAWEZ3I" TargetMode = "External"/>
	<Relationship Id="rId82" Type="http://schemas.openxmlformats.org/officeDocument/2006/relationships/hyperlink" Target="consultantplus://offline/ref=7228F6341DEEDDADB61BDCBF15E792DBC440A8B3B41A040855EC3276C25A109AAE28A0670DB5542EF5022DD81D215158C2562530556AA0EAWEZ3I" TargetMode = "External"/>
	<Relationship Id="rId83" Type="http://schemas.openxmlformats.org/officeDocument/2006/relationships/hyperlink" Target="consultantplus://offline/ref=7228F6341DEEDDADB61BDCBF15E792DBC443ACB2B311040855EC3276C25A109AAE28A0670DB5502CF7022DD81D215158C2562530556AA0EAWEZ3I" TargetMode = "External"/>
	<Relationship Id="rId84" Type="http://schemas.openxmlformats.org/officeDocument/2006/relationships/hyperlink" Target="consultantplus://offline/ref=7228F6341DEEDDADB61BDCBF15E792DBC440A8B3B41A040855EC3276C25A109AAE28A0670DB5542EF7022DD81D215158C2562530556AA0EAWEZ3I" TargetMode = "External"/>
	<Relationship Id="rId85" Type="http://schemas.openxmlformats.org/officeDocument/2006/relationships/hyperlink" Target="consultantplus://offline/ref=7228F6341DEEDDADB61BDCBF15E792DBC440A8B3B41A040855EC3276C25A109AAE28A0670DB5542EF0022DD81D215158C2562530556AA0EAWEZ3I" TargetMode = "External"/>
	<Relationship Id="rId86" Type="http://schemas.openxmlformats.org/officeDocument/2006/relationships/hyperlink" Target="consultantplus://offline/ref=7228F6341DEEDDADB61BDCBF15E792DBC443ACB2B311040855EC3276C25A109AAE28A0670DB5502CF7022DD81D215158C2562530556AA0EAWEZ3I" TargetMode = "External"/>
	<Relationship Id="rId87" Type="http://schemas.openxmlformats.org/officeDocument/2006/relationships/hyperlink" Target="consultantplus://offline/ref=7228F6341DEEDDADB61BDCBF15E792DBC440A8B3B41A040855EC3276C25A109AAE28A0670DB5542EF2022DD81D215158C2562530556AA0EAWEZ3I" TargetMode = "External"/>
	<Relationship Id="rId88" Type="http://schemas.openxmlformats.org/officeDocument/2006/relationships/hyperlink" Target="consultantplus://offline/ref=7228F6341DEEDDADB61BDCBF15E792DBC440A8B3B41A040855EC3276C25A109AAE28A0670DB5542EF3022DD81D215158C2562530556AA0EAWEZ3I" TargetMode = "External"/>
	<Relationship Id="rId89" Type="http://schemas.openxmlformats.org/officeDocument/2006/relationships/hyperlink" Target="consultantplus://offline/ref=7228F6341DEEDDADB61BDCBF15E792DBC440A8B3B41A040855EC3276C25A109AAE28A0670DB5542EFC022DD81D215158C2562530556AA0EAWEZ3I" TargetMode = "External"/>
	<Relationship Id="rId90" Type="http://schemas.openxmlformats.org/officeDocument/2006/relationships/hyperlink" Target="consultantplus://offline/ref=7228F6341DEEDDADB61BDCBF15E792DBC440A8B3B41A040855EC3276C25A109AAE28A0670DB5542DF0022DD81D215158C2562530556AA0EAWEZ3I" TargetMode = "External"/>
	<Relationship Id="rId91" Type="http://schemas.openxmlformats.org/officeDocument/2006/relationships/hyperlink" Target="consultantplus://offline/ref=7228F6341DEEDDADB61BDCBF15E792DBC440A8B3B41A040855EC3276C25A109AAE28A0670DB5542DF2022DD81D215158C2562530556AA0EAWEZ3I" TargetMode = "External"/>
	<Relationship Id="rId92" Type="http://schemas.openxmlformats.org/officeDocument/2006/relationships/hyperlink" Target="consultantplus://offline/ref=7228F6341DEEDDADB61BDCBF15E792DBC440A8B3B41A040855EC3276C25A109AAE28A0670DB5542DFC022DD81D215158C2562530556AA0EAWEZ3I" TargetMode = "External"/>
	<Relationship Id="rId93" Type="http://schemas.openxmlformats.org/officeDocument/2006/relationships/hyperlink" Target="consultantplus://offline/ref=7228F6341DEEDDADB61BDCBF15E792DBC440A8B3B41A040855EC3276C25A109AAE28A0670DB5542DFD022DD81D215158C2562530556AA0EAWEZ3I" TargetMode = "External"/>
	<Relationship Id="rId94" Type="http://schemas.openxmlformats.org/officeDocument/2006/relationships/hyperlink" Target="consultantplus://offline/ref=7228F6341DEEDDADB61BDCBF15E792DBC440A8B3B41A040855EC3276C25A109AAE28A0670DB5542CF4022DD81D215158C2562530556AA0EAWEZ3I" TargetMode = "External"/>
	<Relationship Id="rId95" Type="http://schemas.openxmlformats.org/officeDocument/2006/relationships/hyperlink" Target="consultantplus://offline/ref=7228F6341DEEDDADB61BDCBF15E792DBC440A8B3B41A040855EC3276C25A109AAE28A0670DB5542CF6022DD81D215158C2562530556AA0EAWEZ3I" TargetMode = "External"/>
	<Relationship Id="rId96" Type="http://schemas.openxmlformats.org/officeDocument/2006/relationships/hyperlink" Target="consultantplus://offline/ref=7228F6341DEEDDADB61BDCBF15E792DBC440A8B3B41A040855EC3276C25A109AAE28A0670DB5542CF7022DD81D215158C2562530556AA0EAWEZ3I" TargetMode = "External"/>
	<Relationship Id="rId97" Type="http://schemas.openxmlformats.org/officeDocument/2006/relationships/hyperlink" Target="consultantplus://offline/ref=7228F6341DEEDDADB61BDCBF15E792DBC440A8B3B41A040855EC3276C25A109AAE28A0670DB5542CF0022DD81D215158C2562530556AA0EAWEZ3I" TargetMode = "External"/>
	<Relationship Id="rId98" Type="http://schemas.openxmlformats.org/officeDocument/2006/relationships/hyperlink" Target="consultantplus://offline/ref=7228F6341DEEDDADB61BDCBF15E792DBC440A8B3B41A040855EC3276C25A109AAE28A0670DB5542CF1022DD81D215158C2562530556AA0EAWEZ3I" TargetMode = "External"/>
	<Relationship Id="rId99" Type="http://schemas.openxmlformats.org/officeDocument/2006/relationships/hyperlink" Target="consultantplus://offline/ref=7228F6341DEEDDADB61BDCBF15E792DBC440A8B3B41A040855EC3276C25A109AAE28A0670DB55423F4022DD81D215158C2562530556AA0EAWEZ3I" TargetMode = "External"/>
	<Relationship Id="rId100" Type="http://schemas.openxmlformats.org/officeDocument/2006/relationships/hyperlink" Target="consultantplus://offline/ref=7228F6341DEEDDADB61BDCBF15E792DBC440A8B3B41A040855EC3276C25A109AAE28A0670DB55423F6022DD81D215158C2562530556AA0EAWEZ3I" TargetMode = "External"/>
	<Relationship Id="rId101" Type="http://schemas.openxmlformats.org/officeDocument/2006/relationships/hyperlink" Target="consultantplus://offline/ref=7228F6341DEEDDADB61BDCBF15E792DBC440A8B3B41A040855EC3276C25A109AAE28A0670DB55423F7022DD81D215158C2562530556AA0EAWEZ3I" TargetMode = "External"/>
	<Relationship Id="rId102" Type="http://schemas.openxmlformats.org/officeDocument/2006/relationships/hyperlink" Target="consultantplus://offline/ref=7228F6341DEEDDADB61BDCBF15E792DBC440A8B3B41A040855EC3276C25A109AAE28A0670DB55423F2022DD81D215158C2562530556AA0EAWEZ3I" TargetMode = "External"/>
	<Relationship Id="rId103" Type="http://schemas.openxmlformats.org/officeDocument/2006/relationships/hyperlink" Target="consultantplus://offline/ref=7228F6341DEEDDADB61BDCBF15E792DBC440A8B3B41A040855EC3276C25A109AAE28A0670DB55423F3022DD81D215158C2562530556AA0EAWEZ3I" TargetMode = "External"/>
	<Relationship Id="rId104" Type="http://schemas.openxmlformats.org/officeDocument/2006/relationships/hyperlink" Target="consultantplus://offline/ref=7228F6341DEEDDADB61BDCBF15E792DBC440A8B3B41A040855EC3276C25A109AAE28A0670DB55423FC022DD81D215158C2562530556AA0EAWEZ3I" TargetMode = "External"/>
	<Relationship Id="rId105" Type="http://schemas.openxmlformats.org/officeDocument/2006/relationships/hyperlink" Target="consultantplus://offline/ref=7228F6341DEEDDADB61BDCBF15E792DBC440A8B3B41A040855EC3276C25A109AAE28A0670DB55423FD022DD81D215158C2562530556AA0EAWEZ3I" TargetMode = "External"/>
	<Relationship Id="rId106" Type="http://schemas.openxmlformats.org/officeDocument/2006/relationships/hyperlink" Target="consultantplus://offline/ref=7228F6341DEEDDADB61BDCBF15E792DBC443ACB2B311040855EC3276C25A109AAE28A0670DB5502CFC022DD81D215158C2562530556AA0EAWEZ3I" TargetMode = "External"/>
	<Relationship Id="rId107" Type="http://schemas.openxmlformats.org/officeDocument/2006/relationships/hyperlink" Target="consultantplus://offline/ref=7228F6341DEEDDADB61BDCBF15E792DBC443ACB2B311040855EC3276C25A109AAE28A0670DB55023FD022DD81D215158C2562530556AA0EAWEZ3I" TargetMode = "External"/>
	<Relationship Id="rId108" Type="http://schemas.openxmlformats.org/officeDocument/2006/relationships/hyperlink" Target="consultantplus://offline/ref=7228F6341DEEDDADB61BDCBF15E792DBC440ABBBBE14040855EC3276C25A109AAE28A0670DB5542FF3022DD81D215158C2562530556AA0EAWEZ3I" TargetMode = "External"/>
	<Relationship Id="rId109" Type="http://schemas.openxmlformats.org/officeDocument/2006/relationships/hyperlink" Target="consultantplus://offline/ref=7228F6341DEEDDADB61BDCBF15E792DBC443ACB2B311040855EC3276C25A109AAE28A0670DB5512BF4022DD81D215158C2562530556AA0EAWEZ3I" TargetMode = "External"/>
	<Relationship Id="rId110" Type="http://schemas.openxmlformats.org/officeDocument/2006/relationships/hyperlink" Target="consultantplus://offline/ref=7228F6341DEEDDADB61BDCBF15E792DBC440ABBBBE14040855EC3276C25A109AAE28A0670DB5542FFD022DD81D215158C2562530556AA0EAWEZ3I" TargetMode = "External"/>
	<Relationship Id="rId111" Type="http://schemas.openxmlformats.org/officeDocument/2006/relationships/hyperlink" Target="consultantplus://offline/ref=7228F6341DEEDDADB61BDCBF15E792DBC440ABBBBE14040855EC3276C25A109AAE28A0670DB5542EF4022DD81D215158C2562530556AA0EAWEZ3I" TargetMode = "External"/>
	<Relationship Id="rId112" Type="http://schemas.openxmlformats.org/officeDocument/2006/relationships/hyperlink" Target="consultantplus://offline/ref=7228F6341DEEDDADB61BDCBF15E792DBC440ABBBBE14040855EC3276C25A109AAE28A0670DB5542EF5022DD81D215158C2562530556AA0EAWEZ3I" TargetMode = "External"/>
	<Relationship Id="rId113" Type="http://schemas.openxmlformats.org/officeDocument/2006/relationships/hyperlink" Target="consultantplus://offline/ref=7228F6341DEEDDADB61BDCBF15E792DBC440ABBBBE17040855EC3276C25A109AAE28A0670DB55429F6022DD81D215158C2562530556AA0EAWEZ3I" TargetMode = "External"/>
	<Relationship Id="rId114" Type="http://schemas.openxmlformats.org/officeDocument/2006/relationships/hyperlink" Target="consultantplus://offline/ref=7228F6341DEEDDADB61BDCBF15E792DBC443ACB2B311040855EC3276C25A109AAE28A0670DB55023FD022DD81D215158C2562530556AA0EAWEZ3I" TargetMode = "External"/>
	<Relationship Id="rId115" Type="http://schemas.openxmlformats.org/officeDocument/2006/relationships/hyperlink" Target="consultantplus://offline/ref=7228F6341DEEDDADB61BDCBF15E792DBC443ACB2B311040855EC3276C25A109AAE28A0670DB55023FD022DD81D215158C2562530556AA0EAWEZ3I" TargetMode = "External"/>
	<Relationship Id="rId116" Type="http://schemas.openxmlformats.org/officeDocument/2006/relationships/hyperlink" Target="consultantplus://offline/ref=7228F6341DEEDDADB61BDCBF15E792DBC443ACB2B311040855EC3276C25A109AAE28A0670DB5512BFC022DD81D215158C2562530556AA0EAWEZ3I" TargetMode = "External"/>
	<Relationship Id="rId117" Type="http://schemas.openxmlformats.org/officeDocument/2006/relationships/hyperlink" Target="consultantplus://offline/ref=7228F6341DEEDDADB61BDCBF15E792DBC142A0B2B410040855EC3276C25A109AAE28A0670DB5542BF0022DD81D215158C2562530556AA0EAWEZ3I" TargetMode = "External"/>
	<Relationship Id="rId118" Type="http://schemas.openxmlformats.org/officeDocument/2006/relationships/hyperlink" Target="consultantplus://offline/ref=7228F6341DEEDDADB61BDCBF15E792DBC440ABBBBE14040855EC3276C25A109AAE28A0670DB5542EF7022DD81D215158C2562530556AA0EAWEZ3I" TargetMode = "External"/>
	<Relationship Id="rId119" Type="http://schemas.openxmlformats.org/officeDocument/2006/relationships/hyperlink" Target="consultantplus://offline/ref=7228F6341DEEDDADB61BDCBF15E792DBC440ABBBBE14040855EC3276C25A109AAE28A0670DB5542EF1022DD81D215158C2562530556AA0EAWEZ3I" TargetMode = "External"/>
	<Relationship Id="rId120" Type="http://schemas.openxmlformats.org/officeDocument/2006/relationships/hyperlink" Target="consultantplus://offline/ref=7228F6341DEEDDADB61BDCBF15E792DBC440ABBBBE14040855EC3276C25A109AAE28A0670DB5542EF2022DD81D215158C2562530556AA0EAWEZ3I" TargetMode = "External"/>
	<Relationship Id="rId121" Type="http://schemas.openxmlformats.org/officeDocument/2006/relationships/hyperlink" Target="consultantplus://offline/ref=7228F6341DEEDDADB61BDCBF15E792DBC440ABBBBE14040855EC3276C25A109AAE28A0670DB5542EFC022DD81D215158C2562530556AA0EAWEZ3I" TargetMode = "External"/>
	<Relationship Id="rId122" Type="http://schemas.openxmlformats.org/officeDocument/2006/relationships/hyperlink" Target="consultantplus://offline/ref=7228F6341DEEDDADB61BDCBF15E792DBC440ABBBBE14040855EC3276C25A109AAE28A0670DB5542EFD022DD81D215158C2562530556AA0EAWEZ3I" TargetMode = "External"/>
	<Relationship Id="rId123" Type="http://schemas.openxmlformats.org/officeDocument/2006/relationships/hyperlink" Target="consultantplus://offline/ref=7228F6341DEEDDADB61BDCBF15E792DBC440ABBBBE14040855EC3276C25A109AAE28A0670DB5542DF4022DD81D215158C2562530556AA0EAWEZ3I" TargetMode = "External"/>
	<Relationship Id="rId124" Type="http://schemas.openxmlformats.org/officeDocument/2006/relationships/hyperlink" Target="consultantplus://offline/ref=7228F6341DEEDDADB61BDCBF15E792DBC440A8B3B41A040855EC3276C25A109AAE28A0670DB55422F5022DD81D215158C2562530556AA0EAWEZ3I" TargetMode = "External"/>
	<Relationship Id="rId125" Type="http://schemas.openxmlformats.org/officeDocument/2006/relationships/hyperlink" Target="consultantplus://offline/ref=7228F6341DEEDDADB61BDCBF15E792DBC440A8B3B41A040855EC3276C25A109AAE28A0670DB55422F6022DD81D215158C2562530556AA0EAWEZ3I" TargetMode = "External"/>
	<Relationship Id="rId126" Type="http://schemas.openxmlformats.org/officeDocument/2006/relationships/hyperlink" Target="consultantplus://offline/ref=7228F6341DEEDDADB61BDCBF15E792DBC440A8B3B41A040855EC3276C25A109AAE28A0670DB55422F7022DD81D215158C2562530556AA0EAWEZ3I" TargetMode = "External"/>
	<Relationship Id="rId127" Type="http://schemas.openxmlformats.org/officeDocument/2006/relationships/hyperlink" Target="consultantplus://offline/ref=7228F6341DEEDDADB61BDCBF15E792DBC440A8B3B41A040855EC3276C25A109AAE28A0670DB55422F0022DD81D215158C2562530556AA0EAWEZ3I" TargetMode = "External"/>
	<Relationship Id="rId128" Type="http://schemas.openxmlformats.org/officeDocument/2006/relationships/hyperlink" Target="consultantplus://offline/ref=7228F6341DEEDDADB61BDCBF15E792DBC440A8B3B41A040855EC3276C25A109AAE28A0670DB55422F1022DD81D215158C2562530556AA0EAWEZ3I" TargetMode = "External"/>
	<Relationship Id="rId129" Type="http://schemas.openxmlformats.org/officeDocument/2006/relationships/hyperlink" Target="consultantplus://offline/ref=7228F6341DEEDDADB61BDCBF15E792DBC440A8B3B41A040855EC3276C25A109AAE28A0670DB55422F2022DD81D215158C2562530556AA0EAWEZ3I" TargetMode = "External"/>
	<Relationship Id="rId130" Type="http://schemas.openxmlformats.org/officeDocument/2006/relationships/hyperlink" Target="consultantplus://offline/ref=7228F6341DEEDDADB61BDCBF15E792DBC440A8B3B41A040855EC3276C25A109AAE28A0670DB55422F3022DD81D215158C2562530556AA0EAWEZ3I" TargetMode = "External"/>
	<Relationship Id="rId131" Type="http://schemas.openxmlformats.org/officeDocument/2006/relationships/hyperlink" Target="consultantplus://offline/ref=7228F6341DEEDDADB61BDCBF15E792DBC440A8B3B41A040855EC3276C25A109AAE28A0670DB55422FC022DD81D215158C2562530556AA0EAWEZ3I" TargetMode = "External"/>
	<Relationship Id="rId132" Type="http://schemas.openxmlformats.org/officeDocument/2006/relationships/hyperlink" Target="consultantplus://offline/ref=7228F6341DEEDDADB61BDCBF15E792DBC440A8B3B41A040855EC3276C25A109AAE28A0670DB55422FD022DD81D215158C2562530556AA0EAWEZ3I" TargetMode = "External"/>
	<Relationship Id="rId133" Type="http://schemas.openxmlformats.org/officeDocument/2006/relationships/hyperlink" Target="consultantplus://offline/ref=7228F6341DEEDDADB61BDCBF15E792DBC142A0B2B410040855EC3276C25A109AAE28A0670DB5542BF0022DD81D215158C2562530556AA0EAWEZ3I" TargetMode = "External"/>
	<Relationship Id="rId134" Type="http://schemas.openxmlformats.org/officeDocument/2006/relationships/hyperlink" Target="consultantplus://offline/ref=7228F6341DEEDDADB61BDCBF15E792DBC440A8B3B41A040855EC3276C25A109AAE28A0670DB5552BF4022DD81D215158C2562530556AA0EAWEZ3I" TargetMode = "External"/>
	<Relationship Id="rId135" Type="http://schemas.openxmlformats.org/officeDocument/2006/relationships/hyperlink" Target="consultantplus://offline/ref=7228F6341DEEDDADB61BDCBF15E792DBC440ABBBBE14040855EC3276C25A109AAE28A0670DB5542DF5022DD81D215158C2562530556AA0EAWEZ3I" TargetMode = "External"/>
	<Relationship Id="rId136" Type="http://schemas.openxmlformats.org/officeDocument/2006/relationships/hyperlink" Target="consultantplus://offline/ref=7228F6341DEEDDADB61BDCBF15E792DBC440ABBBBE14040855EC3276C25A109AAE28A0670DB5542DF6022DD81D215158C2562530556AA0EAWEZ3I" TargetMode = "External"/>
	<Relationship Id="rId137" Type="http://schemas.openxmlformats.org/officeDocument/2006/relationships/hyperlink" Target="consultantplus://offline/ref=7228F6341DEEDDADB61BDCBF15E792DBC440ABBBBE14040855EC3276C25A109AAE28A0670DB5542DF0022DD81D215158C2562530556AA0EAWEZ3I" TargetMode = "External"/>
	<Relationship Id="rId138" Type="http://schemas.openxmlformats.org/officeDocument/2006/relationships/hyperlink" Target="consultantplus://offline/ref=7228F6341DEEDDADB61BDCBF15E792DBC440ABBBBE14040855EC3276C25A109AAE28A0670DB5542DF1022DD81D215158C2562530556AA0EAWEZ3I" TargetMode = "External"/>
	<Relationship Id="rId139" Type="http://schemas.openxmlformats.org/officeDocument/2006/relationships/hyperlink" Target="consultantplus://offline/ref=7228F6341DEEDDADB61BDCBF15E792DBC440ABBBBE14040855EC3276C25A109AAE28A0670DB5542DF3022DD81D215158C2562530556AA0EAWEZ3I" TargetMode = "External"/>
	<Relationship Id="rId140" Type="http://schemas.openxmlformats.org/officeDocument/2006/relationships/hyperlink" Target="consultantplus://offline/ref=7228F6341DEEDDADB61BDCBF15E792DBC440ABBBBE14040855EC3276C25A109AAE28A0670DB5542DFC022DD81D215158C2562530556AA0EAWEZ3I" TargetMode = "External"/>
	<Relationship Id="rId141" Type="http://schemas.openxmlformats.org/officeDocument/2006/relationships/hyperlink" Target="consultantplus://offline/ref=7228F6341DEEDDADB61BDCBF15E792DBC440ABBBBE14040855EC3276C25A109AAE28A0670DB5542CF4022DD81D215158C2562530556AA0EAWEZ3I" TargetMode = "External"/>
	<Relationship Id="rId142" Type="http://schemas.openxmlformats.org/officeDocument/2006/relationships/hyperlink" Target="consultantplus://offline/ref=7228F6341DEEDDADB61BDCBF15E792DBC440ABBBBE14040855EC3276C25A109AAE28A0670DB5542CF5022DD81D215158C2562530556AA0EAWEZ3I" TargetMode = "External"/>
	<Relationship Id="rId143" Type="http://schemas.openxmlformats.org/officeDocument/2006/relationships/hyperlink" Target="consultantplus://offline/ref=7228F6341DEEDDADB61BDCBF15E792DBC440ABBBBE14040855EC3276C25A109AAE28A0670DB5542CF6022DD81D215158C2562530556AA0EAWEZ3I" TargetMode = "External"/>
	<Relationship Id="rId144" Type="http://schemas.openxmlformats.org/officeDocument/2006/relationships/hyperlink" Target="consultantplus://offline/ref=7228F6341DEEDDADB61BDCBF15E792DBC440ABBBBE14040855EC3276C25A109AAE28A0670DB5542CF0022DD81D215158C2562530556AA0EAWEZ3I" TargetMode = "External"/>
	<Relationship Id="rId145" Type="http://schemas.openxmlformats.org/officeDocument/2006/relationships/hyperlink" Target="consultantplus://offline/ref=7228F6341DEEDDADB61BDCBF15E792DBC440ABBBBE14040855EC3276C25A109AAE28A0670DB5542CF1022DD81D215158C2562530556AA0EAWEZ3I" TargetMode = "External"/>
	<Relationship Id="rId146" Type="http://schemas.openxmlformats.org/officeDocument/2006/relationships/hyperlink" Target="consultantplus://offline/ref=7228F6341DEEDDADB61BDCBF15E792DBC440ABBBBE14040855EC3276C25A109AAE28A0670DB5542CF2022DD81D215158C2562530556AA0EAWEZ3I" TargetMode = "External"/>
	<Relationship Id="rId147" Type="http://schemas.openxmlformats.org/officeDocument/2006/relationships/hyperlink" Target="consultantplus://offline/ref=7228F6341DEEDDADB61BDCBF15E792DBC440ABBBBE14040855EC3276C25A109AAE28A0670DB5542CFC022DD81D215158C2562530556AA0EAWEZ3I" TargetMode = "External"/>
	<Relationship Id="rId148" Type="http://schemas.openxmlformats.org/officeDocument/2006/relationships/hyperlink" Target="consultantplus://offline/ref=7228F6341DEEDDADB61BDCBF15E792DBC440ABBBBE14040855EC3276C25A109AAE28A0670DB55423F4022DD81D215158C2562530556AA0EAWEZ3I" TargetMode = "External"/>
	<Relationship Id="rId149" Type="http://schemas.openxmlformats.org/officeDocument/2006/relationships/hyperlink" Target="consultantplus://offline/ref=7228F6341DEEDDADB61BDCBF15E792DBC34AA1BEB217040855EC3276C25A109AAE28A0670DB45323F6022DD81D215158C2562530556AA0EAWEZ3I" TargetMode = "External"/>
	<Relationship Id="rId150" Type="http://schemas.openxmlformats.org/officeDocument/2006/relationships/hyperlink" Target="consultantplus://offline/ref=7228F6341DEEDDADB61BDCBF15E792DBC440A8B3B41A040855EC3276C25A109AAE28A0670DB5552BF7022DD81D215158C2562530556AA0EAWEZ3I" TargetMode = "External"/>
	<Relationship Id="rId151" Type="http://schemas.openxmlformats.org/officeDocument/2006/relationships/hyperlink" Target="consultantplus://offline/ref=7228F6341DEEDDADB61BDCBF15E792DBC440A8B3B41A040855EC3276C25A109AAE28A0670DB5552BF0022DD81D215158C2562530556AA0EAWEZ3I" TargetMode = "External"/>
	<Relationship Id="rId152" Type="http://schemas.openxmlformats.org/officeDocument/2006/relationships/hyperlink" Target="consultantplus://offline/ref=7228F6341DEEDDADB61BDCBF15E792DBC440A8B3B41A040855EC3276C25A109AAE28A0670DB5552BF1022DD81D215158C2562530556AA0EAWEZ3I" TargetMode = "External"/>
	<Relationship Id="rId153" Type="http://schemas.openxmlformats.org/officeDocument/2006/relationships/hyperlink" Target="consultantplus://offline/ref=7228F6341DEEDDADB61BDCBF15E792DBC440A8B3B41A040855EC3276C25A109AAE28A0670DB5552BF2022DD81D215158C2562530556AA0EAWEZ3I" TargetMode = "External"/>
	<Relationship Id="rId154" Type="http://schemas.openxmlformats.org/officeDocument/2006/relationships/hyperlink" Target="consultantplus://offline/ref=7228F6341DEEDDADB61BDCBF15E792DBC440ABBBBE17040855EC3276C25A109AAE28A0670DB55429F7022DD81D215158C2562530556AA0EAWEZ3I" TargetMode = "External"/>
	<Relationship Id="rId155" Type="http://schemas.openxmlformats.org/officeDocument/2006/relationships/hyperlink" Target="consultantplus://offline/ref=7228F6341DEEDDADB61BDCBF15E792DBC34AA1BEB217040855EC3276C25A109AAE28A0670DB45323F1022DD81D215158C2562530556AA0EAWEZ3I" TargetMode = "External"/>
	<Relationship Id="rId156" Type="http://schemas.openxmlformats.org/officeDocument/2006/relationships/hyperlink" Target="consultantplus://offline/ref=7228F6341DEEDDADB61BDCBF15E792DBC34AA1BEB217040855EC3276C25A109AAE28A0670DB45323F2022DD81D215158C2562530556AA0EAWEZ3I" TargetMode = "External"/>
	<Relationship Id="rId157" Type="http://schemas.openxmlformats.org/officeDocument/2006/relationships/hyperlink" Target="consultantplus://offline/ref=7228F6341DEEDDADB61BDCBF15E792DBC34AA1BEB217040855EC3276C25A109AAE28A0670DB45323FC022DD81D215158C2562530556AA0EAWEZ3I" TargetMode = "External"/>
	<Relationship Id="rId158" Type="http://schemas.openxmlformats.org/officeDocument/2006/relationships/hyperlink" Target="consultantplus://offline/ref=7228F6341DEEDDADB61BDCBF15E792DBC440ABBBBE14040855EC3276C25A109AAE28A0670DB55423F6022DD81D215158C2562530556AA0EAWEZ3I" TargetMode = "External"/>
	<Relationship Id="rId159" Type="http://schemas.openxmlformats.org/officeDocument/2006/relationships/hyperlink" Target="consultantplus://offline/ref=7228F6341DEEDDADB61BDCBF15E792DBC440A8B3B41A040855EC3276C25A109AAE28A0670DB5552BFC022DD81D215158C2562530556AA0EAWEZ3I" TargetMode = "External"/>
	<Relationship Id="rId160" Type="http://schemas.openxmlformats.org/officeDocument/2006/relationships/hyperlink" Target="consultantplus://offline/ref=7228F6341DEEDDADB61BDCBF15E792DBC440ABBBBE14040855EC3276C25A109AAE28A0670DB55423F7022DD81D215158C2562530556AA0EAWEZ3I" TargetMode = "External"/>
	<Relationship Id="rId161" Type="http://schemas.openxmlformats.org/officeDocument/2006/relationships/hyperlink" Target="consultantplus://offline/ref=7228F6341DEEDDADB61BDCBF15E792DBC440ABBBBE14040855EC3276C25A109AAE28A0670DB55423F0022DD81D215158C2562530556AA0EAWEZ3I" TargetMode = "External"/>
	<Relationship Id="rId162" Type="http://schemas.openxmlformats.org/officeDocument/2006/relationships/hyperlink" Target="consultantplus://offline/ref=7228F6341DEEDDADB61BDCBF15E792DBC440A8B3B41A040855EC3276C25A109AAE28A0670DB5552AF4022DD81D215158C2562530556AA0EAWEZ3I" TargetMode = "External"/>
	<Relationship Id="rId163" Type="http://schemas.openxmlformats.org/officeDocument/2006/relationships/hyperlink" Target="consultantplus://offline/ref=7228F6341DEEDDADB61BDCBF15E792DBC440A8B3B41A040855EC3276C25A109AAE28A0670DB5552AF5022DD81D215158C2562530556AA0EAWEZ3I" TargetMode = "External"/>
	<Relationship Id="rId164" Type="http://schemas.openxmlformats.org/officeDocument/2006/relationships/hyperlink" Target="consultantplus://offline/ref=7228F6341DEEDDADB61BDCBF15E792DBC440A8B3B41A040855EC3276C25A109AAE28A0670DB5552AF6022DD81D215158C2562530556AA0EAWEZ3I" TargetMode = "External"/>
	<Relationship Id="rId165" Type="http://schemas.openxmlformats.org/officeDocument/2006/relationships/hyperlink" Target="consultantplus://offline/ref=7228F6341DEEDDADB61BDCBF15E792DBC440ABBBBE14040855EC3276C25A109AAE28A0670DB55423F1022DD81D215158C2562530556AA0EAWEZ3I" TargetMode = "External"/>
	<Relationship Id="rId166" Type="http://schemas.openxmlformats.org/officeDocument/2006/relationships/hyperlink" Target="consultantplus://offline/ref=7228F6341DEEDDADB61BDCBF15E792DBC440ABBBBE14040855EC3276C25A109AAE28A0670DB55423F2022DD81D215158C2562530556AA0EAWEZ3I" TargetMode = "External"/>
	<Relationship Id="rId167" Type="http://schemas.openxmlformats.org/officeDocument/2006/relationships/hyperlink" Target="consultantplus://offline/ref=7228F6341DEEDDADB61BDCBF15E792DBC443ACB2B311040855EC3276C25A109AAE28A0670DB55129FD022DD81D215158C2562530556AA0EAWEZ3I" TargetMode = "External"/>
	<Relationship Id="rId168" Type="http://schemas.openxmlformats.org/officeDocument/2006/relationships/hyperlink" Target="consultantplus://offline/ref=7228F6341DEEDDADB61BDCBF15E792DBC440ABBBBE17040855EC3276C25A109AAE28A0670DB55429F1022DD81D215158C2562530556AA0EAWEZ3I" TargetMode = "External"/>
	<Relationship Id="rId169" Type="http://schemas.openxmlformats.org/officeDocument/2006/relationships/hyperlink" Target="consultantplus://offline/ref=7228F6341DEEDDADB61BDCBF15E792DBC440ABBBBE17040855EC3276C25A109AAE28A0670DB55429F2022DD81D215158C2562530556AA0EAWEZ3I" TargetMode = "External"/>
	<Relationship Id="rId170" Type="http://schemas.openxmlformats.org/officeDocument/2006/relationships/hyperlink" Target="consultantplus://offline/ref=7228F6341DEEDDADB61BDCBF15E792DBC440A8B3B41A040855EC3276C25A109AAE28A0670DB5552AF0022DD81D215158C2562530556AA0EAWEZ3I" TargetMode = "External"/>
	<Relationship Id="rId171" Type="http://schemas.openxmlformats.org/officeDocument/2006/relationships/hyperlink" Target="consultantplus://offline/ref=7228F6341DEEDDADB61BDCBF15E792DBC440A8B3B41A040855EC3276C25A109AAE28A0670DB5552AF2022DD81D215158C2562530556AA0EAWEZ3I" TargetMode = "External"/>
	<Relationship Id="rId172" Type="http://schemas.openxmlformats.org/officeDocument/2006/relationships/hyperlink" Target="consultantplus://offline/ref=7228F6341DEEDDADB61BDCBF15E792DBC440A8B3B41A040855EC3276C25A109AAE28A0670DB5552AFC022DD81D215158C2562530556AA0EAWEZ3I" TargetMode = "External"/>
	<Relationship Id="rId173" Type="http://schemas.openxmlformats.org/officeDocument/2006/relationships/hyperlink" Target="consultantplus://offline/ref=7228F6341DEEDDADB61BDCBF15E792DBC440A8B3B41A040855EC3276C25A109AAE28A0670DB55529F0022DD81D215158C2562530556AA0EAWEZ3I" TargetMode = "External"/>
	<Relationship Id="rId174" Type="http://schemas.openxmlformats.org/officeDocument/2006/relationships/hyperlink" Target="consultantplus://offline/ref=7228F6341DEEDDADB61BDCBF15E792DBC440A8B3B41A040855EC3276C25A109AAE28A0670DB55529F1022DD81D215158C2562530556AA0EAWEZ3I" TargetMode = "External"/>
	<Relationship Id="rId175" Type="http://schemas.openxmlformats.org/officeDocument/2006/relationships/hyperlink" Target="consultantplus://offline/ref=7228F6341DEEDDADB61BDCBF15E792DBC440A8B3B41A040855EC3276C25A109AAE28A0670DB55529FD022DD81D215158C2562530556AA0EAWEZ3I" TargetMode = "External"/>
	<Relationship Id="rId176" Type="http://schemas.openxmlformats.org/officeDocument/2006/relationships/hyperlink" Target="consultantplus://offline/ref=7228F6341DEEDDADB61BDCBF15E792DBC440ABBBBE14040855EC3276C25A109AAE28A0670DB55422F5022DD81D215158C2562530556AA0EAWEZ3I" TargetMode = "External"/>
	<Relationship Id="rId177" Type="http://schemas.openxmlformats.org/officeDocument/2006/relationships/hyperlink" Target="consultantplus://offline/ref=7228F6341DEEDDADB61BDCBF15E792DBC440ABBBBE17040855EC3276C25A109AAE28A0670DB55429FD022DD81D215158C2562530556AA0EAWEZ3I" TargetMode = "External"/>
	<Relationship Id="rId178" Type="http://schemas.openxmlformats.org/officeDocument/2006/relationships/hyperlink" Target="consultantplus://offline/ref=7228F6341DEEDDADB61BDCBF15E792DBC842A0B8B01959025DB53E74C5554F8DA961AC660DB55429FF5D28CD0C795D5ADF49262C4968A2WEZAI" TargetMode = "External"/>
	<Relationship Id="rId179" Type="http://schemas.openxmlformats.org/officeDocument/2006/relationships/hyperlink" Target="consultantplus://offline/ref=7228F6341DEEDDADB61BDCBF15E792DBC440ABBBBE14040855EC3276C25A109AAE28A0670DB55422F7022DD81D215158C2562530556AA0EAWEZ3I" TargetMode = "External"/>
	<Relationship Id="rId180" Type="http://schemas.openxmlformats.org/officeDocument/2006/relationships/hyperlink" Target="consultantplus://offline/ref=7228F6341DEEDDADB61BDCBF15E792DBC440ABBBBE14040855EC3276C25A109AAE28A0670DB55422F1022DD81D215158C2562530556AA0EAWEZ3I" TargetMode = "External"/>
	<Relationship Id="rId181" Type="http://schemas.openxmlformats.org/officeDocument/2006/relationships/hyperlink" Target="consultantplus://offline/ref=7228F6341DEEDDADB61BDCBF15E792DBC440ABBBBE14040855EC3276C25A109AAE28A0670DB55422F2022DD81D215158C2562530556AA0EAWEZ3I" TargetMode = "External"/>
	<Relationship Id="rId182" Type="http://schemas.openxmlformats.org/officeDocument/2006/relationships/hyperlink" Target="consultantplus://offline/ref=7228F6341DEEDDADB61BDCBF15E792DBC440ABBBBE14040855EC3276C25A109AAE28A0670DB55422FC022DD81D215158C2562530556AA0EAWEZ3I" TargetMode = "External"/>
	<Relationship Id="rId183" Type="http://schemas.openxmlformats.org/officeDocument/2006/relationships/hyperlink" Target="consultantplus://offline/ref=7228F6341DEEDDADB61BDCBF15E792DBC440ABBBBE14040855EC3276C25A109AAE28A0670DB55422FD022DD81D215158C2562530556AA0EAWEZ3I" TargetMode = "External"/>
	<Relationship Id="rId184" Type="http://schemas.openxmlformats.org/officeDocument/2006/relationships/hyperlink" Target="consultantplus://offline/ref=7228F6341DEEDDADB61BDCBF15E792DBC347A8B2B312040855EC3276C25A109AAE28A0670DB5542AF0022DD81D215158C2562530556AA0EAWEZ3I" TargetMode = "External"/>
	<Relationship Id="rId185" Type="http://schemas.openxmlformats.org/officeDocument/2006/relationships/hyperlink" Target="consultantplus://offline/ref=7228F6341DEEDDADB61BDCBF15E792DBC84AABBFB51959025DB53E74C5554F9FA939A0670EAB5529EA0B798BW5ZBI" TargetMode = "External"/>
	<Relationship Id="rId186" Type="http://schemas.openxmlformats.org/officeDocument/2006/relationships/hyperlink" Target="consultantplus://offline/ref=7228F6341DEEDDADB61BDCBF15E792DBC84AABBFB51959025DB53E74C5554F8DA961AC660DB55322FF5D28CD0C795D5ADF49262C4968A2WEZAI" TargetMode = "External"/>
	<Relationship Id="rId187" Type="http://schemas.openxmlformats.org/officeDocument/2006/relationships/hyperlink" Target="consultantplus://offline/ref=7228F6341DEEDDADB61BDCBF15E792DBC440ABBBBE14040855EC3276C25A109AAE28A0670DB5552BF4022DD81D215158C2562530556AA0EAWEZ3I" TargetMode = "External"/>
	<Relationship Id="rId188" Type="http://schemas.openxmlformats.org/officeDocument/2006/relationships/hyperlink" Target="consultantplus://offline/ref=7228F6341DEEDDADB61BDCBF15E792DBC440A8B3B41A040855EC3276C25A109AAE28A0670DB55528F5022DD81D215158C2562530556AA0EAWEZ3I" TargetMode = "External"/>
	<Relationship Id="rId189" Type="http://schemas.openxmlformats.org/officeDocument/2006/relationships/hyperlink" Target="consultantplus://offline/ref=7228F6341DEEDDADB61BDCBF15E792DBC440A8B3B41A040855EC3276C25A109AAE28A0670DB55528F6022DD81D215158C2562530556AA0EAWEZ3I" TargetMode = "External"/>
	<Relationship Id="rId190" Type="http://schemas.openxmlformats.org/officeDocument/2006/relationships/hyperlink" Target="consultantplus://offline/ref=7228F6341DEEDDADB61BDCBF15E792DBC440ABBBBE14040855EC3276C25A109AAE28A0670DB5552BF6022DD81D215158C2562530556AA0EAWEZ3I" TargetMode = "External"/>
	<Relationship Id="rId191" Type="http://schemas.openxmlformats.org/officeDocument/2006/relationships/hyperlink" Target="consultantplus://offline/ref=7228F6341DEEDDADB61BDCBF15E792DBC440A8B3B41A040855EC3276C25A109AAE28A0670DB55528F7022DD81D215158C2562530556AA0EAWEZ3I" TargetMode = "External"/>
	<Relationship Id="rId192" Type="http://schemas.openxmlformats.org/officeDocument/2006/relationships/hyperlink" Target="consultantplus://offline/ref=7228F6341DEEDDADB61BDCBF15E792DBC440ABBBBE14040855EC3276C25A109AAE28A0670DB5552BF1022DD81D215158C2562530556AA0EAWEZ3I" TargetMode = "External"/>
	<Relationship Id="rId193" Type="http://schemas.openxmlformats.org/officeDocument/2006/relationships/hyperlink" Target="consultantplus://offline/ref=7228F6341DEEDDADB61BDCBF15E792DBC440ABBBBE14040855EC3276C25A109AAE28A0670DB5552BF3022DD81D215158C2562530556AA0EAWEZ3I" TargetMode = "External"/>
	<Relationship Id="rId194" Type="http://schemas.openxmlformats.org/officeDocument/2006/relationships/hyperlink" Target="consultantplus://offline/ref=7228F6341DEEDDADB61BDCBF15E792DBC440ABBBBE14040855EC3276C25A109AAE28A0670DB5552BFC022DD81D215158C2562530556AA0EAWEZ3I" TargetMode = "External"/>
	<Relationship Id="rId195" Type="http://schemas.openxmlformats.org/officeDocument/2006/relationships/hyperlink" Target="consultantplus://offline/ref=7228F6341DEEDDADB61BDCBF15E792DBC440ABBBBE14040855EC3276C25A109AAE28A0670DB5552AF4022DD81D215158C2562530556AA0EAWEZ3I" TargetMode = "External"/>
	<Relationship Id="rId196" Type="http://schemas.openxmlformats.org/officeDocument/2006/relationships/hyperlink" Target="consultantplus://offline/ref=7228F6341DEEDDADB61BDCBF15E792DBC440ABBBBE14040855EC3276C25A109AAE28A0670DB5552AF5022DD81D215158C2562530556AA0EAWEZ3I" TargetMode = "External"/>
	<Relationship Id="rId197" Type="http://schemas.openxmlformats.org/officeDocument/2006/relationships/hyperlink" Target="consultantplus://offline/ref=7228F6341DEEDDADB61BDCBF15E792DBC344A8B9BE1A040855EC3276C25A109AAE28A0670DB5542AF6022DD81D215158C2562530556AA0EAWEZ3I" TargetMode = "External"/>
	<Relationship Id="rId198" Type="http://schemas.openxmlformats.org/officeDocument/2006/relationships/hyperlink" Target="consultantplus://offline/ref=7228F6341DEEDDADB61BDCBF15E792DBC440ABBBBE14040855EC3276C25A109AAE28A0670DB5552AF6022DD81D215158C2562530556AA0EAWEZ3I" TargetMode = "External"/>
	<Relationship Id="rId199" Type="http://schemas.openxmlformats.org/officeDocument/2006/relationships/hyperlink" Target="consultantplus://offline/ref=7228F6341DEEDDADB61BDCBF15E792DBC440ABBBBE14040855EC3276C25A109AAE28A0670DB5552AF7022DD81D215158C2562530556AA0EAWEZ3I" TargetMode = "External"/>
	<Relationship Id="rId200" Type="http://schemas.openxmlformats.org/officeDocument/2006/relationships/hyperlink" Target="consultantplus://offline/ref=7228F6341DEEDDADB61BDCBF15E792DBC440ABBBBE14040855EC3276C25A109AAE28A0670DB5552AF0022DD81D215158C2562530556AA0EAWEZ3I" TargetMode = "External"/>
	<Relationship Id="rId201" Type="http://schemas.openxmlformats.org/officeDocument/2006/relationships/hyperlink" Target="consultantplus://offline/ref=7228F6341DEEDDADB61BDCBF15E792DBC440ABBBBE17040855EC3276C25A109AAE28A0670DB55428F4022DD81D215158C2562530556AA0EAWEZ3I" TargetMode = "External"/>
	<Relationship Id="rId202" Type="http://schemas.openxmlformats.org/officeDocument/2006/relationships/hyperlink" Target="consultantplus://offline/ref=7228F6341DEEDDADB61BDCBF15E792DBC440ABBBBE14040855EC3276C25A109AAE28A0670DB5552AF2022DD81D215158C2562530556AA0EAWEZ3I" TargetMode = "External"/>
	<Relationship Id="rId203" Type="http://schemas.openxmlformats.org/officeDocument/2006/relationships/hyperlink" Target="consultantplus://offline/ref=7228F6341DEEDDADB61BDCBF15E792DBC440ABBBBE14040855EC3276C25A109AAE28A0670DB5552AF3022DD81D215158C2562530556AA0EAWEZ3I" TargetMode = "External"/>
	<Relationship Id="rId204" Type="http://schemas.openxmlformats.org/officeDocument/2006/relationships/hyperlink" Target="consultantplus://offline/ref=7228F6341DEEDDADB61BDCBF15E792DBC440ABBBBE14040855EC3276C25A109AAE28A0670DB5552AFC022DD81D215158C2562530556AA0EAWEZ3I" TargetMode = "External"/>
	<Relationship Id="rId205" Type="http://schemas.openxmlformats.org/officeDocument/2006/relationships/hyperlink" Target="consultantplus://offline/ref=7228F6341DEEDDADB61BDCBF15E792DBC440ABBBBE14040855EC3276C25A109AAE28A0670DB55529F4022DD81D215158C2562530556AA0EAWEZ3I" TargetMode = "External"/>
	<Relationship Id="rId206" Type="http://schemas.openxmlformats.org/officeDocument/2006/relationships/hyperlink" Target="consultantplus://offline/ref=7228F6341DEEDDADB61BDCBF15E792DBC440A8B3B41A040855EC3276C25A109AAE28A0670DB55528F1022DD81D215158C2562530556AA0EAWEZ3I" TargetMode = "External"/>
	<Relationship Id="rId207" Type="http://schemas.openxmlformats.org/officeDocument/2006/relationships/hyperlink" Target="consultantplus://offline/ref=7228F6341DEEDDADB61BDCBF15E792DBC440ABBBBE14040855EC3276C25A109AAE28A0670DB55529F6022DD81D215158C2562530556AA0EAWEZ3I" TargetMode = "External"/>
	<Relationship Id="rId208" Type="http://schemas.openxmlformats.org/officeDocument/2006/relationships/hyperlink" Target="consultantplus://offline/ref=7228F6341DEEDDADB61BDCBF15E792DBC440ABBBBE14040855EC3276C25A109AAE28A0670DB55529F7022DD81D215158C2562530556AA0EAWEZ3I" TargetMode = "External"/>
	<Relationship Id="rId209" Type="http://schemas.openxmlformats.org/officeDocument/2006/relationships/hyperlink" Target="consultantplus://offline/ref=7228F6341DEEDDADB61BDCBF15E792DBC440A8B3B41A040855EC3276C25A109AAE28A0670DB55528F2022DD81D215158C2562530556AA0EAWEZ3I" TargetMode = "External"/>
	<Relationship Id="rId210" Type="http://schemas.openxmlformats.org/officeDocument/2006/relationships/hyperlink" Target="consultantplus://offline/ref=7228F6341DEEDDADB61BDCBF15E792DBC440ABBBBE14040855EC3276C25A109AAE28A0670DB55529F0022DD81D215158C2562530556AA0EAWEZ3I" TargetMode = "External"/>
	<Relationship Id="rId211" Type="http://schemas.openxmlformats.org/officeDocument/2006/relationships/hyperlink" Target="consultantplus://offline/ref=7228F6341DEEDDADB61BDCBF15E792DBC440A8B3B41A040855EC3276C25A109AAE28A0670DB55528F3022DD81D215158C2562530556AA0EAWEZ3I" TargetMode = "External"/>
	<Relationship Id="rId212" Type="http://schemas.openxmlformats.org/officeDocument/2006/relationships/hyperlink" Target="consultantplus://offline/ref=7228F6341DEEDDADB61BDCBF15E792DBC440ABBBBE14040855EC3276C25A109AAE28A0670DB55529F1022DD81D215158C2562530556AA0EAWEZ3I" TargetMode = "External"/>
	<Relationship Id="rId213" Type="http://schemas.openxmlformats.org/officeDocument/2006/relationships/hyperlink" Target="consultantplus://offline/ref=7228F6341DEEDDADB61BDCBF15E792DBC440A8B3B41A040855EC3276C25A109AAE28A0670DB55528FC022DD81D215158C2562530556AA0EAWEZ3I" TargetMode = "External"/>
	<Relationship Id="rId214" Type="http://schemas.openxmlformats.org/officeDocument/2006/relationships/hyperlink" Target="consultantplus://offline/ref=7228F6341DEEDDADB61BDCBF15E792DBC440A8B3B41A040855EC3276C25A109AAE28A0670DB5552FF4022DD81D215158C2562530556AA0EAWEZ3I" TargetMode = "External"/>
	<Relationship Id="rId215" Type="http://schemas.openxmlformats.org/officeDocument/2006/relationships/hyperlink" Target="consultantplus://offline/ref=7228F6341DEEDDADB61BDCBF15E792DBC440A8B3B41A040855EC3276C25A109AAE28A0670DB5552FF5022DD81D215158C2562530556AA0EAWEZ3I" TargetMode = "External"/>
	<Relationship Id="rId216" Type="http://schemas.openxmlformats.org/officeDocument/2006/relationships/hyperlink" Target="consultantplus://offline/ref=7228F6341DEEDDADB61BDCBF15E792DBC440ABBBBE17040855EC3276C25A109AAE28A0670DB55428F5022DD81D215158C2562530556AA0EAWEZ3I" TargetMode = "External"/>
	<Relationship Id="rId217" Type="http://schemas.openxmlformats.org/officeDocument/2006/relationships/hyperlink" Target="consultantplus://offline/ref=7228F6341DEEDDADB61BDCBF15E792DBC440A8B3B41A040855EC3276C25A109AAE28A0670DB5552FF7022DD81D215158C2562530556AA0EAWEZ3I" TargetMode = "External"/>
	<Relationship Id="rId218" Type="http://schemas.openxmlformats.org/officeDocument/2006/relationships/hyperlink" Target="consultantplus://offline/ref=7228F6341DEEDDADB61BDCBF15E792DBC440A8B3B41A040855EC3276C25A109AAE28A0670DB5552FF1022DD81D215158C2562530556AA0EAWEZ3I" TargetMode = "External"/>
	<Relationship Id="rId219" Type="http://schemas.openxmlformats.org/officeDocument/2006/relationships/hyperlink" Target="consultantplus://offline/ref=7228F6341DEEDDADB61BDCBF15E792DBC34AA1BAB71B040855EC3276C25A109ABC28F86B0CB64A2AF6177B895BW7Z6I" TargetMode = "External"/>
	<Relationship Id="rId220" Type="http://schemas.openxmlformats.org/officeDocument/2006/relationships/hyperlink" Target="consultantplus://offline/ref=7228F6341DEEDDADB61BDCBF15E792DBC347A9BDB012040855EC3276C25A109AAE28A0670DB55629FD022DD81D215158C2562530556AA0EAWEZ3I" TargetMode = "External"/>
	<Relationship Id="rId221" Type="http://schemas.openxmlformats.org/officeDocument/2006/relationships/hyperlink" Target="consultantplus://offline/ref=7228F6341DEEDDADB61BDCBF15E792DBC347A9BDB012040855EC3276C25A109AAE28A0670DB5542AF1022DD81D215158C2562530556AA0EAWEZ3I" TargetMode = "External"/>
	<Relationship Id="rId222" Type="http://schemas.openxmlformats.org/officeDocument/2006/relationships/hyperlink" Target="consultantplus://offline/ref=7228F6341DEEDDADB61BDCBF15E792DBC440A8B3B41A040855EC3276C25A109AAE28A0670DB5552FF2022DD81D215158C2562530556AA0EAWEZ3I" TargetMode = "External"/>
	<Relationship Id="rId223" Type="http://schemas.openxmlformats.org/officeDocument/2006/relationships/hyperlink" Target="consultantplus://offline/ref=7228F6341DEEDDADB61BDCBF15E792DBC440A8B3B41A040855EC3276C25A109AAE28A0670DB5552FFC022DD81D215158C2562530556AA0EAWEZ3I" TargetMode = "External"/>
	<Relationship Id="rId224" Type="http://schemas.openxmlformats.org/officeDocument/2006/relationships/hyperlink" Target="consultantplus://offline/ref=7228F6341DEEDDADB61BDCBF15E792DBC440A8B3B41A040855EC3276C25A109AAE28A0670DB5552EF4022DD81D215158C2562530556AA0EAWEZ3I" TargetMode = "External"/>
	<Relationship Id="rId225" Type="http://schemas.openxmlformats.org/officeDocument/2006/relationships/hyperlink" Target="consultantplus://offline/ref=7228F6341DEEDDADB61BDCBF15E792DBC440A8B3B41A040855EC3276C25A109AAE28A0670DB5552EF5022DD81D215158C2562530556AA0EAWEZ3I" TargetMode = "External"/>
	<Relationship Id="rId226" Type="http://schemas.openxmlformats.org/officeDocument/2006/relationships/hyperlink" Target="consultantplus://offline/ref=7228F6341DEEDDADB61BDCBF15E792DBC440ABBBBE14040855EC3276C25A109AAE28A0670DB55528FD022DD81D215158C2562530556AA0EAWEZ3I" TargetMode = "External"/>
	<Relationship Id="rId227" Type="http://schemas.openxmlformats.org/officeDocument/2006/relationships/hyperlink" Target="consultantplus://offline/ref=7228F6341DEEDDADB61BDCBF15E792DBC440A8B3B41A040855EC3276C25A109AAE28A0670DB5552EF7022DD81D215158C2562530556AA0EAWEZ3I" TargetMode = "External"/>
	<Relationship Id="rId228" Type="http://schemas.openxmlformats.org/officeDocument/2006/relationships/hyperlink" Target="consultantplus://offline/ref=7228F6341DEEDDADB61BDCBF15E792DBC440ABBBBE14040855EC3276C25A109AAE28A0670DB5552FF4022DD81D215158C2562530556AA0EAWEZ3I" TargetMode = "External"/>
	<Relationship Id="rId229" Type="http://schemas.openxmlformats.org/officeDocument/2006/relationships/hyperlink" Target="consultantplus://offline/ref=7228F6341DEEDDADB61BDCBF15E792DBC34AA1BEB217040855EC3276C25A109AAE28A0670DB45322F5022DD81D215158C2562530556AA0EAWEZ3I" TargetMode = "External"/>
	<Relationship Id="rId230" Type="http://schemas.openxmlformats.org/officeDocument/2006/relationships/hyperlink" Target="consultantplus://offline/ref=7228F6341DEEDDADB61BDCBF15E792DBC440ABBBBE17040855EC3276C25A109AAE28A0670DB5542FF6022DD81D215158C2562530556AA0EAWEZ3I" TargetMode = "External"/>
	<Relationship Id="rId231" Type="http://schemas.openxmlformats.org/officeDocument/2006/relationships/hyperlink" Target="consultantplus://offline/ref=7228F6341DEEDDADB61BDCBF15E792DBC440A8B3B41A040855EC3276C25A109AAE28A0670DB5552EF0022DD81D215158C2562530556AA0EAWEZ3I" TargetMode = "External"/>
	<Relationship Id="rId232" Type="http://schemas.openxmlformats.org/officeDocument/2006/relationships/hyperlink" Target="consultantplus://offline/ref=7228F6341DEEDDADB61BDCBF15E792DBC34AA1BAB71B040855EC3276C25A109ABC28F86B0CB64A2AF6177B895BW7Z6I" TargetMode = "External"/>
	<Relationship Id="rId233" Type="http://schemas.openxmlformats.org/officeDocument/2006/relationships/hyperlink" Target="consultantplus://offline/ref=7228F6341DEEDDADB61BDCBF15E792DBC440ABBBBE14040855EC3276C25A109AAE28A0670DB5552FF5022DD81D215158C2562530556AA0EAWEZ3I" TargetMode = "External"/>
	<Relationship Id="rId234" Type="http://schemas.openxmlformats.org/officeDocument/2006/relationships/hyperlink" Target="consultantplus://offline/ref=7228F6341DEEDDADB61BDCBF15E792DBC440A8B3B41A040855EC3276C25A109AAE28A0670DB5552EF1022DD81D215158C2562530556AA0EAWEZ3I" TargetMode = "External"/>
	<Relationship Id="rId235" Type="http://schemas.openxmlformats.org/officeDocument/2006/relationships/hyperlink" Target="consultantplus://offline/ref=7228F6341DEEDDADB61BDCBF15E792DBC440ABBBBE17040855EC3276C25A109AAE28A0670DB5542FF7022DD81D215158C2562530556AA0EAWEZ3I" TargetMode = "External"/>
	<Relationship Id="rId236" Type="http://schemas.openxmlformats.org/officeDocument/2006/relationships/hyperlink" Target="consultantplus://offline/ref=7228F6341DEEDDADB61BDCBF15E792DBC440ABBBBE14040855EC3276C25A109AAE28A0670DB5552FF7022DD81D215158C2562530556AA0EAWEZ3I" TargetMode = "External"/>
	<Relationship Id="rId237" Type="http://schemas.openxmlformats.org/officeDocument/2006/relationships/hyperlink" Target="consultantplus://offline/ref=7228F6341DEEDDADB61BDCBF15E792DBC440ABBBBE14040855EC3276C25A109AAE28A0670DB5552FF0022DD81D215158C2562530556AA0EAWEZ3I" TargetMode = "External"/>
	<Relationship Id="rId238" Type="http://schemas.openxmlformats.org/officeDocument/2006/relationships/hyperlink" Target="consultantplus://offline/ref=7228F6341DEEDDADB61BDCBF15E792DBC440A8B3B41A040855EC3276C25A109AAE28A0670DB5552EF3022DD81D215158C2562530556AA0EAWEZ3I" TargetMode = "External"/>
	<Relationship Id="rId239" Type="http://schemas.openxmlformats.org/officeDocument/2006/relationships/hyperlink" Target="consultantplus://offline/ref=7228F6341DEEDDADB61BDCBF15E792DBC440A8B3B41A040855EC3276C25A109AAE28A0670DB5552EFD022DD81D215158C2562530556AA0EAWEZ3I" TargetMode = "External"/>
	<Relationship Id="rId240" Type="http://schemas.openxmlformats.org/officeDocument/2006/relationships/hyperlink" Target="consultantplus://offline/ref=7228F6341DEEDDADB61BDCBF15E792DBC440A8B3B41A040855EC3276C25A109AAE28A0670DB5552DF5022DD81D215158C2562530556AA0EAWEZ3I" TargetMode = "External"/>
	<Relationship Id="rId241" Type="http://schemas.openxmlformats.org/officeDocument/2006/relationships/hyperlink" Target="consultantplus://offline/ref=7228F6341DEEDDADB61BDCBF15E792DBC440A8B3B41A040855EC3276C25A109AAE28A0670DB5552DF0022DD81D215158C2562530556AA0EAWEZ3I" TargetMode = "External"/>
	<Relationship Id="rId242" Type="http://schemas.openxmlformats.org/officeDocument/2006/relationships/hyperlink" Target="consultantplus://offline/ref=7228F6341DEEDDADB61BDCBF15E792DBC440A8B3B41A040855EC3276C25A109AAE28A0670DB5552DF2022DD81D215158C2562530556AA0EAWEZ3I" TargetMode = "External"/>
	<Relationship Id="rId243" Type="http://schemas.openxmlformats.org/officeDocument/2006/relationships/hyperlink" Target="consultantplus://offline/ref=7228F6341DEEDDADB61BDCBF15E792DBC440ABBBBE14040855EC3276C25A109AAE28A0670DB5552EF4022DD81D215158C2562530556AA0EAWEZ3I" TargetMode = "External"/>
	<Relationship Id="rId244" Type="http://schemas.openxmlformats.org/officeDocument/2006/relationships/hyperlink" Target="consultantplus://offline/ref=7228F6341DEEDDADB61BDCBF15E792DBC440A8B3B41A040855EC3276C25A109AAE28A0670DB5552DF3022DD81D215158C2562530556AA0EAWEZ3I" TargetMode = "External"/>
	<Relationship Id="rId245" Type="http://schemas.openxmlformats.org/officeDocument/2006/relationships/hyperlink" Target="consultantplus://offline/ref=7228F6341DEEDDADB61BDCBF15E792DBC440ABBBBE14040855EC3276C25A109AAE28A0670DB5552EF6022DD81D215158C2562530556AA0EAWEZ3I" TargetMode = "External"/>
	<Relationship Id="rId246" Type="http://schemas.openxmlformats.org/officeDocument/2006/relationships/hyperlink" Target="consultantplus://offline/ref=7228F6341DEEDDADB61BDCBF15E792DBC440ABBBBE14040855EC3276C25A109AAE28A0670DB5552EF7022DD81D215158C2562530556AA0EAWEZ3I" TargetMode = "External"/>
	<Relationship Id="rId247" Type="http://schemas.openxmlformats.org/officeDocument/2006/relationships/hyperlink" Target="consultantplus://offline/ref=7228F6341DEEDDADB61BDCBF15E792DBC343ADBDB114040855EC3276C25A109AAE28A0670DB5562CFD022DD81D215158C2562530556AA0EAWEZ3I" TargetMode = "External"/>
	<Relationship Id="rId248" Type="http://schemas.openxmlformats.org/officeDocument/2006/relationships/hyperlink" Target="consultantplus://offline/ref=7228F6341DEEDDADB61BDCBF15E792DBC440A8B3B41A040855EC3276C25A109AAE28A0670DB5552DFD022DD81D215158C2562530556AA0EAWEZ3I" TargetMode = "External"/>
	<Relationship Id="rId249" Type="http://schemas.openxmlformats.org/officeDocument/2006/relationships/hyperlink" Target="consultantplus://offline/ref=7228F6341DEEDDADB61BDCBF15E792DBC440ABBBBE14040855EC3276C25A109AAE28A0670DB5552EF0022DD81D215158C2562530556AA0EAWEZ3I" TargetMode = "External"/>
	<Relationship Id="rId250" Type="http://schemas.openxmlformats.org/officeDocument/2006/relationships/hyperlink" Target="consultantplus://offline/ref=7228F6341DEEDDADB61BDCBF15E792DBC440ABBBBE17040855EC3276C25A109AAE28A0670DB5542FF0022DD81D215158C2562530556AA0EAWEZ3I" TargetMode = "External"/>
	<Relationship Id="rId251" Type="http://schemas.openxmlformats.org/officeDocument/2006/relationships/hyperlink" Target="consultantplus://offline/ref=7228F6341DEEDDADB61BDCBF15E792DBC440A8B3B41A040855EC3276C25A109AAE28A0670DB5552CF4022DD81D215158C2562530556AA0EAWEZ3I" TargetMode = "External"/>
	<Relationship Id="rId252" Type="http://schemas.openxmlformats.org/officeDocument/2006/relationships/hyperlink" Target="consultantplus://offline/ref=7228F6341DEEDDADB61BDCBF15E792DBC343ADBDB114040855EC3276C25A109AAE28A0670DB55623F2022DD81D215158C2562530556AA0EAWEZ3I" TargetMode = "External"/>
	<Relationship Id="rId253" Type="http://schemas.openxmlformats.org/officeDocument/2006/relationships/hyperlink" Target="consultantplus://offline/ref=7228F6341DEEDDADB61BDCBF15E792DBC440A8B3B41A040855EC3276C25A109AAE28A0670DB5552CF6022DD81D215158C2562530556AA0EAWEZ3I" TargetMode = "External"/>
	<Relationship Id="rId254" Type="http://schemas.openxmlformats.org/officeDocument/2006/relationships/hyperlink" Target="consultantplus://offline/ref=7228F6341DEEDDADB61BDCBF15E792DBC440ABBBBE14040855EC3276C25A109AAE28A0670DB5552DF0022DD81D215158C2562530556AA0EAWEZ3I" TargetMode = "External"/>
	<Relationship Id="rId255" Type="http://schemas.openxmlformats.org/officeDocument/2006/relationships/hyperlink" Target="consultantplus://offline/ref=7228F6341DEEDDADB61BDCBF15E792DBC440ABBBBE14040855EC3276C25A109AAE28A0670DB5552DF1022DD81D215158C2562530556AA0EAWEZ3I" TargetMode = "External"/>
	<Relationship Id="rId256" Type="http://schemas.openxmlformats.org/officeDocument/2006/relationships/hyperlink" Target="consultantplus://offline/ref=7228F6341DEEDDADB61BDCBF15E792DBC440ABBBBE14040855EC3276C25A109AAE28A0670DB5552DF2022DD81D215158C2562530556AA0EAWEZ3I" TargetMode = "External"/>
	<Relationship Id="rId257" Type="http://schemas.openxmlformats.org/officeDocument/2006/relationships/hyperlink" Target="consultantplus://offline/ref=7228F6341DEEDDADB61BDCBF15E792DBC440ABBBBE14040855EC3276C25A109AAE28A0670DB5552DF3022DD81D215158C2562530556AA0EAWEZ3I" TargetMode = "External"/>
	<Relationship Id="rId258" Type="http://schemas.openxmlformats.org/officeDocument/2006/relationships/hyperlink" Target="consultantplus://offline/ref=7228F6341DEEDDADB61BDCBF15E792DBC440ABBBBE14040855EC3276C25A109AAE28A0670DB5552DFC022DD81D215158C2562530556AA0EAWEZ3I" TargetMode = "External"/>
	<Relationship Id="rId259" Type="http://schemas.openxmlformats.org/officeDocument/2006/relationships/hyperlink" Target="consultantplus://offline/ref=7228F6341DEEDDADB61BDCBF15E792DBC343ADBDB114040855EC3276C25A109AAE28A0670DB55623F3022DD81D215158C2562530556AA0EAWEZ3I" TargetMode = "External"/>
	<Relationship Id="rId260" Type="http://schemas.openxmlformats.org/officeDocument/2006/relationships/hyperlink" Target="consultantplus://offline/ref=7228F6341DEEDDADB61BDCBF15E792DBC440ABBBBE14040855EC3276C25A109AAE28A0670DB5552CF4022DD81D215158C2562530556AA0EAWEZ3I" TargetMode = "External"/>
	<Relationship Id="rId261" Type="http://schemas.openxmlformats.org/officeDocument/2006/relationships/hyperlink" Target="consultantplus://offline/ref=7228F6341DEEDDADB61BDCBF15E792DBC440ABBBBE14040855EC3276C25A109AAE28A0670DB5552CF6022DD81D215158C2562530556AA0EAWEZ3I" TargetMode = "External"/>
	<Relationship Id="rId262" Type="http://schemas.openxmlformats.org/officeDocument/2006/relationships/hyperlink" Target="consultantplus://offline/ref=7228F6341DEEDDADB61BDCBF15E792DBC440ABBBBE14040855EC3276C25A109AAE28A0670DB5552CF7022DD81D215158C2562530556AA0EAWEZ3I" TargetMode = "External"/>
	<Relationship Id="rId263" Type="http://schemas.openxmlformats.org/officeDocument/2006/relationships/hyperlink" Target="consultantplus://offline/ref=7228F6341DEEDDADB61BDCBF15E792DBC34AA1BEB217040855EC3276C25A109AAE28A0670DB45322F0022DD81D215158C2562530556AA0EAWEZ3I" TargetMode = "External"/>
	<Relationship Id="rId264" Type="http://schemas.openxmlformats.org/officeDocument/2006/relationships/hyperlink" Target="consultantplus://offline/ref=7228F6341DEEDDADB61BDCBF15E792DBC440ABBBBE14040855EC3276C25A109AAE28A0670DB5552CF0022DD81D215158C2562530556AA0EAWEZ3I" TargetMode = "External"/>
	<Relationship Id="rId265" Type="http://schemas.openxmlformats.org/officeDocument/2006/relationships/hyperlink" Target="consultantplus://offline/ref=7228F6341DEEDDADB61BDCBF15E792DBC343ADBDB114040855EC3276C25A109AAE28A0670DB55623FC022DD81D215158C2562530556AA0EAWEZ3I" TargetMode = "External"/>
	<Relationship Id="rId266" Type="http://schemas.openxmlformats.org/officeDocument/2006/relationships/hyperlink" Target="consultantplus://offline/ref=7228F6341DEEDDADB61BDCBF15E792DBC34AA1BEB217040855EC3276C25A109AAE28A0670DB45322F1022DD81D215158C2562530556AA0EAWEZ3I" TargetMode = "External"/>
	<Relationship Id="rId267" Type="http://schemas.openxmlformats.org/officeDocument/2006/relationships/hyperlink" Target="consultantplus://offline/ref=7228F6341DEEDDADB61BDCBF15E792DBC440ABBBBE14040855EC3276C25A109AAE28A0670DB5552CF2022DD81D215158C2562530556AA0EAWEZ3I" TargetMode = "External"/>
	<Relationship Id="rId268" Type="http://schemas.openxmlformats.org/officeDocument/2006/relationships/hyperlink" Target="consultantplus://offline/ref=7228F6341DEEDDADB61BDCBF15E792DBC440ABBBBE14040855EC3276C25A109AAE28A0670DB5552CFC022DD81D215158C2562530556AA0EAWEZ3I" TargetMode = "External"/>
	<Relationship Id="rId269" Type="http://schemas.openxmlformats.org/officeDocument/2006/relationships/hyperlink" Target="consultantplus://offline/ref=7228F6341DEEDDADB61BDCBF15E792DBC440ABBBBE14040855EC3276C25A109AAE28A0670DB5552CFD022DD81D215158C2562530556AA0EAWEZ3I" TargetMode = "External"/>
	<Relationship Id="rId270" Type="http://schemas.openxmlformats.org/officeDocument/2006/relationships/hyperlink" Target="consultantplus://offline/ref=7228F6341DEEDDADB61BDCBF15E792DBC34AA1BAB71B040855EC3276C25A109ABC28F86B0CB64A2AF6177B895BW7Z6I" TargetMode = "External"/>
	<Relationship Id="rId271" Type="http://schemas.openxmlformats.org/officeDocument/2006/relationships/hyperlink" Target="consultantplus://offline/ref=7228F6341DEEDDADB61BDCBF15E792DBC440ABBBBE14040855EC3276C25A109AAE28A0670DB55523F5022DD81D215158C2562530556AA0EAWEZ3I" TargetMode = "External"/>
	<Relationship Id="rId272" Type="http://schemas.openxmlformats.org/officeDocument/2006/relationships/hyperlink" Target="consultantplus://offline/ref=7228F6341DEEDDADB61BDCBF15E792DBC440ABBBBE14040855EC3276C25A109AAE28A0670DB55523F6022DD81D215158C2562530556AA0EAWEZ3I" TargetMode = "External"/>
	<Relationship Id="rId273" Type="http://schemas.openxmlformats.org/officeDocument/2006/relationships/hyperlink" Target="consultantplus://offline/ref=7228F6341DEEDDADB61BDCBF15E792DBC440ABBBBE14040855EC3276C25A109AAE28A0670DB55523F7022DD81D215158C2562530556AA0EAWEZ3I" TargetMode = "External"/>
	<Relationship Id="rId274" Type="http://schemas.openxmlformats.org/officeDocument/2006/relationships/hyperlink" Target="consultantplus://offline/ref=7228F6341DEEDDADB61BDCBF15E792DBC34AAAB8B214040855EC3276C25A109AAE28A0670DB55428FD022DD81D215158C2562530556AA0EAWEZ3I" TargetMode = "External"/>
	<Relationship Id="rId275" Type="http://schemas.openxmlformats.org/officeDocument/2006/relationships/hyperlink" Target="consultantplus://offline/ref=7228F6341DEEDDADB61BDCBF15E792DBC440ABBBBE14040855EC3276C25A109AAE28A0670DB55523F0022DD81D215158C2562530556AA0EAWEZ3I" TargetMode = "External"/>
	<Relationship Id="rId276" Type="http://schemas.openxmlformats.org/officeDocument/2006/relationships/hyperlink" Target="consultantplus://offline/ref=7228F6341DEEDDADB61BDCBF15E792DBC440A8B3B41A040855EC3276C25A109AAE28A0670DB5552CF0022DD81D215158C2562530556AA0EAWEZ3I" TargetMode = "External"/>
	<Relationship Id="rId277" Type="http://schemas.openxmlformats.org/officeDocument/2006/relationships/hyperlink" Target="consultantplus://offline/ref=7228F6341DEEDDADB61BDCBF15E792DBC440A8B3B41A040855EC3276C25A109AAE28A0670DB5552CF2022DD81D215158C2562530556AA0EAWEZ3I" TargetMode = "External"/>
	<Relationship Id="rId278" Type="http://schemas.openxmlformats.org/officeDocument/2006/relationships/hyperlink" Target="consultantplus://offline/ref=7228F6341DEEDDADB61BDCBF15E792DBC440A8B3B41A040855EC3276C25A109AAE28A0670DB5552CF3022DD81D215158C2562530556AA0EAWEZ3I" TargetMode = "External"/>
	<Relationship Id="rId279" Type="http://schemas.openxmlformats.org/officeDocument/2006/relationships/hyperlink" Target="consultantplus://offline/ref=7228F6341DEEDDADB61BDCBF15E792DBC142A0B2B411040855EC3276C25A109AAE28A0670DB5542BF1022DD81D215158C2562530556AA0EAWEZ3I" TargetMode = "External"/>
	<Relationship Id="rId280" Type="http://schemas.openxmlformats.org/officeDocument/2006/relationships/hyperlink" Target="consultantplus://offline/ref=7228F6341DEEDDADB61BDCBF15E792DBC440A8B3B41A040855EC3276C25A109AAE28A0670DB5552CFD022DD81D215158C2562530556AA0EAWEZ3I" TargetMode = "External"/>
	<Relationship Id="rId281" Type="http://schemas.openxmlformats.org/officeDocument/2006/relationships/hyperlink" Target="consultantplus://offline/ref=7228F6341DEEDDADB61BDCBF15E792DBC440ABBBBE17040855EC3276C25A109AAE28A0670DB5542FF2022DD81D215158C2562530556AA0EAWEZ3I" TargetMode = "External"/>
	<Relationship Id="rId282" Type="http://schemas.openxmlformats.org/officeDocument/2006/relationships/hyperlink" Target="consultantplus://offline/ref=7228F6341DEEDDADB61BDCBF15E792DBC440ABBBBE14040855EC3276C25A109AAE28A0670DB55523F1022DD81D215158C2562530556AA0EAWEZ3I" TargetMode = "External"/>
	<Relationship Id="rId283" Type="http://schemas.openxmlformats.org/officeDocument/2006/relationships/hyperlink" Target="consultantplus://offline/ref=7228F6341DEEDDADB61BDCBF15E792DBC440A8B3B41A040855EC3276C25A109AAE28A0670DB55523F4022DD81D215158C2562530556AA0EAWEZ3I" TargetMode = "External"/>
	<Relationship Id="rId284" Type="http://schemas.openxmlformats.org/officeDocument/2006/relationships/hyperlink" Target="consultantplus://offline/ref=7228F6341DEEDDADB61BDCBF15E792DBC440ABBBBE14040855EC3276C25A109AAE28A0670DB55523F3022DD81D215158C2562530556AA0EAWEZ3I" TargetMode = "External"/>
	<Relationship Id="rId285" Type="http://schemas.openxmlformats.org/officeDocument/2006/relationships/hyperlink" Target="consultantplus://offline/ref=7228F6341DEEDDADB61BDCBF15E792DBC440A8B3B41A040855EC3276C25A109AAE28A0670DB55523F6022DD81D215158C2562530556AA0EAWEZ3I" TargetMode = "External"/>
	<Relationship Id="rId286" Type="http://schemas.openxmlformats.org/officeDocument/2006/relationships/hyperlink" Target="consultantplus://offline/ref=7228F6341DEEDDADB61BDCBF15E792DBC440ABBBBE14040855EC3276C25A109AAE28A0670DB55523FD022DD81D215158C2562530556AA0EAWEZ3I" TargetMode = "External"/>
	<Relationship Id="rId287" Type="http://schemas.openxmlformats.org/officeDocument/2006/relationships/hyperlink" Target="consultantplus://offline/ref=7228F6341DEEDDADB61BDCBF15E792DBC440ABBBBE14040855EC3276C25A109AAE28A0670DB55522F4022DD81D215158C2562530556AA0EAWEZ3I" TargetMode = "External"/>
	<Relationship Id="rId288" Type="http://schemas.openxmlformats.org/officeDocument/2006/relationships/hyperlink" Target="consultantplus://offline/ref=7228F6341DEEDDADB61BDCBF15E792DBC440ABBBBE14040855EC3276C25A109AAE28A0670DB55522F6022DD81D215158C2562530556AA0EAWEZ3I" TargetMode = "External"/>
	<Relationship Id="rId289" Type="http://schemas.openxmlformats.org/officeDocument/2006/relationships/hyperlink" Target="consultantplus://offline/ref=7228F6341DEEDDADB61BDCBF15E792DBC440ABBBBE14040855EC3276C25A109AAE28A0670DB55522F7022DD81D215158C2562530556AA0EAWEZ3I" TargetMode = "External"/>
	<Relationship Id="rId290" Type="http://schemas.openxmlformats.org/officeDocument/2006/relationships/hyperlink" Target="consultantplus://offline/ref=7228F6341DEEDDADB61BDCBF15E792DBC440ABBBBE14040855EC3276C25A109AAE28A0670DB55522F0022DD81D215158C2562530556AA0EAWEZ3I" TargetMode = "External"/>
	<Relationship Id="rId291" Type="http://schemas.openxmlformats.org/officeDocument/2006/relationships/hyperlink" Target="consultantplus://offline/ref=7228F6341DEEDDADB61BDCBF15E792DBC440ABBBBE14040855EC3276C25A109AAE28A0670DB55522F2022DD81D215158C2562530556AA0EAWEZ3I" TargetMode = "External"/>
	<Relationship Id="rId292" Type="http://schemas.openxmlformats.org/officeDocument/2006/relationships/hyperlink" Target="consultantplus://offline/ref=7228F6341DEEDDADB61BDCBF15E792DBC440ABBBBE14040855EC3276C25A109AAE28A0670DB55522FC022DD81D215158C2562530556AA0EAWEZ3I" TargetMode = "External"/>
	<Relationship Id="rId293" Type="http://schemas.openxmlformats.org/officeDocument/2006/relationships/hyperlink" Target="consultantplus://offline/ref=7228F6341DEEDDADB61BDCBF15E792DBC440ABBBBE14040855EC3276C25A109AAE28A0670DB55522FD022DD81D215158C2562530556AA0EAWEZ3I" TargetMode = "External"/>
	<Relationship Id="rId294" Type="http://schemas.openxmlformats.org/officeDocument/2006/relationships/hyperlink" Target="consultantplus://offline/ref=7228F6341DEEDDADB61BDCBF15E792DBC440ABBBBE14040855EC3276C25A109AAE28A0670DB5562BF4022DD81D215158C2562530556AA0EAWEZ3I" TargetMode = "External"/>
	<Relationship Id="rId295" Type="http://schemas.openxmlformats.org/officeDocument/2006/relationships/hyperlink" Target="consultantplus://offline/ref=7228F6341DEEDDADB61BDCBF15E792DBC440ABBBBE14040855EC3276C25A109AAE28A0670DB5562BF5022DD81D215158C2562530556AA0EAWEZ3I" TargetMode = "External"/>
	<Relationship Id="rId296" Type="http://schemas.openxmlformats.org/officeDocument/2006/relationships/hyperlink" Target="consultantplus://offline/ref=7228F6341DEEDDADB61BDCBF15E792DBC440ABBBBE14040855EC3276C25A109AAE28A0670DB5562BF6022DD81D215158C2562530556AA0EAWEZ3I" TargetMode = "External"/>
	<Relationship Id="rId297" Type="http://schemas.openxmlformats.org/officeDocument/2006/relationships/hyperlink" Target="consultantplus://offline/ref=7228F6341DEEDDADB61BDCBF15E792DBC440ABBBBE14040855EC3276C25A109AAE28A0670DB5562BF7022DD81D215158C2562530556AA0EAWEZ3I" TargetMode = "External"/>
	<Relationship Id="rId298" Type="http://schemas.openxmlformats.org/officeDocument/2006/relationships/hyperlink" Target="consultantplus://offline/ref=7228F6341DEEDDADB61BDCBF15E792DBC440ABBBBE14040855EC3276C25A109AAE28A0670DB5562BF1022DD81D215158C2562530556AA0EAWEZ3I" TargetMode = "External"/>
	<Relationship Id="rId299" Type="http://schemas.openxmlformats.org/officeDocument/2006/relationships/hyperlink" Target="consultantplus://offline/ref=7228F6341DEEDDADB61BDCBF15E792DBC440ABBBBE14040855EC3276C25A109AAE28A0670DB5562BF2022DD81D215158C2562530556AA0EAWEZ3I" TargetMode = "External"/>
	<Relationship Id="rId300" Type="http://schemas.openxmlformats.org/officeDocument/2006/relationships/hyperlink" Target="consultantplus://offline/ref=7228F6341DEEDDADB61BDCBF15E792DBC440ABBBBE14040855EC3276C25A109AAE28A0670DB5562BF3022DD81D215158C2562530556AA0EAWEZ3I" TargetMode = "External"/>
	<Relationship Id="rId301" Type="http://schemas.openxmlformats.org/officeDocument/2006/relationships/hyperlink" Target="consultantplus://offline/ref=7228F6341DEEDDADB61BDCBF15E792DBC440ABBBBE14040855EC3276C25A109AAE28A0670DB5562BFC022DD81D215158C2562530556AA0EAWEZ3I" TargetMode = "External"/>
	<Relationship Id="rId302" Type="http://schemas.openxmlformats.org/officeDocument/2006/relationships/hyperlink" Target="consultantplus://offline/ref=7228F6341DEEDDADB61BDCBF15E792DBC34AA1BAB71B040855EC3276C25A109ABC28F86B0CB64A2AF6177B895BW7Z6I" TargetMode = "External"/>
	<Relationship Id="rId303" Type="http://schemas.openxmlformats.org/officeDocument/2006/relationships/hyperlink" Target="consultantplus://offline/ref=7228F6341DEEDDADB61BDCBF15E792DBC440ABBBBE14040855EC3276C25A109AAE28A0670DB5562BFD022DD81D215158C2562530556AA0EAWEZ3I" TargetMode = "External"/>
	<Relationship Id="rId304" Type="http://schemas.openxmlformats.org/officeDocument/2006/relationships/hyperlink" Target="consultantplus://offline/ref=7228F6341DEEDDADB61BDCBF15E792DBC440ABBBBE14040855EC3276C25A109AAE28A0670DB5562AF5022DD81D215158C2562530556AA0EAWEZ3I" TargetMode = "External"/>
	<Relationship Id="rId305" Type="http://schemas.openxmlformats.org/officeDocument/2006/relationships/hyperlink" Target="consultantplus://offline/ref=7228F6341DEEDDADB61BDCBF15E792DBC440ABBBBE14040855EC3276C25A109AAE28A0670DB5562AF7022DD81D215158C2562530556AA0EAWEZ3I" TargetMode = "External"/>
	<Relationship Id="rId306" Type="http://schemas.openxmlformats.org/officeDocument/2006/relationships/hyperlink" Target="consultantplus://offline/ref=7228F6341DEEDDADB61BDCBF15E792DBC440ABBBBE14040855EC3276C25A109AAE28A0670DB5562AF1022DD81D215158C2562530556AA0EAWEZ3I" TargetMode = "External"/>
	<Relationship Id="rId307" Type="http://schemas.openxmlformats.org/officeDocument/2006/relationships/hyperlink" Target="consultantplus://offline/ref=7228F6341DEEDDADB61BDCBF15E792DBC440A8B3B41A040855EC3276C25A109AAE28A0670DB55523F7022DD81D215158C2562530556AA0EAWEZ3I" TargetMode = "External"/>
	<Relationship Id="rId308" Type="http://schemas.openxmlformats.org/officeDocument/2006/relationships/hyperlink" Target="consultantplus://offline/ref=7228F6341DEEDDADB61BDCBF15E792DBC440ABBBBE14040855EC3276C25A109AAE28A0670DB5562AF3022DD81D215158C2562530556AA0EAWEZ3I" TargetMode = "External"/>
	<Relationship Id="rId309" Type="http://schemas.openxmlformats.org/officeDocument/2006/relationships/hyperlink" Target="consultantplus://offline/ref=7228F6341DEEDDADB61BDCBF15E792DBC440ABBBBE14040855EC3276C25A109AAE28A0670DB5562AFC022DD81D215158C2562530556AA0EAWEZ3I" TargetMode = "External"/>
	<Relationship Id="rId310" Type="http://schemas.openxmlformats.org/officeDocument/2006/relationships/hyperlink" Target="consultantplus://offline/ref=7228F6341DEEDDADB61BDCBF15E792DBC440ABBBBE14040855EC3276C25A109AAE28A0670DB5562AFD022DD81D215158C2562530556AA0EAWEZ3I" TargetMode = "External"/>
	<Relationship Id="rId311" Type="http://schemas.openxmlformats.org/officeDocument/2006/relationships/hyperlink" Target="consultantplus://offline/ref=7228F6341DEEDDADB61BDCBF15E792DBC440ABBBBE14040855EC3276C25A109AAE28A0670DB55629F4022DD81D215158C2562530556AA0EAWEZ3I" TargetMode = "External"/>
	<Relationship Id="rId312" Type="http://schemas.openxmlformats.org/officeDocument/2006/relationships/hyperlink" Target="consultantplus://offline/ref=7228F6341DEEDDADB61BDCBF15E792DBC440ABBBBE14040855EC3276C25A109AAE28A0670DB55629F5022DD81D215158C2562530556AA0EAWEZ3I" TargetMode = "External"/>
	<Relationship Id="rId313" Type="http://schemas.openxmlformats.org/officeDocument/2006/relationships/hyperlink" Target="consultantplus://offline/ref=7228F6341DEEDDADB61BDCBF15E792DBC440ABBBBE14040855EC3276C25A109AAE28A0670DB55629F6022DD81D215158C2562530556AA0EAWEZ3I" TargetMode = "External"/>
	<Relationship Id="rId314" Type="http://schemas.openxmlformats.org/officeDocument/2006/relationships/hyperlink" Target="consultantplus://offline/ref=7228F6341DEEDDADB61BDCBF15E792DBC34AA1BAB71B040855EC3276C25A109ABC28F86B0CB64A2AF6177B895BW7Z6I" TargetMode = "External"/>
	<Relationship Id="rId315" Type="http://schemas.openxmlformats.org/officeDocument/2006/relationships/hyperlink" Target="consultantplus://offline/ref=7228F6341DEEDDADB61BDCBF15E792DBC440ABBBBE14040855EC3276C25A109AAE28A0670DB55629F7022DD81D215158C2562530556AA0EAWEZ3I" TargetMode = "External"/>
	<Relationship Id="rId316" Type="http://schemas.openxmlformats.org/officeDocument/2006/relationships/hyperlink" Target="consultantplus://offline/ref=7228F6341DEEDDADB61BDCBF15E792DBC440ABBBBE14040855EC3276C25A109AAE28A0670DB55629F2022DD81D215158C2562530556AA0EAWEZ3I" TargetMode = "External"/>
	<Relationship Id="rId317" Type="http://schemas.openxmlformats.org/officeDocument/2006/relationships/hyperlink" Target="consultantplus://offline/ref=7228F6341DEEDDADB61BDCBF15E792DBC440ABBBBE14040855EC3276C25A109AAE28A0670DB55629F3022DD81D215158C2562530556AA0EAWEZ3I" TargetMode = "External"/>
	<Relationship Id="rId318" Type="http://schemas.openxmlformats.org/officeDocument/2006/relationships/hyperlink" Target="consultantplus://offline/ref=7228F6341DEEDDADB61BDCBF15E792DBC440ABBBBE14040855EC3276C25A109AAE28A0670DB55629FC022DD81D215158C2562530556AA0EAWEZ3I" TargetMode = "External"/>
	<Relationship Id="rId319" Type="http://schemas.openxmlformats.org/officeDocument/2006/relationships/hyperlink" Target="consultantplus://offline/ref=7228F6341DEEDDADB61BDCBF15E792DBC440ABBBBE14040855EC3276C25A109AAE28A0670DB55629FD022DD81D215158C2562530556AA0EAWEZ3I" TargetMode = "External"/>
	<Relationship Id="rId320" Type="http://schemas.openxmlformats.org/officeDocument/2006/relationships/hyperlink" Target="consultantplus://offline/ref=7228F6341DEEDDADB61BDCBF15E792DBC440ABBBBE14040855EC3276C25A109AAE28A0670DB55628F4022DD81D215158C2562530556AA0EAWEZ3I" TargetMode = "External"/>
	<Relationship Id="rId321" Type="http://schemas.openxmlformats.org/officeDocument/2006/relationships/hyperlink" Target="consultantplus://offline/ref=7228F6341DEEDDADB61BDCBF15E792DBC440ABBBBE14040855EC3276C25A109AAE28A0670DB55628F5022DD81D215158C2562530556AA0EAWEZ3I" TargetMode = "External"/>
	<Relationship Id="rId322" Type="http://schemas.openxmlformats.org/officeDocument/2006/relationships/hyperlink" Target="consultantplus://offline/ref=7228F6341DEEDDADB61BDCBF15E792DBC440ABBBBE14040855EC3276C25A109AAE28A0670DB55628F7022DD81D215158C2562530556AA0EAWEZ3I" TargetMode = "External"/>
	<Relationship Id="rId323" Type="http://schemas.openxmlformats.org/officeDocument/2006/relationships/hyperlink" Target="consultantplus://offline/ref=7228F6341DEEDDADB61BDCBF15E792DBC440A8B3B41A040855EC3276C25A109AAE28A0670DB55523F1022DD81D215158C2562530556AA0EAWEZ3I" TargetMode = "External"/>
	<Relationship Id="rId324" Type="http://schemas.openxmlformats.org/officeDocument/2006/relationships/hyperlink" Target="consultantplus://offline/ref=7228F6341DEEDDADB61BDCBF15E792DBC441ABB3B31A040855EC3276C25A109AAE28A0670DB5542AF4022DD81D215158C2562530556AA0EAWEZ3I" TargetMode = "External"/>
	<Relationship Id="rId325" Type="http://schemas.openxmlformats.org/officeDocument/2006/relationships/hyperlink" Target="consultantplus://offline/ref=7228F6341DEEDDADB61BDCBF15E792DBC440A8B3B41A040855EC3276C25A109AAE28A0670DB55523F3022DD81D215158C2562530556AA0EAWEZ3I" TargetMode = "External"/>
	<Relationship Id="rId326" Type="http://schemas.openxmlformats.org/officeDocument/2006/relationships/hyperlink" Target="consultantplus://offline/ref=7228F6341DEEDDADB61BDCBF15E792DBC440ABBBBE14040855EC3276C25A109AAE28A0670DB55628F1022DD81D215158C2562530556AA0EAWEZ3I" TargetMode = "External"/>
	<Relationship Id="rId327" Type="http://schemas.openxmlformats.org/officeDocument/2006/relationships/hyperlink" Target="consultantplus://offline/ref=7228F6341DEEDDADB61BDCBF15E792DBC84AABBFB51959025DB53E74C5554F9FA939A0670EAB5529EA0B798BW5ZBI" TargetMode = "External"/>
	<Relationship Id="rId328" Type="http://schemas.openxmlformats.org/officeDocument/2006/relationships/hyperlink" Target="consultantplus://offline/ref=7228F6341DEEDDADB61BDCBF15E792DBC440ABBBBE14040855EC3276C25A109AAE28A0670DB55628F3022DD81D215158C2562530556AA0EAWEZ3I" TargetMode = "External"/>
	<Relationship Id="rId329" Type="http://schemas.openxmlformats.org/officeDocument/2006/relationships/hyperlink" Target="consultantplus://offline/ref=7228F6341DEEDDADB61BDCBF15E792DBC440ABBBBE14040855EC3276C25A109AAE28A0670DB55628FC022DD81D215158C2562530556AA0EAWEZ3I" TargetMode = "External"/>
	<Relationship Id="rId330" Type="http://schemas.openxmlformats.org/officeDocument/2006/relationships/hyperlink" Target="consultantplus://offline/ref=7228F6341DEEDDADB61BDCBF15E792DBC440ABBBBE14040855EC3276C25A109AAE28A0670DB55628FD022DD81D215158C2562530556AA0EAWEZ3I" TargetMode = "External"/>
	<Relationship Id="rId331" Type="http://schemas.openxmlformats.org/officeDocument/2006/relationships/hyperlink" Target="consultantplus://offline/ref=7228F6341DEEDDADB61BDCBF15E792DBC440ABBBBE14040855EC3276C25A109AAE28A0670DB5562FF4022DD81D215158C2562530556AA0EAWEZ3I" TargetMode = "External"/>
	<Relationship Id="rId332" Type="http://schemas.openxmlformats.org/officeDocument/2006/relationships/hyperlink" Target="consultantplus://offline/ref=7228F6341DEEDDADB61BDCBF15E792DBC440ABBBBE14040855EC3276C25A109AAE28A0670DB5562FF5022DD81D215158C2562530556AA0EAWEZ3I" TargetMode = "External"/>
	<Relationship Id="rId333" Type="http://schemas.openxmlformats.org/officeDocument/2006/relationships/hyperlink" Target="consultantplus://offline/ref=7228F6341DEEDDADB61BDCBF15E792DBC440ABBBBE14040855EC3276C25A109AAE28A0670DB5562FF6022DD81D215158C2562530556AA0EAWEZ3I" TargetMode = "External"/>
	<Relationship Id="rId334" Type="http://schemas.openxmlformats.org/officeDocument/2006/relationships/hyperlink" Target="consultantplus://offline/ref=7228F6341DEEDDADB61BDCBF15E792DBC440ABBBBE14040855EC3276C25A109AAE28A0670DB5562FF7022DD81D215158C2562530556AA0EAWEZ3I" TargetMode = "External"/>
	<Relationship Id="rId335" Type="http://schemas.openxmlformats.org/officeDocument/2006/relationships/hyperlink" Target="consultantplus://offline/ref=7228F6341DEEDDADB61BDCBF15E792DBC440ABBBBE14040855EC3276C25A109AAE28A0670DB5562FF0022DD81D215158C2562530556AA0EAWEZ3I" TargetMode = "External"/>
	<Relationship Id="rId336" Type="http://schemas.openxmlformats.org/officeDocument/2006/relationships/hyperlink" Target="consultantplus://offline/ref=7228F6341DEEDDADB61BDCBF15E792DBC440ABBBBE17040855EC3276C25A109AAE28A0670DB5542FF3022DD81D215158C2562530556AA0EAWEZ3I" TargetMode = "External"/>
	<Relationship Id="rId337" Type="http://schemas.openxmlformats.org/officeDocument/2006/relationships/hyperlink" Target="consultantplus://offline/ref=7228F6341DEEDDADB61BDCBF15E792DBC440ABBBBE14040855EC3276C25A109AAE28A0670DB5562FF3022DD81D215158C2562530556AA0EAWEZ3I" TargetMode = "External"/>
	<Relationship Id="rId338" Type="http://schemas.openxmlformats.org/officeDocument/2006/relationships/hyperlink" Target="consultantplus://offline/ref=7228F6341DEEDDADB61BDCBF15E792DBC440ABBBBE14040855EC3276C25A109AAE28A0670DB5562FFC022DD81D215158C2562530556AA0EAWEZ3I" TargetMode = "External"/>
	<Relationship Id="rId339" Type="http://schemas.openxmlformats.org/officeDocument/2006/relationships/hyperlink" Target="consultantplus://offline/ref=7228F6341DEEDDADB61BDCBF15E792DBC440ABBBBE14040855EC3276C25A109AAE28A0670DB5562FFD022DD81D215158C2562530556AA0EAWEZ3I" TargetMode = "External"/>
	<Relationship Id="rId340" Type="http://schemas.openxmlformats.org/officeDocument/2006/relationships/hyperlink" Target="consultantplus://offline/ref=7228F6341DEEDDADB61BDCBF15E792DBC440A8B3B41A040855EC3276C25A109AAE28A0670DB55523FD022DD81D215158C2562530556AA0EAWEZ3I" TargetMode = "External"/>
	<Relationship Id="rId341" Type="http://schemas.openxmlformats.org/officeDocument/2006/relationships/hyperlink" Target="consultantplus://offline/ref=7228F6341DEEDDADB61BDCBF15E792DBC440ABBBBE14040855EC3276C25A109AAE28A0670DB5562EF5022DD81D215158C2562530556AA0EAWEZ3I" TargetMode = "External"/>
	<Relationship Id="rId342" Type="http://schemas.openxmlformats.org/officeDocument/2006/relationships/hyperlink" Target="consultantplus://offline/ref=7228F6341DEEDDADB61BDCBF15E792DBC440ABBBBE14040855EC3276C25A109AAE28A0670DB5562EF6022DD81D215158C2562530556AA0EAWEZ3I" TargetMode = "External"/>
	<Relationship Id="rId343" Type="http://schemas.openxmlformats.org/officeDocument/2006/relationships/hyperlink" Target="consultantplus://offline/ref=7228F6341DEEDDADB61BDCBF15E792DBC440ABBBBE14040855EC3276C25A109AAE28A0670DB5562EF7022DD81D215158C2562530556AA0EAWEZ3I" TargetMode = "External"/>
	<Relationship Id="rId344" Type="http://schemas.openxmlformats.org/officeDocument/2006/relationships/hyperlink" Target="consultantplus://offline/ref=7228F6341DEEDDADB61BDCBF15E792DBC440ABBBBE14040855EC3276C25A109AAE28A0670DB5562EF0022DD81D215158C2562530556AA0EAWEZ3I" TargetMode = "External"/>
	<Relationship Id="rId345" Type="http://schemas.openxmlformats.org/officeDocument/2006/relationships/hyperlink" Target="consultantplus://offline/ref=7228F6341DEEDDADB61BDCBF15E792DBC440ABBBBE14040855EC3276C25A109AAE28A0670DB5562EF1022DD81D215158C2562530556AA0EAWEZ3I" TargetMode = "External"/>
	<Relationship Id="rId346" Type="http://schemas.openxmlformats.org/officeDocument/2006/relationships/hyperlink" Target="consultantplus://offline/ref=7228F6341DEEDDADB61BDCBF15E792DBC440ABBBBE14040855EC3276C25A109AAE28A0670DB5562EF2022DD81D215158C2562530556AA0EAWEZ3I" TargetMode = "External"/>
	<Relationship Id="rId347" Type="http://schemas.openxmlformats.org/officeDocument/2006/relationships/hyperlink" Target="consultantplus://offline/ref=7228F6341DEEDDADB61BDCBF15E792DBC440ABBBBE14040855EC3276C25A109AAE28A0670DB5562EFC022DD81D215158C2562530556AA0EAWEZ3I" TargetMode = "External"/>
	<Relationship Id="rId348" Type="http://schemas.openxmlformats.org/officeDocument/2006/relationships/hyperlink" Target="consultantplus://offline/ref=7228F6341DEEDDADB61BDCBF15E792DBC344ACBDB213040855EC3276C25A109AAE28A0670DB5542AF1022DD81D215158C2562530556AA0EAWEZ3I" TargetMode = "External"/>
	<Relationship Id="rId349" Type="http://schemas.openxmlformats.org/officeDocument/2006/relationships/hyperlink" Target="consultantplus://offline/ref=7228F6341DEEDDADB61BDCBF15E792DBC440ABBBBE14040855EC3276C25A109AAE28A0670DB5562DF4022DD81D215158C2562530556AA0EAWEZ3I" TargetMode = "External"/>
	<Relationship Id="rId350" Type="http://schemas.openxmlformats.org/officeDocument/2006/relationships/hyperlink" Target="consultantplus://offline/ref=7228F6341DEEDDADB61BDCBF15E792DBC440ABBBBE14040855EC3276C25A109AAE28A0670DB5562DF5022DD81D215158C2562530556AA0EAWEZ3I" TargetMode = "External"/>
	<Relationship Id="rId351" Type="http://schemas.openxmlformats.org/officeDocument/2006/relationships/hyperlink" Target="consultantplus://offline/ref=7228F6341DEEDDADB61BDCBF15E792DBC440ABBBBE14040855EC3276C25A109AAE28A0670DB5562DF6022DD81D215158C2562530556AA0EAWEZ3I" TargetMode = "External"/>
	<Relationship Id="rId352" Type="http://schemas.openxmlformats.org/officeDocument/2006/relationships/hyperlink" Target="consultantplus://offline/ref=7228F6341DEEDDADB61BDCBF15E792DBC440ABBBBE14040855EC3276C25A109AAE28A0670DB5562DF7022DD81D215158C2562530556AA0EAWEZ3I" TargetMode = "External"/>
	<Relationship Id="rId353" Type="http://schemas.openxmlformats.org/officeDocument/2006/relationships/hyperlink" Target="consultantplus://offline/ref=7228F6341DEEDDADB61BDCBF15E792DBC440ABBBBE14040855EC3276C25A109AAE28A0670DB5562DF0022DD81D215158C2562530556AA0EAWEZ3I" TargetMode = "External"/>
	<Relationship Id="rId354" Type="http://schemas.openxmlformats.org/officeDocument/2006/relationships/hyperlink" Target="consultantplus://offline/ref=7228F6341DEEDDADB61BDCBF15E792DBC440ABBBBE14040855EC3276C25A109AAE28A0670DB5562DF1022DD81D215158C2562530556AA0EAWEZ3I" TargetMode = "External"/>
	<Relationship Id="rId355" Type="http://schemas.openxmlformats.org/officeDocument/2006/relationships/hyperlink" Target="consultantplus://offline/ref=7228F6341DEEDDADB61BDCBF15E792DBC440ABBBBE14040855EC3276C25A109AAE28A0670DB5562DF2022DD81D215158C2562530556AA0EAWEZ3I" TargetMode = "External"/>
	<Relationship Id="rId356" Type="http://schemas.openxmlformats.org/officeDocument/2006/relationships/hyperlink" Target="consultantplus://offline/ref=7228F6341DEEDDADB61BDCBF15E792DBC443ACB2B311040855EC3276C25A109AAE28A0670DB55129FD022DD81D215158C2562530556AA0EAWEZ3I" TargetMode = "External"/>
	<Relationship Id="rId357" Type="http://schemas.openxmlformats.org/officeDocument/2006/relationships/hyperlink" Target="consultantplus://offline/ref=7228F6341DEEDDADB61BDCBF15E792DBC440ABBBBE14040855EC3276C25A109AAE28A0670DB5562DF3022DD81D215158C2562530556AA0EAWEZ3I" TargetMode = "External"/>
	<Relationship Id="rId358" Type="http://schemas.openxmlformats.org/officeDocument/2006/relationships/hyperlink" Target="consultantplus://offline/ref=7228F6341DEEDDADB61BDCBF15E792DBC440ABBBBE14040855EC3276C25A109AAE28A0670DB5562CF4022DD81D215158C2562530556AA0EAWEZ3I" TargetMode = "External"/>
	<Relationship Id="rId359" Type="http://schemas.openxmlformats.org/officeDocument/2006/relationships/hyperlink" Target="consultantplus://offline/ref=7228F6341DEEDDADB61BDCBF15E792DBC440ABBBBE14040855EC3276C25A109AAE28A0670DB5562CF5022DD81D215158C2562530556AA0EAWEZ3I" TargetMode = "External"/>
	<Relationship Id="rId360" Type="http://schemas.openxmlformats.org/officeDocument/2006/relationships/hyperlink" Target="consultantplus://offline/ref=7228F6341DEEDDADB61BDCBF15E792DBC440ABBBBE14040855EC3276C25A109AAE28A0670DB5562CF6022DD81D215158C2562530556AA0EAWEZ3I" TargetMode = "External"/>
	<Relationship Id="rId361" Type="http://schemas.openxmlformats.org/officeDocument/2006/relationships/hyperlink" Target="consultantplus://offline/ref=7228F6341DEEDDADB61BDCBF15E792DBC440ABBBBE14040855EC3276C25A109AAE28A0670DB5562CF7022DD81D215158C2562530556AA0EAWEZ3I" TargetMode = "External"/>
	<Relationship Id="rId362" Type="http://schemas.openxmlformats.org/officeDocument/2006/relationships/hyperlink" Target="consultantplus://offline/ref=7228F6341DEEDDADB61BDCBF15E792DBC440ABBBBE14040855EC3276C25A109AAE28A0670DB5562CF0022DD81D215158C2562530556AA0EAWEZ3I" TargetMode = "External"/>
	<Relationship Id="rId363" Type="http://schemas.openxmlformats.org/officeDocument/2006/relationships/hyperlink" Target="consultantplus://offline/ref=7228F6341DEEDDADB61BDCBF15E792DBC440A8B3B41A040855EC3276C25A109AAE28A0670DB55522F5022DD81D215158C2562530556AA0EAWEZ3I" TargetMode = "External"/>
	<Relationship Id="rId364" Type="http://schemas.openxmlformats.org/officeDocument/2006/relationships/hyperlink" Target="consultantplus://offline/ref=7228F6341DEEDDADB61BDCBF15E792DBC440ABBBBE14040855EC3276C25A109AAE28A0670DB5562CF1022DD81D215158C2562530556AA0EAWEZ3I" TargetMode = "External"/>
	<Relationship Id="rId365" Type="http://schemas.openxmlformats.org/officeDocument/2006/relationships/hyperlink" Target="consultantplus://offline/ref=7228F6341DEEDDADB61BDCBF15E792DBC440ABBBBE14040855EC3276C25A109AAE28A0670DB5562CF2022DD81D215158C2562530556AA0EAWEZ3I" TargetMode = "External"/>
	<Relationship Id="rId366" Type="http://schemas.openxmlformats.org/officeDocument/2006/relationships/hyperlink" Target="consultantplus://offline/ref=7228F6341DEEDDADB61BDCBF15E792DBC440ABBBBE14040855EC3276C25A109AAE28A0670DB5562CFC022DD81D215158C2562530556AA0EAWEZ3I" TargetMode = "External"/>
	<Relationship Id="rId367" Type="http://schemas.openxmlformats.org/officeDocument/2006/relationships/hyperlink" Target="consultantplus://offline/ref=7228F6341DEEDDADB61BDCBF15E792DBC440ABBBBE14040855EC3276C25A109AAE28A0670DB5562CFD022DD81D215158C2562530556AA0EAWEZ3I" TargetMode = "External"/>
	<Relationship Id="rId368" Type="http://schemas.openxmlformats.org/officeDocument/2006/relationships/hyperlink" Target="consultantplus://offline/ref=7228F6341DEEDDADB61BDCBF15E792DBC440ABBBBE14040855EC3276C25A109AAE28A0670DB55623F4022DD81D215158C2562530556AA0EAWEZ3I" TargetMode = "External"/>
	<Relationship Id="rId369" Type="http://schemas.openxmlformats.org/officeDocument/2006/relationships/hyperlink" Target="consultantplus://offline/ref=7228F6341DEEDDADB61BDCBF15E792DBC347A8B2B312040855EC3276C25A109AAE28A0670DB5542AF0022DD81D215158C2562530556AA0EAWEZ3I" TargetMode = "External"/>
	<Relationship Id="rId370" Type="http://schemas.openxmlformats.org/officeDocument/2006/relationships/hyperlink" Target="consultantplus://offline/ref=7228F6341DEEDDADB61BDCBF15E792DBC440ABBBBE14040855EC3276C25A109AAE28A0670DB55623F6022DD81D215158C2562530556AA0EAWEZ3I" TargetMode = "External"/>
	<Relationship Id="rId371" Type="http://schemas.openxmlformats.org/officeDocument/2006/relationships/hyperlink" Target="consultantplus://offline/ref=7228F6341DEEDDADB61BDCBF15E792DBC34AA1BAB71B040855EC3276C25A109ABC28F86B0CB64A2AF6177B895BW7Z6I" TargetMode = "External"/>
	<Relationship Id="rId372" Type="http://schemas.openxmlformats.org/officeDocument/2006/relationships/hyperlink" Target="consultantplus://offline/ref=7228F6341DEEDDADB61BDCBF15E792DBC440ABBBBE14040855EC3276C25A109AAE28A0670DB55623F7022DD81D215158C2562530556AA0EAWEZ3I" TargetMode = "External"/>
	<Relationship Id="rId373" Type="http://schemas.openxmlformats.org/officeDocument/2006/relationships/hyperlink" Target="consultantplus://offline/ref=7228F6341DEEDDADB61BDCBF15E792DBC440A8B3B41A040855EC3276C25A109AAE28A0670DB55522F7022DD81D215158C2562530556AA0EAWEZ3I" TargetMode = "External"/>
	<Relationship Id="rId374" Type="http://schemas.openxmlformats.org/officeDocument/2006/relationships/hyperlink" Target="consultantplus://offline/ref=7228F6341DEEDDADB61BDCBF15E792DBC440A8B3B41A040855EC3276C25A109AAE28A0670DB5562BFD022DD81D215158C2562530556AA0EAWEZ3I" TargetMode = "External"/>
	<Relationship Id="rId375" Type="http://schemas.openxmlformats.org/officeDocument/2006/relationships/hyperlink" Target="consultantplus://offline/ref=7228F6341DEEDDADB61BDCBF15E792DBC440A8B3B41A040855EC3276C25A109AAE28A0670DB5562AF7022DD81D215158C2562530556AA0EAWEZ3I" TargetMode = "External"/>
	<Relationship Id="rId376" Type="http://schemas.openxmlformats.org/officeDocument/2006/relationships/hyperlink" Target="consultantplus://offline/ref=7228F6341DEEDDADB61BDCBF15E792DBC440A8B3B41A040855EC3276C25A109AAE28A0670DB5562AFC022DD81D215158C2562530556AA0EAWEZ3I" TargetMode = "External"/>
	<Relationship Id="rId377" Type="http://schemas.openxmlformats.org/officeDocument/2006/relationships/hyperlink" Target="consultantplus://offline/ref=7228F6341DEEDDADB61BDCBF15E792DBC440ABBBBE14040855EC3276C25A109AAE28A0670DB55623FC022DD81D215158C2562530556AA0EAWEZ3I" TargetMode = "External"/>
	<Relationship Id="rId378" Type="http://schemas.openxmlformats.org/officeDocument/2006/relationships/hyperlink" Target="consultantplus://offline/ref=7228F6341DEEDDADB61BDCBF15E792DBC440A8B3B41A040855EC3276C25A109AAE28A0670DB5562AFC022DD81D215158C2562530556AA0EAWEZ3I" TargetMode = "External"/>
	<Relationship Id="rId379" Type="http://schemas.openxmlformats.org/officeDocument/2006/relationships/hyperlink" Target="consultantplus://offline/ref=7228F6341DEEDDADB61BDCBF15E792DBC440ABBBBE14040855EC3276C25A109AAE28A0670DB55623FC022DD81D215158C2562530556AA0EAWEZ3I" TargetMode = "External"/>
	<Relationship Id="rId380" Type="http://schemas.openxmlformats.org/officeDocument/2006/relationships/hyperlink" Target="consultantplus://offline/ref=7228F6341DEEDDADB61BDCBF15E792DBC440ABBBBE14040855EC3276C25A109AAE28A0670DB55623FD022DD81D215158C2562530556AA0EAWEZ3I" TargetMode = "External"/>
	<Relationship Id="rId381" Type="http://schemas.openxmlformats.org/officeDocument/2006/relationships/hyperlink" Target="consultantplus://offline/ref=7228F6341DEEDDADB61BDCBF15E792DBC440ABBBBE14040855EC3276C25A109AAE28A0670DB55622F4022DD81D215158C2562530556AA0EAWEZ3I" TargetMode = "External"/>
	<Relationship Id="rId382" Type="http://schemas.openxmlformats.org/officeDocument/2006/relationships/hyperlink" Target="consultantplus://offline/ref=7228F6341DEEDDADB61BDCBF15E792DBC440A8B3B41A040855EC3276C25A109AAE28A0670DB5562AFC022DD81D215158C2562530556AA0EAWEZ3I" TargetMode = "External"/>
	<Relationship Id="rId383" Type="http://schemas.openxmlformats.org/officeDocument/2006/relationships/hyperlink" Target="consultantplus://offline/ref=7228F6341DEEDDADB61BDCBF15E792DBC440A8B3B41A040855EC3276C25A109AAE28A0670DB5562AFD022DD81D215158C2562530556AA0EAWEZ3I" TargetMode = "External"/>
	<Relationship Id="rId384" Type="http://schemas.openxmlformats.org/officeDocument/2006/relationships/hyperlink" Target="consultantplus://offline/ref=7228F6341DEEDDADB61BDCBF15E792DBC440ABBBBE14040855EC3276C25A109AAE28A0670DB55622F0022DD81D215158C2562530556AA0EAWEZ3I" TargetMode = "External"/>
	<Relationship Id="rId385" Type="http://schemas.openxmlformats.org/officeDocument/2006/relationships/hyperlink" Target="consultantplus://offline/ref=7228F6341DEEDDADB61BDCBF15E792DBC440ABBBBE14040855EC3276C25A109AAE28A0670DB55622FC022DD81D215158C2562530556AA0EAWEZ3I" TargetMode = "External"/>
	<Relationship Id="rId386" Type="http://schemas.openxmlformats.org/officeDocument/2006/relationships/hyperlink" Target="consultantplus://offline/ref=7228F6341DEEDDADB61BDCBF15E792DBC440ABBBBE14040855EC3276C25A109AAE28A0670DB55622FD022DD81D215158C2562530556AA0EAWEZ3I" TargetMode = "External"/>
	<Relationship Id="rId387" Type="http://schemas.openxmlformats.org/officeDocument/2006/relationships/hyperlink" Target="consultantplus://offline/ref=7228F6341DEEDDADB61BDCBF15E792DBC440ABBBBE14040855EC3276C25A109AAE28A0670DB5572BF4022DD81D215158C2562530556AA0EAWEZ3I" TargetMode = "External"/>
	<Relationship Id="rId388" Type="http://schemas.openxmlformats.org/officeDocument/2006/relationships/hyperlink" Target="consultantplus://offline/ref=7228F6341DEEDDADB61BDCBF15E792DBC440ABBBBE14040855EC3276C25A109AAE28A0670DB5572BF5022DD81D215158C2562530556AA0EAWEZ3I" TargetMode = "External"/>
	<Relationship Id="rId389" Type="http://schemas.openxmlformats.org/officeDocument/2006/relationships/hyperlink" Target="consultantplus://offline/ref=7228F6341DEEDDADB61BDCBF15E792DBC440ABBBBE14040855EC3276C25A109AAE28A0670DB5572BF6022DD81D215158C2562530556AA0EAWEZ3I" TargetMode = "External"/>
	<Relationship Id="rId390" Type="http://schemas.openxmlformats.org/officeDocument/2006/relationships/hyperlink" Target="consultantplus://offline/ref=7228F6341DEEDDADB61BDCBF15E792DBC440ABBBBE14040855EC3276C25A109AAE28A0670DB5572BF7022DD81D215158C2562530556AA0EAWEZ3I" TargetMode = "External"/>
	<Relationship Id="rId391" Type="http://schemas.openxmlformats.org/officeDocument/2006/relationships/hyperlink" Target="consultantplus://offline/ref=7228F6341DEEDDADB61BDCBF15E792DBC440ABBBBE14040855EC3276C25A109AAE28A0670DB5572BF1022DD81D215158C2562530556AA0EAWEZ3I" TargetMode = "External"/>
	<Relationship Id="rId392" Type="http://schemas.openxmlformats.org/officeDocument/2006/relationships/hyperlink" Target="consultantplus://offline/ref=7228F6341DEEDDADB61BDCBF15E792DBC440ABBBBE14040855EC3276C25A109AAE28A0670DB5572BF2022DD81D215158C2562530556AA0EAWEZ3I" TargetMode = "External"/>
	<Relationship Id="rId393" Type="http://schemas.openxmlformats.org/officeDocument/2006/relationships/hyperlink" Target="consultantplus://offline/ref=7228F6341DEEDDADB61BDCBF15E792DBC440A8B3B41A040855EC3276C25A109AAE28A0670DB55629FC022DD81D215158C2562530556AA0EAWEZ3I" TargetMode = "External"/>
	<Relationship Id="rId394" Type="http://schemas.openxmlformats.org/officeDocument/2006/relationships/hyperlink" Target="consultantplus://offline/ref=7228F6341DEEDDADB61BDCBF15E792DBC440ABBBBE14040855EC3276C25A109AAE28A0670DB5572BF3022DD81D215158C2562530556AA0EAWEZ3I" TargetMode = "External"/>
	<Relationship Id="rId395" Type="http://schemas.openxmlformats.org/officeDocument/2006/relationships/hyperlink" Target="consultantplus://offline/ref=7228F6341DEEDDADB61BDCBF15E792DBC440ABBBBE14040855EC3276C25A109AAE28A0670DB5572BFD022DD81D215158C2562530556AA0EAWEZ3I" TargetMode = "External"/>
	<Relationship Id="rId396" Type="http://schemas.openxmlformats.org/officeDocument/2006/relationships/hyperlink" Target="consultantplus://offline/ref=7228F6341DEEDDADB61BDCBF15E792DBC440ABBBBE14040855EC3276C25A109AAE28A0670DB5572AF4022DD81D215158C2562530556AA0EAWEZ3I" TargetMode = "External"/>
	<Relationship Id="rId397" Type="http://schemas.openxmlformats.org/officeDocument/2006/relationships/hyperlink" Target="consultantplus://offline/ref=7228F6341DEEDDADB61BDCBF15E792DBC440ABBBBE14040855EC3276C25A109AAE28A0670DB5572AF5022DD81D215158C2562530556AA0EAWEZ3I" TargetMode = "External"/>
	<Relationship Id="rId398" Type="http://schemas.openxmlformats.org/officeDocument/2006/relationships/hyperlink" Target="consultantplus://offline/ref=7228F6341DEEDDADB61BDCBF15E792DBC440ABBBBE14040855EC3276C25A109AAE28A0670DB5572AF6022DD81D215158C2562530556AA0EAWEZ3I" TargetMode = "External"/>
	<Relationship Id="rId399" Type="http://schemas.openxmlformats.org/officeDocument/2006/relationships/hyperlink" Target="consultantplus://offline/ref=7228F6341DEEDDADB61BDCBF15E792DBC440ABBBBE14040855EC3276C25A109AAE28A0670DB5572AF0022DD81D215158C2562530556AA0EAWEZ3I" TargetMode = "External"/>
	<Relationship Id="rId400" Type="http://schemas.openxmlformats.org/officeDocument/2006/relationships/hyperlink" Target="consultantplus://offline/ref=7228F6341DEEDDADB61BDCBF15E792DBC440ABBBBE14040855EC3276C25A109AAE28A0670DB5572AF1022DD81D215158C2562530556AA0EAWEZ3I" TargetMode = "External"/>
	<Relationship Id="rId401" Type="http://schemas.openxmlformats.org/officeDocument/2006/relationships/hyperlink" Target="consultantplus://offline/ref=7228F6341DEEDDADB61BDCBF15E792DBC440A8B3B41A040855EC3276C25A109AAE28A0670DB55628F4022DD81D215158C2562530556AA0EAWEZ3I" TargetMode = "External"/>
	<Relationship Id="rId402" Type="http://schemas.openxmlformats.org/officeDocument/2006/relationships/hyperlink" Target="consultantplus://offline/ref=7228F6341DEEDDADB61BDCBF15E792DBC440A8B3B41A040855EC3276C25A109AAE28A0670DB5562FF4022DD81D215158C2562530556AA0EAWEZ3I" TargetMode = "External"/>
	<Relationship Id="rId403" Type="http://schemas.openxmlformats.org/officeDocument/2006/relationships/hyperlink" Target="consultantplus://offline/ref=7228F6341DEEDDADB61BDCBF15E792DBC440A8B3B41A040855EC3276C25A109AAE28A0670DB5562FF5022DD81D215158C2562530556AA0EAWEZ3I" TargetMode = "External"/>
	<Relationship Id="rId404" Type="http://schemas.openxmlformats.org/officeDocument/2006/relationships/hyperlink" Target="consultantplus://offline/ref=7228F6341DEEDDADB61BDCBF15E792DBC347A8B9B610040855EC3276C25A109AAE28A0670DB5542AF0022DD81D215158C2562530556AA0EAWEZ3I" TargetMode = "External"/>
	<Relationship Id="rId405" Type="http://schemas.openxmlformats.org/officeDocument/2006/relationships/hyperlink" Target="consultantplus://offline/ref=7228F6341DEEDDADB61BDCBF15E792DBC440A8B3B41A040855EC3276C25A109AAE28A0670DB5562FF6022DD81D215158C2562530556AA0EAWEZ3I" TargetMode = "External"/>
	<Relationship Id="rId406" Type="http://schemas.openxmlformats.org/officeDocument/2006/relationships/hyperlink" Target="consultantplus://offline/ref=7228F6341DEEDDADB61BDCBF15E792DBC440ABBBBE14040855EC3276C25A109AAE28A0670DB55728F1022DD81D215158C2562530556AA0EAWEZ3I" TargetMode = "External"/>
	<Relationship Id="rId407" Type="http://schemas.openxmlformats.org/officeDocument/2006/relationships/hyperlink" Target="consultantplus://offline/ref=7228F6341DEEDDADB61BDCBF15E792DBC440A8B3B41A040855EC3276C25A109AAE28A0670DB5562FF1022DD81D215158C2562530556AA0EAWEZ3I" TargetMode = "External"/>
	<Relationship Id="rId408" Type="http://schemas.openxmlformats.org/officeDocument/2006/relationships/hyperlink" Target="consultantplus://offline/ref=7228F6341DEEDDADB61BDCBF15E792DBC440ABBBBE14040855EC3276C25A109AAE28A0670DB55728F3022DD81D215158C2562530556AA0EAWEZ3I" TargetMode = "External"/>
	<Relationship Id="rId409" Type="http://schemas.openxmlformats.org/officeDocument/2006/relationships/hyperlink" Target="consultantplus://offline/ref=7228F6341DEEDDADB61BDCBF15E792DBC440ABBBBE17040855EC3276C25A109AAE28A0670DB5542EF6022DD81D215158C2562530556AA0EAWEZ3I" TargetMode = "External"/>
	<Relationship Id="rId410" Type="http://schemas.openxmlformats.org/officeDocument/2006/relationships/hyperlink" Target="consultantplus://offline/ref=7228F6341DEEDDADB61BDCBF15E792DBC440A8B3B41A040855EC3276C25A109AAE28A0670DB5562FF2022DD81D215158C2562530556AA0EAWEZ3I" TargetMode = "External"/>
	<Relationship Id="rId411" Type="http://schemas.openxmlformats.org/officeDocument/2006/relationships/hyperlink" Target="consultantplus://offline/ref=7228F6341DEEDDADB61BDCBF15E792DBC440ABBBBE14040855EC3276C25A109AAE28A0670DB55728FC022DD81D215158C2562530556AA0EAWEZ3I" TargetMode = "External"/>
	<Relationship Id="rId412" Type="http://schemas.openxmlformats.org/officeDocument/2006/relationships/hyperlink" Target="consultantplus://offline/ref=7228F6341DEEDDADB61BDCBF15E792DBC440ABBBBE17040855EC3276C25A109AAE28A0670DB5542EF7022DD81D215158C2562530556AA0EAWEZ3I" TargetMode = "External"/>
	<Relationship Id="rId413" Type="http://schemas.openxmlformats.org/officeDocument/2006/relationships/hyperlink" Target="consultantplus://offline/ref=7228F6341DEEDDADB61BDCBF15E792DBC440A8B3B41A040855EC3276C25A109AAE28A0670DB5562FFC022DD81D215158C2562530556AA0EAWEZ3I" TargetMode = "External"/>
	<Relationship Id="rId414" Type="http://schemas.openxmlformats.org/officeDocument/2006/relationships/hyperlink" Target="consultantplus://offline/ref=7228F6341DEEDDADB61BDCBF15E792DBC440A8B3B41A040855EC3276C25A109AAE28A0670DB5562FFD022DD81D215158C2562530556AA0EAWEZ3I" TargetMode = "External"/>
	<Relationship Id="rId415" Type="http://schemas.openxmlformats.org/officeDocument/2006/relationships/hyperlink" Target="consultantplus://offline/ref=7228F6341DEEDDADB61BDCBF15E792DBC440ABBBBE17040855EC3276C25A109AAE28A0670DB5542EF7022DD81D215158C2562530556AA0EAWEZ3I" TargetMode = "External"/>
	<Relationship Id="rId416" Type="http://schemas.openxmlformats.org/officeDocument/2006/relationships/hyperlink" Target="consultantplus://offline/ref=7228F6341DEEDDADB61BDCBF15E792DBC440A8B3B41A040855EC3276C25A109AAE28A0670DB5562EF4022DD81D215158C2562530556AA0EAWEZ3I" TargetMode = "External"/>
	<Relationship Id="rId417" Type="http://schemas.openxmlformats.org/officeDocument/2006/relationships/hyperlink" Target="consultantplus://offline/ref=7228F6341DEEDDADB61BDCBF15E792DBC440A8B3B41A040855EC3276C25A109AAE28A0670DB5562EF6022DD81D215158C2562530556AA0EAWEZ3I" TargetMode = "External"/>
	<Relationship Id="rId418" Type="http://schemas.openxmlformats.org/officeDocument/2006/relationships/hyperlink" Target="consultantplus://offline/ref=7228F6341DEEDDADB61BDCBF15E792DBC440ABBBBE14040855EC3276C25A109AAE28A0670DB5572FF4022DD81D215158C2562530556AA0EAWEZ3I" TargetMode = "External"/>
	<Relationship Id="rId419" Type="http://schemas.openxmlformats.org/officeDocument/2006/relationships/hyperlink" Target="consultantplus://offline/ref=7228F6341DEEDDADB61BDCBF15E792DBC440A8B3B41A040855EC3276C25A109AAE28A0670DB5562EF7022DD81D215158C2562530556AA0EAWEZ3I" TargetMode = "External"/>
	<Relationship Id="rId420" Type="http://schemas.openxmlformats.org/officeDocument/2006/relationships/hyperlink" Target="consultantplus://offline/ref=7228F6341DEEDDADB61BDCBF15E792DBC440A8B3B41A040855EC3276C25A109AAE28A0670DB5562EF0022DD81D215158C2562530556AA0EAWEZ3I" TargetMode = "External"/>
	<Relationship Id="rId421" Type="http://schemas.openxmlformats.org/officeDocument/2006/relationships/hyperlink" Target="consultantplus://offline/ref=7228F6341DEEDDADB61BDCBF15E792DBC440ABBBBE14040855EC3276C25A109AAE28A0670DB5572FF7022DD81D215158C2562530556AA0EAWEZ3I" TargetMode = "External"/>
	<Relationship Id="rId422" Type="http://schemas.openxmlformats.org/officeDocument/2006/relationships/hyperlink" Target="consultantplus://offline/ref=7228F6341DEEDDADB61BDCBF15E792DBC440A8B3B41A040855EC3276C25A109AAE28A0670DB5562EF2022DD81D215158C2562530556AA0EAWEZ3I" TargetMode = "External"/>
	<Relationship Id="rId423" Type="http://schemas.openxmlformats.org/officeDocument/2006/relationships/hyperlink" Target="consultantplus://offline/ref=7228F6341DEEDDADB61BDCBF15E792DBC440ABBBBE14040855EC3276C25A109AAE28A0670DB5572FF0022DD81D215158C2562530556AA0EAWEZ3I" TargetMode = "External"/>
	<Relationship Id="rId424" Type="http://schemas.openxmlformats.org/officeDocument/2006/relationships/hyperlink" Target="consultantplus://offline/ref=7228F6341DEEDDADB61BDCBF15E792DBC440A8B3B41A040855EC3276C25A109AAE28A0670DB5562EF3022DD81D215158C2562530556AA0EAWEZ3I" TargetMode = "External"/>
	<Relationship Id="rId425" Type="http://schemas.openxmlformats.org/officeDocument/2006/relationships/hyperlink" Target="consultantplus://offline/ref=7228F6341DEEDDADB61BDCBF15E792DBC440ABBBBE14040855EC3276C25A109AAE28A0670DB5572FF1022DD81D215158C2562530556AA0EAWEZ3I" TargetMode = "External"/>
	<Relationship Id="rId426" Type="http://schemas.openxmlformats.org/officeDocument/2006/relationships/hyperlink" Target="consultantplus://offline/ref=7228F6341DEEDDADB61BDCBF15E792DBC440ABBBBE14040855EC3276C25A109AAE28A0670DB5572FF2022DD81D215158C2562530556AA0EAWEZ3I" TargetMode = "External"/>
	<Relationship Id="rId427" Type="http://schemas.openxmlformats.org/officeDocument/2006/relationships/hyperlink" Target="consultantplus://offline/ref=7228F6341DEEDDADB61BDCBF15E792DBC440A8B3B41A040855EC3276C25A109AAE28A0670DB5562EFC022DD81D215158C2562530556AA0EAWEZ3I" TargetMode = "External"/>
	<Relationship Id="rId428" Type="http://schemas.openxmlformats.org/officeDocument/2006/relationships/hyperlink" Target="consultantplus://offline/ref=7228F6341DEEDDADB61BDCBF15E792DBC440ABBBBE14040855EC3276C25A109AAE28A0670DB5572FF3022DD81D215158C2562530556AA0EAWEZ3I" TargetMode = "External"/>
	<Relationship Id="rId429" Type="http://schemas.openxmlformats.org/officeDocument/2006/relationships/hyperlink" Target="consultantplus://offline/ref=7228F6341DEEDDADB61BDCBF15E792DBC440A8B3B41A040855EC3276C25A109AAE28A0670DB5562EFD022DD81D215158C2562530556AA0EAWEZ3I" TargetMode = "External"/>
	<Relationship Id="rId430" Type="http://schemas.openxmlformats.org/officeDocument/2006/relationships/hyperlink" Target="consultantplus://offline/ref=7228F6341DEEDDADB61BDCBF15E792DBC440A8B3B41A040855EC3276C25A109AAE28A0670DB5562EFD022DD81D215158C2562530556AA0EAWEZ3I" TargetMode = "External"/>
	<Relationship Id="rId431" Type="http://schemas.openxmlformats.org/officeDocument/2006/relationships/hyperlink" Target="consultantplus://offline/ref=7228F6341DEEDDADB61BDCBF15E792DBC440ABBBBE14040855EC3276C25A109AAE28A0670DB5572DF4022DD81D215158C2562530556AA0EAWEZ3I" TargetMode = "External"/>
	<Relationship Id="rId432" Type="http://schemas.openxmlformats.org/officeDocument/2006/relationships/hyperlink" Target="consultantplus://offline/ref=7228F6341DEEDDADB61BDCBF15E792DBC440ABBBBE14040855EC3276C25A109AAE28A0670DB5572DF5022DD81D215158C2562530556AA0EAWEZ3I" TargetMode = "External"/>
	<Relationship Id="rId433" Type="http://schemas.openxmlformats.org/officeDocument/2006/relationships/hyperlink" Target="consultantplus://offline/ref=7228F6341DEEDDADB61BDCBF15E792DBC440ABBBBE14040855EC3276C25A109AAE28A0670DB5572DF6022DD81D215158C2562530556AA0EAWEZ3I" TargetMode = "External"/>
	<Relationship Id="rId434" Type="http://schemas.openxmlformats.org/officeDocument/2006/relationships/hyperlink" Target="consultantplus://offline/ref=7228F6341DEEDDADB61BDCBF15E792DBC440ABBBBE14040855EC3276C25A109AAE28A0670DB5572DF0022DD81D215158C2562530556AA0EAWEZ3I" TargetMode = "External"/>
	<Relationship Id="rId435" Type="http://schemas.openxmlformats.org/officeDocument/2006/relationships/hyperlink" Target="consultantplus://offline/ref=7228F6341DEEDDADB61BD5A612E792DBC447A1BBBF1B040855EC3276C25A109AAE28A0670DB5542BF0022DD81D215158C2562530556AA0EAWEZ3I" TargetMode = "External"/>
	<Relationship Id="rId436" Type="http://schemas.openxmlformats.org/officeDocument/2006/relationships/hyperlink" Target="consultantplus://offline/ref=7228F6341DEEDDADB61BDCBF15E792DBC440A8B3B41A040855EC3276C25A109AAE28A0670DB5562EFD022DD81D215158C2562530556AA0EAWEZ3I" TargetMode = "External"/>
	<Relationship Id="rId437" Type="http://schemas.openxmlformats.org/officeDocument/2006/relationships/hyperlink" Target="consultantplus://offline/ref=7228F6341DEEDDADB61BDCBF15E792DBC440A8B3B41A040855EC3276C25A109AAE28A0670DB5562EFD022DD81D215158C2562530556AA0EAWEZ3I" TargetMode = "External"/>
	<Relationship Id="rId438" Type="http://schemas.openxmlformats.org/officeDocument/2006/relationships/hyperlink" Target="consultantplus://offline/ref=7228F6341DEEDDADB61BDCBF15E792DBC440A8B3B41A040855EC3276C25A109AAE28A0670DB5562EFD022DD81D215158C2562530556AA0EAWEZ3I" TargetMode = "External"/>
	<Relationship Id="rId439" Type="http://schemas.openxmlformats.org/officeDocument/2006/relationships/hyperlink" Target="consultantplus://offline/ref=7228F6341DEEDDADB61BDCBF15E792DBC440A8B3B41A040855EC3276C25A109AAE28A0670DB5562DF5022DD81D215158C2562530556AA0EAWEZ3I" TargetMode = "External"/>
	<Relationship Id="rId440" Type="http://schemas.openxmlformats.org/officeDocument/2006/relationships/hyperlink" Target="consultantplus://offline/ref=7228F6341DEEDDADB61BDCBF15E792DBC440A8B3B41A040855EC3276C25A109AAE28A0670DB5562DF6022DD81D215158C2562530556AA0EAWEZ3I" TargetMode = "External"/>
	<Relationship Id="rId441" Type="http://schemas.openxmlformats.org/officeDocument/2006/relationships/hyperlink" Target="consultantplus://offline/ref=7228F6341DEEDDADB61BDCBF15E792DBC440ABBBBE14040855EC3276C25A109AAE28A0670DB5572CF3022DD81D215158C2562530556AA0EAWEZ3I" TargetMode = "External"/>
	<Relationship Id="rId442" Type="http://schemas.openxmlformats.org/officeDocument/2006/relationships/hyperlink" Target="consultantplus://offline/ref=7228F6341DEEDDADB61BDCBF15E792DBC440ABBBBE14040855EC3276C25A109AAE28A0670DB5572CFC022DD81D215158C2562530556AA0EAWEZ3I" TargetMode = "External"/>
	<Relationship Id="rId443" Type="http://schemas.openxmlformats.org/officeDocument/2006/relationships/hyperlink" Target="consultantplus://offline/ref=7228F6341DEEDDADB61BDCBF15E792DBC440ABBBBE14040855EC3276C25A109AAE28A0670DB5572CFD022DD81D215158C2562530556AA0EAWEZ3I" TargetMode = "External"/>
	<Relationship Id="rId444" Type="http://schemas.openxmlformats.org/officeDocument/2006/relationships/hyperlink" Target="consultantplus://offline/ref=7228F6341DEEDDADB61BDCBF15E792DBC440ABBBBE17040855EC3276C25A109AAE28A0670DB5542EF0022DD81D215158C2562530556AA0EAWEZ3I" TargetMode = "External"/>
	<Relationship Id="rId445" Type="http://schemas.openxmlformats.org/officeDocument/2006/relationships/hyperlink" Target="consultantplus://offline/ref=7228F6341DEEDDADB61BDCBF15E792DBC440A8B3B41A040855EC3276C25A109AAE28A0670DB5562CF4022DD81D215158C2562530556AA0EAWEZ3I" TargetMode = "External"/>
	<Relationship Id="rId446" Type="http://schemas.openxmlformats.org/officeDocument/2006/relationships/hyperlink" Target="consultantplus://offline/ref=7228F6341DEEDDADB61BDCBF15E792DBC440ABBBBE14040855EC3276C25A109AAE28A0670DB55723F4022DD81D215158C2562530556AA0EAWEZ3I" TargetMode = "External"/>
	<Relationship Id="rId447" Type="http://schemas.openxmlformats.org/officeDocument/2006/relationships/hyperlink" Target="consultantplus://offline/ref=7228F6341DEEDDADB61BDCBF15E792DBC440ABBBBE14040855EC3276C25A109AAE28A0670DB55723F5022DD81D215158C2562530556AA0EAWEZ3I" TargetMode = "External"/>
	<Relationship Id="rId448" Type="http://schemas.openxmlformats.org/officeDocument/2006/relationships/hyperlink" Target="consultantplus://offline/ref=7228F6341DEEDDADB61BDCBF15E792DBC440A8B3B41A040855EC3276C25A109AAE28A0670DB5562CF5022DD81D215158C2562530556AA0EAWEZ3I" TargetMode = "External"/>
	<Relationship Id="rId449" Type="http://schemas.openxmlformats.org/officeDocument/2006/relationships/hyperlink" Target="consultantplus://offline/ref=7228F6341DEEDDADB61BDCBF15E792DBC34AA1BEB217040855EC3276C25A109AAE28A0670DB45322FD022DD81D215158C2562530556AA0EAWEZ3I" TargetMode = "External"/>
	<Relationship Id="rId450" Type="http://schemas.openxmlformats.org/officeDocument/2006/relationships/hyperlink" Target="consultantplus://offline/ref=7228F6341DEEDDADB61BDCBF15E792DBC440A8B3B41A040855EC3276C25A109AAE28A0670DB5562CF6022DD81D215158C2562530556AA0EAWEZ3I" TargetMode = "External"/>
	<Relationship Id="rId451" Type="http://schemas.openxmlformats.org/officeDocument/2006/relationships/hyperlink" Target="consultantplus://offline/ref=7228F6341DEEDDADB61BDCBF15E792DBC440A8B3B41A040855EC3276C25A109AAE28A0670DB5562CF7022DD81D215158C2562530556AA0EAWEZ3I" TargetMode = "External"/>
	<Relationship Id="rId452" Type="http://schemas.openxmlformats.org/officeDocument/2006/relationships/hyperlink" Target="consultantplus://offline/ref=7228F6341DEEDDADB61BDCBF15E792DBC440ABBBBE14040855EC3276C25A109AAE28A0670DB55723F7022DD81D215158C2562530556AA0EAWEZ3I" TargetMode = "External"/>
	<Relationship Id="rId453" Type="http://schemas.openxmlformats.org/officeDocument/2006/relationships/hyperlink" Target="consultantplus://offline/ref=7228F6341DEEDDADB61BDCBF15E792DBC440A8B3B41A040855EC3276C25A109AAE28A0670DB5562CF1022DD81D215158C2562530556AA0EAWEZ3I" TargetMode = "External"/>
	<Relationship Id="rId454" Type="http://schemas.openxmlformats.org/officeDocument/2006/relationships/hyperlink" Target="consultantplus://offline/ref=7228F6341DEEDDADB61BDCBF15E792DBC440A8B3B41A040855EC3276C25A109AAE28A0670DB5562CF2022DD81D215158C2562530556AA0EAWEZ3I" TargetMode = "External"/>
	<Relationship Id="rId455" Type="http://schemas.openxmlformats.org/officeDocument/2006/relationships/hyperlink" Target="consultantplus://offline/ref=7228F6341DEEDDADB61BDCBF15E792DBC440A8B3B41A040855EC3276C25A109AAE28A0670DB5562CF3022DD81D215158C2562530556AA0EAWEZ3I" TargetMode = "External"/>
	<Relationship Id="rId456" Type="http://schemas.openxmlformats.org/officeDocument/2006/relationships/hyperlink" Target="consultantplus://offline/ref=7228F6341DEEDDADB61BDCBF15E792DBC440A8B3B41A040855EC3276C25A109AAE28A0670DB5562CFC022DD81D215158C2562530556AA0EAWEZ3I" TargetMode = "External"/>
	<Relationship Id="rId457" Type="http://schemas.openxmlformats.org/officeDocument/2006/relationships/hyperlink" Target="consultantplus://offline/ref=7228F6341DEEDDADB61BDCBF15E792DBC440A8B3B41A040855EC3276C25A109AAE28A0670DB5562CFD022DD81D215158C2562530556AA0EAWEZ3I" TargetMode = "External"/>
	<Relationship Id="rId458" Type="http://schemas.openxmlformats.org/officeDocument/2006/relationships/hyperlink" Target="consultantplus://offline/ref=7228F6341DEEDDADB61BDCBF15E792DBC440A8B3B41A040855EC3276C25A109AAE28A0670DB55623F5022DD81D215158C2562530556AA0EAWEZ3I" TargetMode = "External"/>
	<Relationship Id="rId459" Type="http://schemas.openxmlformats.org/officeDocument/2006/relationships/hyperlink" Target="consultantplus://offline/ref=7228F6341DEEDDADB61BDCBF15E792DBC440ABBBBE14040855EC3276C25A109AAE28A0670DB55723F1022DD81D215158C2562530556AA0EAWEZ3I" TargetMode = "External"/>
	<Relationship Id="rId460" Type="http://schemas.openxmlformats.org/officeDocument/2006/relationships/hyperlink" Target="consultantplus://offline/ref=7228F6341DEEDDADB61BDCBF15E792DBC440A8B3B41A040855EC3276C25A109AAE28A0670DB55623F6022DD81D215158C2562530556AA0EAWEZ3I" TargetMode = "External"/>
	<Relationship Id="rId461" Type="http://schemas.openxmlformats.org/officeDocument/2006/relationships/hyperlink" Target="consultantplus://offline/ref=7228F6341DEEDDADB61BDCBF15E792DBC440A8B3B41A040855EC3276C25A109AAE28A0670DB55623F7022DD81D215158C2562530556AA0EAWEZ3I" TargetMode = "External"/>
	<Relationship Id="rId462" Type="http://schemas.openxmlformats.org/officeDocument/2006/relationships/hyperlink" Target="consultantplus://offline/ref=7228F6341DEEDDADB61BDCBF15E792DBC440ABBBBE14040855EC3276C25A109AAE28A0670DB55723F1022DD81D215158C2562530556AA0EAWEZ3I" TargetMode = "External"/>
	<Relationship Id="rId463" Type="http://schemas.openxmlformats.org/officeDocument/2006/relationships/hyperlink" Target="consultantplus://offline/ref=7228F6341DEEDDADB61BDCBF15E792DBC440ABBBBE14040855EC3276C25A109AAE28A0670DB55723F3022DD81D215158C2562530556AA0EAWEZ3I" TargetMode = "External"/>
	<Relationship Id="rId464" Type="http://schemas.openxmlformats.org/officeDocument/2006/relationships/hyperlink" Target="consultantplus://offline/ref=7228F6341DEEDDADB61BDCBF15E792DBC440ABBBBE14040855EC3276C25A109AAE28A0670DB55723FC022DD81D215158C2562530556AA0EAWEZ3I" TargetMode = "External"/>
	<Relationship Id="rId465" Type="http://schemas.openxmlformats.org/officeDocument/2006/relationships/hyperlink" Target="consultantplus://offline/ref=7228F6341DEEDDADB61BDCBF15E792DBC443ACB2B311040855EC3276C25A109AAE28A0670DB5522CF7022DD81D215158C2562530556AA0EAWEZ3I" TargetMode = "External"/>
	<Relationship Id="rId466" Type="http://schemas.openxmlformats.org/officeDocument/2006/relationships/hyperlink" Target="consultantplus://offline/ref=7228F6341DEEDDADB61BDCBF15E792DBC440ABBBBE14040855EC3276C25A109AAE28A0670DB55723FD022DD81D215158C2562530556AA0EAWEZ3I" TargetMode = "External"/>
	<Relationship Id="rId467" Type="http://schemas.openxmlformats.org/officeDocument/2006/relationships/hyperlink" Target="consultantplus://offline/ref=7228F6341DEEDDADB61BDCBF15E792DBC440A8B3B41A040855EC3276C25A109AAE28A0670DB55623F0022DD81D215158C2562530556AA0EAWEZ3I" TargetMode = "External"/>
	<Relationship Id="rId468" Type="http://schemas.openxmlformats.org/officeDocument/2006/relationships/hyperlink" Target="consultantplus://offline/ref=7228F6341DEEDDADB61BDCBF15E792DBC440ABBBBE14040855EC3276C25A109AAE28A0670DB55722F4022DD81D215158C2562530556AA0EAWEZ3I" TargetMode = "External"/>
	<Relationship Id="rId469" Type="http://schemas.openxmlformats.org/officeDocument/2006/relationships/hyperlink" Target="consultantplus://offline/ref=7228F6341DEEDDADB61BDCBF15E792DBC440ABBBBE14040855EC3276C25A109AAE28A0670DB55722F6022DD81D215158C2562530556AA0EAWEZ3I" TargetMode = "External"/>
	<Relationship Id="rId470" Type="http://schemas.openxmlformats.org/officeDocument/2006/relationships/hyperlink" Target="consultantplus://offline/ref=7228F6341DEEDDADB61BDCBF15E792DBC440ABBBBE14040855EC3276C25A109AAE28A0670DB55722F7022DD81D215158C2562530556AA0EAWEZ3I" TargetMode = "External"/>
	<Relationship Id="rId471" Type="http://schemas.openxmlformats.org/officeDocument/2006/relationships/hyperlink" Target="consultantplus://offline/ref=7228F6341DEEDDADB61BDCBF15E792DBC440A8B3B41A040855EC3276C25A109AAE28A0670DB55623F0022DD81D215158C2562530556AA0EAWEZ3I" TargetMode = "External"/>
	<Relationship Id="rId472" Type="http://schemas.openxmlformats.org/officeDocument/2006/relationships/hyperlink" Target="consultantplus://offline/ref=7228F6341DEEDDADB61BDCBF15E792DBC440ABBBBE14040855EC3276C25A109AAE28A0670DB5502BF4022DD81D215158C2562530556AA0EAWEZ3I" TargetMode = "External"/>
	<Relationship Id="rId473" Type="http://schemas.openxmlformats.org/officeDocument/2006/relationships/hyperlink" Target="consultantplus://offline/ref=7228F6341DEEDDADB61BDCBF15E792DBC440ABBBBE17040855EC3276C25A109AAE28A0670DB5542EF3022DD81D215158C2562530556AA0EAWEZ3I" TargetMode = "External"/>
	<Relationship Id="rId474" Type="http://schemas.openxmlformats.org/officeDocument/2006/relationships/hyperlink" Target="consultantplus://offline/ref=7228F6341DEEDDADB61BDCBF15E792DBC440ABBBBE14040855EC3276C25A109AAE28A0670DB5502BF6022DD81D215158C2562530556AA0EAWEZ3I" TargetMode = "External"/>
	<Relationship Id="rId475" Type="http://schemas.openxmlformats.org/officeDocument/2006/relationships/hyperlink" Target="consultantplus://offline/ref=7228F6341DEEDDADB61BDCBF15E792DBC440ABBBBE17040855EC3276C25A109AAE28A0670DB5542EF3022DD81D215158C2562530556AA0EAWEZ3I" TargetMode = "External"/>
	<Relationship Id="rId476" Type="http://schemas.openxmlformats.org/officeDocument/2006/relationships/hyperlink" Target="consultantplus://offline/ref=7228F6341DEEDDADB61BDCBF15E792DBC440ABBBBE17040855EC3276C25A109AAE28A0670DB5542EFC022DD81D215158C2562530556AA0EAWEZ3I" TargetMode = "External"/>
	<Relationship Id="rId477" Type="http://schemas.openxmlformats.org/officeDocument/2006/relationships/hyperlink" Target="consultantplus://offline/ref=7228F6341DEEDDADB61BDCBF15E792DBC34AA1BAB71B040855EC3276C25A109ABC28F86B0CB64A2AF6177B895BW7Z6I" TargetMode = "External"/>
	<Relationship Id="rId478" Type="http://schemas.openxmlformats.org/officeDocument/2006/relationships/hyperlink" Target="consultantplus://offline/ref=7228F6341DEEDDADB61BDCBF15E792DBC440ABBBBE14040855EC3276C25A109AAE28A0670DB5502BFC022DD81D215158C2562530556AA0EAWEZ3I" TargetMode = "External"/>
	<Relationship Id="rId479" Type="http://schemas.openxmlformats.org/officeDocument/2006/relationships/hyperlink" Target="consultantplus://offline/ref=7228F6341DEEDDADB61BDCBF15E792DBC440ABBBBE14040855EC3276C25A109AAE28A0670DB5502BFD022DD81D215158C2562530556AA0EAWEZ3I" TargetMode = "External"/>
	<Relationship Id="rId480" Type="http://schemas.openxmlformats.org/officeDocument/2006/relationships/hyperlink" Target="consultantplus://offline/ref=7228F6341DEEDDADB61BDCBF15E792DBC344A8B9BE12040855EC3276C25A109AAE28A0670DB5542BFD022DD81D215158C2562530556AA0EAWEZ3I" TargetMode = "External"/>
	<Relationship Id="rId481" Type="http://schemas.openxmlformats.org/officeDocument/2006/relationships/hyperlink" Target="consultantplus://offline/ref=7228F6341DEEDDADB61BDCBF15E792DBC34AA1BAB71B040855EC3276C25A109AAE28A0670DB5562FFC022DD81D215158C2562530556AA0EAWEZ3I" TargetMode = "External"/>
	<Relationship Id="rId482" Type="http://schemas.openxmlformats.org/officeDocument/2006/relationships/hyperlink" Target="consultantplus://offline/ref=7228F6341DEEDDADB61BDCBF15E792DBC34AA1BAB71B040855EC3276C25A109ABC28F86B0CB64A2AF6177B895BW7Z6I" TargetMode = "External"/>
	<Relationship Id="rId483" Type="http://schemas.openxmlformats.org/officeDocument/2006/relationships/hyperlink" Target="consultantplus://offline/ref=7228F6341DEEDDADB61BDCBF15E792DBC440ABBBBE14040855EC3276C25A109AAE28A0670DB5502AF5022DD81D215158C2562530556AA0EAWEZ3I" TargetMode = "External"/>
	<Relationship Id="rId484" Type="http://schemas.openxmlformats.org/officeDocument/2006/relationships/hyperlink" Target="consultantplus://offline/ref=7228F6341DEEDDADB61BDCBF15E792DBC34AA1BABE1B040855EC3276C25A109ABC28F86B0CB64A2AF6177B895BW7Z6I" TargetMode = "External"/>
	<Relationship Id="rId485" Type="http://schemas.openxmlformats.org/officeDocument/2006/relationships/hyperlink" Target="consultantplus://offline/ref=7228F6341DEEDDADB61BDCBF15E792DBC440A8B3B41A040855EC3276C25A109AAE28A0670DB55623F2022DD81D215158C2562530556AA0EAWEZ3I" TargetMode = "External"/>
	<Relationship Id="rId486" Type="http://schemas.openxmlformats.org/officeDocument/2006/relationships/hyperlink" Target="consultantplus://offline/ref=7228F6341DEEDDADB61BDCBF15E792DBC440A8B3B41A040855EC3276C25A109AAE28A0670DB55623F3022DD81D215158C2562530556AA0EAWEZ3I" TargetMode = "External"/>
	<Relationship Id="rId487" Type="http://schemas.openxmlformats.org/officeDocument/2006/relationships/hyperlink" Target="consultantplus://offline/ref=7228F6341DEEDDADB61BDCBF15E792DBC440A8B3B41A040855EC3276C25A109AAE28A0670DB55623FC022DD81D215158C2562530556AA0EAWEZ3I" TargetMode = "External"/>
	<Relationship Id="rId488" Type="http://schemas.openxmlformats.org/officeDocument/2006/relationships/hyperlink" Target="consultantplus://offline/ref=7228F6341DEEDDADB61BDCBF15E792DBC440A8B3B41A040855EC3276C25A109AAE28A0670DB55622F4022DD81D215158C2562530556AA0EAWEZ3I" TargetMode = "External"/>
	<Relationship Id="rId489" Type="http://schemas.openxmlformats.org/officeDocument/2006/relationships/hyperlink" Target="consultantplus://offline/ref=7228F6341DEEDDADB61BDCBF15E792DBC440A8B3B41A040855EC3276C25A109AAE28A0670DB55622F6022DD81D215158C2562530556AA0EAWEZ3I" TargetMode = "External"/>
	<Relationship Id="rId490" Type="http://schemas.openxmlformats.org/officeDocument/2006/relationships/hyperlink" Target="consultantplus://offline/ref=7228F6341DEEDDADB61BDCBF15E792DBC440A8B3B41A040855EC3276C25A109AAE28A0670DB55622F7022DD81D215158C2562530556AA0EAWEZ3I" TargetMode = "External"/>
	<Relationship Id="rId491" Type="http://schemas.openxmlformats.org/officeDocument/2006/relationships/hyperlink" Target="consultantplus://offline/ref=7228F6341DEEDDADB61BDCBF15E792DBC440A8B3B41A040855EC3276C25A109AAE28A0670DB55622F7022DD81D215158C2562530556AA0EAWEZ3I" TargetMode = "External"/>
	<Relationship Id="rId492" Type="http://schemas.openxmlformats.org/officeDocument/2006/relationships/hyperlink" Target="consultantplus://offline/ref=7228F6341DEEDDADB61BDCBF15E792DBC440ABBBBE14040855EC3276C25A109AAE28A0670DB55029F0022DD81D215158C2562530556AA0EAWEZ3I" TargetMode = "External"/>
	<Relationship Id="rId493" Type="http://schemas.openxmlformats.org/officeDocument/2006/relationships/hyperlink" Target="consultantplus://offline/ref=7228F6341DEEDDADB61BDCBF15E792DBC440A8B3B41A040855EC3276C25A109AAE28A0670DB55622F7022DD81D215158C2562530556AA0EAWEZ3I" TargetMode = "External"/>
	<Relationship Id="rId494" Type="http://schemas.openxmlformats.org/officeDocument/2006/relationships/hyperlink" Target="consultantplus://offline/ref=7228F6341DEEDDADB61BDCBF15E792DBC34AA1BAB71B040855EC3276C25A109AAE28A0670DB55623F3022DD81D215158C2562530556AA0EAWEZ3I" TargetMode = "External"/>
	<Relationship Id="rId495" Type="http://schemas.openxmlformats.org/officeDocument/2006/relationships/hyperlink" Target="consultantplus://offline/ref=7228F6341DEEDDADB61BDCBF15E792DBC34AA1BAB71B040855EC3276C25A109ABC28F86B0CB64A2AF6177B895BW7Z6I" TargetMode = "External"/>
	<Relationship Id="rId496" Type="http://schemas.openxmlformats.org/officeDocument/2006/relationships/hyperlink" Target="consultantplus://offline/ref=7228F6341DEEDDADB61BDCBF15E792DBC440ABBBBE14040855EC3276C25A109AAE28A0670DB55028F5022DD81D215158C2562530556AA0EAWEZ3I" TargetMode = "External"/>
	<Relationship Id="rId497" Type="http://schemas.openxmlformats.org/officeDocument/2006/relationships/hyperlink" Target="consultantplus://offline/ref=7228F6341DEEDDADB61BDCBF15E792DBC440ABBBBE17040855EC3276C25A109AAE28A0670DB5542EFD022DD81D215158C2562530556AA0EAWEZ3I" TargetMode = "External"/>
	<Relationship Id="rId498" Type="http://schemas.openxmlformats.org/officeDocument/2006/relationships/hyperlink" Target="consultantplus://offline/ref=7228F6341DEEDDADB61BDCBF15E792DBC140AEB3BF15040855EC3276C25A109AAE28A0670DB55429FC022DD81D215158C2562530556AA0EAWEZ3I" TargetMode = "External"/>
	<Relationship Id="rId499" Type="http://schemas.openxmlformats.org/officeDocument/2006/relationships/hyperlink" Target="consultantplus://offline/ref=7228F6341DEEDDADB61BDCBF15E792DBC342A8BCBF17040855EC3276C25A109AAE28A0670DB55423F3022DD81D215158C2562530556AA0EAWEZ3I" TargetMode = "External"/>
	<Relationship Id="rId500" Type="http://schemas.openxmlformats.org/officeDocument/2006/relationships/hyperlink" Target="consultantplus://offline/ref=7228F6341DEEDDADB61BDCBF15E792DBC440A8B3B41A040855EC3276C25A109AAE28A0670DB55622F1022DD81D215158C2562530556AA0EAWEZ3I" TargetMode = "External"/>
	<Relationship Id="rId501" Type="http://schemas.openxmlformats.org/officeDocument/2006/relationships/hyperlink" Target="consultantplus://offline/ref=7228F6341DEEDDADB61BDCBF15E792DBC440A0B2B611040855EC3276C25A109ABC28F86B0CB64A2AF6177B895BW7Z6I" TargetMode = "External"/>
	<Relationship Id="rId502" Type="http://schemas.openxmlformats.org/officeDocument/2006/relationships/hyperlink" Target="consultantplus://offline/ref=7228F6341DEEDDADB61BDCBF15E792DBC441A9BCBE16040855EC3276C25A109AAE28A0670DB5552DF6022DD81D215158C2562530556AA0EAWEZ3I" TargetMode = "External"/>
	<Relationship Id="rId503" Type="http://schemas.openxmlformats.org/officeDocument/2006/relationships/hyperlink" Target="consultantplus://offline/ref=7228F6341DEEDDADB61BDCBF15E792DBC440ABBBBE14040855EC3276C25A109AAE28A0670DB55028F0022DD81D215158C2562530556AA0EAWEZ3I" TargetMode = "External"/>
	<Relationship Id="rId504" Type="http://schemas.openxmlformats.org/officeDocument/2006/relationships/hyperlink" Target="consultantplus://offline/ref=7228F6341DEEDDADB61BDCBF15E792DBC440ABBBBE14040855EC3276C25A109AAE28A0670DB55028F1022DD81D215158C2562530556AA0EAWEZ3I" TargetMode = "External"/>
	<Relationship Id="rId505" Type="http://schemas.openxmlformats.org/officeDocument/2006/relationships/hyperlink" Target="consultantplus://offline/ref=7228F6341DEEDDADB61BDCBF15E792DBC440A8B3B41A040855EC3276C25A109AAE28A0670DB55622F2022DD81D215158C2562530556AA0EAWEZ3I" TargetMode = "External"/>
	<Relationship Id="rId506" Type="http://schemas.openxmlformats.org/officeDocument/2006/relationships/hyperlink" Target="consultantplus://offline/ref=7228F6341DEEDDADB61BDCBF15E792DBC440A8B3B41A040855EC3276C25A109AAE28A0670DB55622F3022DD81D215158C2562530556AA0EAWEZ3I" TargetMode = "External"/>
	<Relationship Id="rId507" Type="http://schemas.openxmlformats.org/officeDocument/2006/relationships/hyperlink" Target="consultantplus://offline/ref=7228F6341DEEDDADB61BDCBF15E792DBC343A1BCB210040855EC3276C25A109AAE28A0630DBE007AB05C74885A6A5D5BDF4A2430W4Z9I" TargetMode = "External"/>
	<Relationship Id="rId508" Type="http://schemas.openxmlformats.org/officeDocument/2006/relationships/hyperlink" Target="consultantplus://offline/ref=7228F6341DEEDDADB61BDCBF15E792DBC34AA1BAB71B040855EC3276C25A109AAE28A0670DB5572AF3022DD81D215158C2562530556AA0EAWEZ3I" TargetMode = "External"/>
	<Relationship Id="rId509" Type="http://schemas.openxmlformats.org/officeDocument/2006/relationships/hyperlink" Target="consultantplus://offline/ref=7228F6341DEEDDADB61BDCBF15E792DBC440A0B9BF12040855EC3276C25A109AAE28A0670DB5572FFD022DD81D215158C2562530556AA0EAWEZ3I" TargetMode = "External"/>
	<Relationship Id="rId510" Type="http://schemas.openxmlformats.org/officeDocument/2006/relationships/hyperlink" Target="consultantplus://offline/ref=7228F6341DEEDDADB61BDCBF15E792DBC440A8B3B41A040855EC3276C25A109AAE28A0670DB55622FC022DD81D215158C2562530556AA0EAWEZ3I" TargetMode = "External"/>
	<Relationship Id="rId511" Type="http://schemas.openxmlformats.org/officeDocument/2006/relationships/hyperlink" Target="consultantplus://offline/ref=7228F6341DEEDDADB61BDCBF15E792DBC440A0B9BF12040855EC3276C25A109AAE28A0670DB5572FFD022DD81D215158C2562530556AA0EAWEZ3I" TargetMode = "External"/>
	<Relationship Id="rId512" Type="http://schemas.openxmlformats.org/officeDocument/2006/relationships/hyperlink" Target="consultantplus://offline/ref=7228F6341DEEDDADB61BDCBF15E792DBC440A0B9BF12040855EC3276C25A109AAE28A0670DB5572FFD022DD81D215158C2562530556AA0EAWEZ3I" TargetMode = "External"/>
	<Relationship Id="rId513" Type="http://schemas.openxmlformats.org/officeDocument/2006/relationships/hyperlink" Target="consultantplus://offline/ref=7228F6341DEEDDADB61BDCBF15E792DBC440A8B3B41A040855EC3276C25A109AAE28A0670DB55622FD022DD81D215158C2562530556AA0EAWEZ3I" TargetMode = "External"/>
	<Relationship Id="rId514" Type="http://schemas.openxmlformats.org/officeDocument/2006/relationships/hyperlink" Target="consultantplus://offline/ref=7228F6341DEEDDADB61BDCBF15E792DBC440A8B3B41A040855EC3276C25A109AAE28A0670DB5572BF4022DD81D215158C2562530556AA0EAWEZ3I" TargetMode = "External"/>
	<Relationship Id="rId515" Type="http://schemas.openxmlformats.org/officeDocument/2006/relationships/hyperlink" Target="consultantplus://offline/ref=7228F6341DEEDDADB61BDCBF15E792DBC440ABBBBE14040855EC3276C25A109AAE28A0670DB55028F3022DD81D215158C2562530556AA0EAWEZ3I" TargetMode = "External"/>
	<Relationship Id="rId516" Type="http://schemas.openxmlformats.org/officeDocument/2006/relationships/hyperlink" Target="consultantplus://offline/ref=7228F6341DEEDDADB61BDCBF15E792DBC440ABBBBE14040855EC3276C25A109AAE28A0670DB55028FC022DD81D215158C2562530556AA0EAWEZ3I" TargetMode = "External"/>
	<Relationship Id="rId517" Type="http://schemas.openxmlformats.org/officeDocument/2006/relationships/hyperlink" Target="consultantplus://offline/ref=7228F6341DEEDDADB61BDCBF15E792DBC440A8B3B41A040855EC3276C25A109AAE28A0670DB5572BF5022DD81D215158C2562530556AA0EAWEZ3I" TargetMode = "External"/>
	<Relationship Id="rId518" Type="http://schemas.openxmlformats.org/officeDocument/2006/relationships/hyperlink" Target="consultantplus://offline/ref=7228F6341DEEDDADB61BDCBF15E792DBC440ABBBBE14040855EC3276C25A109AAE28A0670DB5502FF0022DD81D215158C2562530556AA0EAWEZ3I" TargetMode = "External"/>
	<Relationship Id="rId519" Type="http://schemas.openxmlformats.org/officeDocument/2006/relationships/hyperlink" Target="consultantplus://offline/ref=7228F6341DEEDDADB61BDCBF15E792DBC440ABBBBE17040855EC3276C25A109AAE28A0670DB5542DF5022DD81D215158C2562530556AA0EAWEZ3I" TargetMode = "External"/>
	<Relationship Id="rId520" Type="http://schemas.openxmlformats.org/officeDocument/2006/relationships/hyperlink" Target="consultantplus://offline/ref=7228F6341DEEDDADB61BDCBF15E792DBC440ABBBBE14040855EC3276C25A109AAE28A0670DB5502FF1022DD81D215158C2562530556AA0EAWEZ3I" TargetMode = "External"/>
	<Relationship Id="rId521" Type="http://schemas.openxmlformats.org/officeDocument/2006/relationships/hyperlink" Target="consultantplus://offline/ref=7228F6341DEEDDADB61BDCBF15E792DBC440ABBBBE17040855EC3276C25A109AAE28A0670DB5542DF6022DD81D215158C2562530556AA0EAWEZ3I" TargetMode = "External"/>
	<Relationship Id="rId522" Type="http://schemas.openxmlformats.org/officeDocument/2006/relationships/hyperlink" Target="consultantplus://offline/ref=7228F6341DEEDDADB61BDCBF15E792DBC343ADBDB114040855EC3276C25A109AAE28A0670DB55623FD022DD81D215158C2562530556AA0EAWEZ3I" TargetMode = "External"/>
	<Relationship Id="rId523" Type="http://schemas.openxmlformats.org/officeDocument/2006/relationships/hyperlink" Target="consultantplus://offline/ref=7228F6341DEEDDADB61BDCBF15E792DBC440A8B3B41A040855EC3276C25A109AAE28A0670DB5572BF6022DD81D215158C2562530556AA0EAWEZ3I" TargetMode = "External"/>
	<Relationship Id="rId524" Type="http://schemas.openxmlformats.org/officeDocument/2006/relationships/hyperlink" Target="consultantplus://offline/ref=7228F6341DEEDDADB61BDCBF15E792DBC440A8B3B41A040855EC3276C25A109AAE28A0670DB5572BF7022DD81D215158C2562530556AA0EAWEZ3I" TargetMode = "External"/>
	<Relationship Id="rId525" Type="http://schemas.openxmlformats.org/officeDocument/2006/relationships/hyperlink" Target="consultantplus://offline/ref=7228F6341DEEDDADB61BDCBF15E792DBC440A8B3B41A040855EC3276C25A109AAE28A0670DB5572BF0022DD81D215158C2562530556AA0EAWEZ3I" TargetMode = "External"/>
	<Relationship Id="rId526" Type="http://schemas.openxmlformats.org/officeDocument/2006/relationships/hyperlink" Target="consultantplus://offline/ref=7228F6341DEEDDADB61BDCBF15E792DBC440ABBBBE17040855EC3276C25A109AAE28A0670DB5542DF7022DD81D215158C2562530556AA0EAWEZ3I" TargetMode = "External"/>
	<Relationship Id="rId527" Type="http://schemas.openxmlformats.org/officeDocument/2006/relationships/hyperlink" Target="consultantplus://offline/ref=7228F6341DEEDDADB61BDCBF15E792DBC440ABBBBE14040855EC3276C25A109AAE28A0670DB5502EF2022DD81D215158C2562530556AA0EAWEZ3I" TargetMode = "External"/>
	<Relationship Id="rId528" Type="http://schemas.openxmlformats.org/officeDocument/2006/relationships/hyperlink" Target="consultantplus://offline/ref=7228F6341DEEDDADB61BDCBF15E792DBC440ABBBBE14040855EC3276C25A109AAE28A0670DB5502EFC022DD81D215158C2562530556AA0EAWEZ3I" TargetMode = "External"/>
	<Relationship Id="rId529" Type="http://schemas.openxmlformats.org/officeDocument/2006/relationships/hyperlink" Target="consultantplus://offline/ref=7228F6341DEEDDADB61BDCBF15E792DBC440ABBBBE14040855EC3276C25A109AAE28A0670DB5502EFD022DD81D215158C2562530556AA0EAWEZ3I" TargetMode = "External"/>
	<Relationship Id="rId530" Type="http://schemas.openxmlformats.org/officeDocument/2006/relationships/hyperlink" Target="consultantplus://offline/ref=7228F6341DEEDDADB61BDCBF15E792DBC440ABBBBE14040855EC3276C25A109AAE28A0670DB5502EFD022DD81D215158C2562530556AA0EAWEZ3I" TargetMode = "External"/>
	<Relationship Id="rId531" Type="http://schemas.openxmlformats.org/officeDocument/2006/relationships/hyperlink" Target="consultantplus://offline/ref=7228F6341DEEDDADB61BDCBF15E792DBC343ADBDB114040855EC3276C25A109AAE28A0670DB55622F4022DD81D215158C2562530556AA0EAWEZ3I" TargetMode = "External"/>
	<Relationship Id="rId532" Type="http://schemas.openxmlformats.org/officeDocument/2006/relationships/hyperlink" Target="consultantplus://offline/ref=7228F6341DEEDDADB61BDCBF15E792DBC440ABBBBE14040855EC3276C25A109AAE28A0670DB5502DF5022DD81D215158C2562530556AA0EAWEZ3I" TargetMode = "External"/>
	<Relationship Id="rId533" Type="http://schemas.openxmlformats.org/officeDocument/2006/relationships/hyperlink" Target="consultantplus://offline/ref=7228F6341DEEDDADB61BDCBF15E792DBC440ABBBBE14040855EC3276C25A109AAE28A0670DB5502DF6022DD81D215158C2562530556AA0EAWEZ3I" TargetMode = "External"/>
	<Relationship Id="rId534" Type="http://schemas.openxmlformats.org/officeDocument/2006/relationships/hyperlink" Target="consultantplus://offline/ref=7228F6341DEEDDADB61BDCBF15E792DBC440ABBBBE14040855EC3276C25A109AAE28A0670DB5502DF7022DD81D215158C2562530556AA0EAWEZ3I" TargetMode = "External"/>
	<Relationship Id="rId535" Type="http://schemas.openxmlformats.org/officeDocument/2006/relationships/hyperlink" Target="consultantplus://offline/ref=7228F6341DEEDDADB61BDCBF15E792DBC440ABBBBE14040855EC3276C25A109AAE28A0670DB5502DF7022DD81D215158C2562530556AA0EAWEZ3I" TargetMode = "External"/>
	<Relationship Id="rId536" Type="http://schemas.openxmlformats.org/officeDocument/2006/relationships/hyperlink" Target="consultantplus://offline/ref=7228F6341DEEDDADB61BDCBF15E792DBC343ADBDB114040855EC3276C25A109AAE28A0670DB55622F5022DD81D215158C2562530556AA0EAWEZ3I" TargetMode = "External"/>
	<Relationship Id="rId537" Type="http://schemas.openxmlformats.org/officeDocument/2006/relationships/hyperlink" Target="consultantplus://offline/ref=7228F6341DEEDDADB61BDCBF15E792DBC440ABBBBE14040855EC3276C25A109AAE28A0670DB5502DF0022DD81D215158C2562530556AA0EAWEZ3I" TargetMode = "External"/>
	<Relationship Id="rId538" Type="http://schemas.openxmlformats.org/officeDocument/2006/relationships/hyperlink" Target="consultantplus://offline/ref=7228F6341DEEDDADB61BDCBF15E792DBC440ABBBBE14040855EC3276C25A109AAE28A0670DB5502DF2022DD81D215158C2562530556AA0EAWEZ3I" TargetMode = "External"/>
	<Relationship Id="rId539" Type="http://schemas.openxmlformats.org/officeDocument/2006/relationships/header" Target="header2.xml"/>
	<Relationship Id="rId540" Type="http://schemas.openxmlformats.org/officeDocument/2006/relationships/footer" Target="footer2.xml"/>
	<Relationship Id="rId541" Type="http://schemas.openxmlformats.org/officeDocument/2006/relationships/hyperlink" Target="consultantplus://offline/ref=7228F6341DEEDDADB61BDCBF15E792DBC440ABBBBE14040855EC3276C25A109AAE28A0670DB5502DF3022DD81D215158C2562530556AA0EAWEZ3I" TargetMode = "External"/>
	<Relationship Id="rId542" Type="http://schemas.openxmlformats.org/officeDocument/2006/relationships/hyperlink" Target="consultantplus://offline/ref=7228F6341DEEDDADB61BDCBF15E792DBC343ADBDB114040855EC3276C25A109AAE28A0670DB55622F6022DD81D215158C2562530556AA0EAWEZ3I" TargetMode = "External"/>
	<Relationship Id="rId543" Type="http://schemas.openxmlformats.org/officeDocument/2006/relationships/hyperlink" Target="consultantplus://offline/ref=7228F6341DEEDDADB61BDCBF15E792DBC440ABBBBE14040855EC3276C25A109AAE28A0670DB5502DF3022DD81D215158C2562530556AA0EAWEZ3I" TargetMode = "External"/>
	<Relationship Id="rId544" Type="http://schemas.openxmlformats.org/officeDocument/2006/relationships/hyperlink" Target="consultantplus://offline/ref=7228F6341DEEDDADB61BDCBF15E792DBC343ADBDB114040855EC3276C25A109AAE28A0670DB55622F6022DD81D215158C2562530556AA0EAWEZ3I" TargetMode = "External"/>
	<Relationship Id="rId545" Type="http://schemas.openxmlformats.org/officeDocument/2006/relationships/hyperlink" Target="consultantplus://offline/ref=7228F6341DEEDDADB61BDCBF15E792DBC440ABBBBE14040855EC3276C25A109AAE28A0670DB5502DF3022DD81D215158C2562530556AA0EAWEZ3I" TargetMode = "External"/>
	<Relationship Id="rId546" Type="http://schemas.openxmlformats.org/officeDocument/2006/relationships/hyperlink" Target="consultantplus://offline/ref=7228F6341DEEDDADB61BDCBF15E792DBC440ABBBBE14040855EC3276C25A109AAE28A0670DB5502DF3022DD81D215158C2562530556AA0EAWEZ3I" TargetMode = "External"/>
	<Relationship Id="rId547" Type="http://schemas.openxmlformats.org/officeDocument/2006/relationships/hyperlink" Target="consultantplus://offline/ref=7228F6341DEEDDADB61BDCBF15E792DBC440ABBBBE14040855EC3276C25A109AAE28A0670DB5502DFC022DD81D215158C2562530556AA0EAWEZ3I" TargetMode = "External"/>
	<Relationship Id="rId548" Type="http://schemas.openxmlformats.org/officeDocument/2006/relationships/hyperlink" Target="consultantplus://offline/ref=7228F6341DEEDDADB61BDCBF15E792DBC440ABBBBE14040855EC3276C25A109AAE28A0670DB5502DFC022DD81D215158C2562530556AA0EAWEZ3I" TargetMode = "External"/>
	<Relationship Id="rId549" Type="http://schemas.openxmlformats.org/officeDocument/2006/relationships/hyperlink" Target="consultantplus://offline/ref=7228F6341DEEDDADB61BDCBF15E792DBC440ABBBBE14040855EC3276C25A109AAE28A0670DB5502DFC022DD81D215158C2562530556AA0EAWEZ3I" TargetMode = "External"/>
	<Relationship Id="rId550" Type="http://schemas.openxmlformats.org/officeDocument/2006/relationships/hyperlink" Target="consultantplus://offline/ref=7228F6341DEEDDADB61BDCBF15E792DBC343ADBDB114040855EC3276C25A109AAE28A0670DB55622F7022DD81D215158C2562530556AA0EAWEZ3I" TargetMode = "External"/>
	<Relationship Id="rId551" Type="http://schemas.openxmlformats.org/officeDocument/2006/relationships/hyperlink" Target="consultantplus://offline/ref=7228F6341DEEDDADB61BDCBF15E792DBC440ABBBBE14040855EC3276C25A109AAE28A0670DB5502DFC022DD81D215158C2562530556AA0EAWEZ3I" TargetMode = "External"/>
	<Relationship Id="rId552" Type="http://schemas.openxmlformats.org/officeDocument/2006/relationships/hyperlink" Target="consultantplus://offline/ref=7228F6341DEEDDADB61BDCBF15E792DBC343ADBDB114040855EC3276C25A109AAE28A0670DB55622F7022DD81D215158C2562530556AA0EAWEZ3I" TargetMode = "External"/>
	<Relationship Id="rId553" Type="http://schemas.openxmlformats.org/officeDocument/2006/relationships/hyperlink" Target="consultantplus://offline/ref=7228F6341DEEDDADB61BDCBF15E792DBC440ABBBBE14040855EC3276C25A109AAE28A0670DB5502CF4022DD81D215158C2562530556AA0EAWEZ3I" TargetMode = "External"/>
	<Relationship Id="rId554" Type="http://schemas.openxmlformats.org/officeDocument/2006/relationships/hyperlink" Target="consultantplus://offline/ref=7228F6341DEEDDADB61BDCBF15E792DBC440ABBBBE14040855EC3276C25A109AAE28A0670DB5502CF5022DD81D215158C2562530556AA0EAWEZ3I" TargetMode = "External"/>
	<Relationship Id="rId555" Type="http://schemas.openxmlformats.org/officeDocument/2006/relationships/hyperlink" Target="consultantplus://offline/ref=7228F6341DEEDDADB61BDCBF15E792DBC440ABBBBE14040855EC3276C25A109AAE28A0670DB5502CF7022DD81D215158C2562530556AA0EAWEZ3I" TargetMode = "External"/>
	<Relationship Id="rId556" Type="http://schemas.openxmlformats.org/officeDocument/2006/relationships/hyperlink" Target="consultantplus://offline/ref=7228F6341DEEDDADB61BDCBF15E792DBC440ABBBBE14040855EC3276C25A109AAE28A0670DB5502CF0022DD81D215158C2562530556AA0EAWEZ3I" TargetMode = "External"/>
	<Relationship Id="rId557" Type="http://schemas.openxmlformats.org/officeDocument/2006/relationships/hyperlink" Target="consultantplus://offline/ref=7228F6341DEEDDADB61BDCBF15E792DBC440ABBBBE14040855EC3276C25A109AAE28A0670DB5502CF2022DD81D215158C2562530556AA0EAWEZ3I" TargetMode = "External"/>
	<Relationship Id="rId558" Type="http://schemas.openxmlformats.org/officeDocument/2006/relationships/hyperlink" Target="consultantplus://offline/ref=7228F6341DEEDDADB61BDCBF15E792DBC440ABBBBE14040855EC3276C25A109AAE28A0670DB5502CF3022DD81D215158C2562530556AA0EAWEZ3I" TargetMode = "External"/>
	<Relationship Id="rId559" Type="http://schemas.openxmlformats.org/officeDocument/2006/relationships/hyperlink" Target="consultantplus://offline/ref=7228F6341DEEDDADB61BDCBF15E792DBC440ABBBBE14040855EC3276C25A109AAE28A0670DB5502CFC022DD81D215158C2562530556AA0EAWEZ3I" TargetMode = "External"/>
	<Relationship Id="rId560" Type="http://schemas.openxmlformats.org/officeDocument/2006/relationships/hyperlink" Target="consultantplus://offline/ref=7228F6341DEEDDADB61BDCBF15E792DBC440ABBBBE14040855EC3276C25A109AAE28A0670DB5502CFD022DD81D215158C2562530556AA0EAWEZ3I" TargetMode = "External"/>
	<Relationship Id="rId561" Type="http://schemas.openxmlformats.org/officeDocument/2006/relationships/hyperlink" Target="consultantplus://offline/ref=7228F6341DEEDDADB61BDCBF15E792DBC440ABBBBE17040855EC3276C25A109AAE28A0670DB5542DF0022DD81D215158C2562530556AA0EAWEZ3I" TargetMode = "External"/>
	<Relationship Id="rId562" Type="http://schemas.openxmlformats.org/officeDocument/2006/relationships/hyperlink" Target="consultantplus://offline/ref=7228F6341DEEDDADB61BDCBF15E792DBC440ABBBBE14040855EC3276C25A109AAE28A0670DB55023F4022DD81D215158C2562530556AA0EAWEZ3I" TargetMode = "External"/>
	<Relationship Id="rId563" Type="http://schemas.openxmlformats.org/officeDocument/2006/relationships/hyperlink" Target="consultantplus://offline/ref=7228F6341DEEDDADB61BDCBF15E792DBC440ABBBBE14040855EC3276C25A109AAE28A0670DB55023F5022DD81D215158C2562530556AA0EAWEZ3I" TargetMode = "External"/>
	<Relationship Id="rId564" Type="http://schemas.openxmlformats.org/officeDocument/2006/relationships/hyperlink" Target="consultantplus://offline/ref=7228F6341DEEDDADB61BDCBF15E792DBC440A8B3B41A040855EC3276C25A109AAE28A0670DB5572BF1022DD81D215158C2562530556AA0EAWEZ3I" TargetMode = "External"/>
	<Relationship Id="rId565" Type="http://schemas.openxmlformats.org/officeDocument/2006/relationships/hyperlink" Target="consultantplus://offline/ref=7228F6341DEEDDADB61BDCBF15E792DBC440A8B3B41A040855EC3276C25A109AAE28A0670DB5572FF4022DD81D215158C2562530556AA0EAWEZ3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4022.00.50</Application>
  <Company>КонсультантПлюс Версия 4022.00.50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22.07.2008 N 123-ФЗ
(ред. от 14.07.2022)
"Технический регламент о требованиях пожарной безопасности"
(с изм. и доп., вступ. в силу с 01.03.2023)</dc:title>
  <dcterms:created xsi:type="dcterms:W3CDTF">2022-12-13T08:25:21Z</dcterms:created>
</cp:coreProperties>
</file>